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Times New Roman" w:hAnsi="Trebuchet MS" w:cs="Times New Roman"/>
          <w:color w:val="4472C4" w:themeColor="accent1"/>
          <w:sz w:val="24"/>
          <w:szCs w:val="20"/>
        </w:rPr>
        <w:id w:val="1893159920"/>
        <w:docPartObj>
          <w:docPartGallery w:val="Cover Pages"/>
          <w:docPartUnique/>
        </w:docPartObj>
      </w:sdtPr>
      <w:sdtEndPr>
        <w:rPr>
          <w:noProof/>
          <w:color w:val="000000"/>
        </w:rPr>
      </w:sdtEndPr>
      <w:sdtContent>
        <w:bookmarkStart w:id="0" w:name="_GoBack" w:displacedByCustomXml="prev"/>
        <w:bookmarkEnd w:id="0" w:displacedByCustomXml="prev"/>
        <w:p w14:paraId="636B742C" w14:textId="2AD0A336" w:rsidR="00D45C57" w:rsidRDefault="00135B11">
          <w:pPr>
            <w:pStyle w:val="NoSpacing"/>
            <w:spacing w:before="1540" w:after="240"/>
            <w:jc w:val="center"/>
            <w:rPr>
              <w:color w:val="4472C4" w:themeColor="accent1"/>
            </w:rPr>
          </w:pPr>
          <w:r>
            <w:rPr>
              <w:noProof/>
            </w:rPr>
            <w:drawing>
              <wp:inline distT="0" distB="0" distL="0" distR="0" wp14:anchorId="286B99F5" wp14:editId="30B27CA8">
                <wp:extent cx="133350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200px-University_of_Connecticut_seal.svg.png"/>
                        <pic:cNvPicPr/>
                      </pic:nvPicPr>
                      <pic:blipFill>
                        <a:blip r:embed="rId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sdt>
          <w:sdtPr>
            <w:rPr>
              <w:rFonts w:asciiTheme="majorHAnsi" w:eastAsiaTheme="majorEastAsia" w:hAnsiTheme="majorHAnsi" w:cstheme="majorBidi"/>
              <w:caps/>
              <w:color w:val="002060"/>
              <w:sz w:val="72"/>
              <w:szCs w:val="72"/>
            </w:rPr>
            <w:alias w:val="Title"/>
            <w:tag w:val=""/>
            <w:id w:val="1735040861"/>
            <w:placeholder>
              <w:docPart w:val="31209473795E465A844D3698BFFE668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C54AD0D" w14:textId="0FD46603" w:rsidR="00D45C57" w:rsidRPr="00D01D00" w:rsidRDefault="00135B11">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002060"/>
                  <w:sz w:val="80"/>
                  <w:szCs w:val="80"/>
                </w:rPr>
              </w:pPr>
              <w:r w:rsidRPr="00D01D00">
                <w:rPr>
                  <w:rFonts w:asciiTheme="majorHAnsi" w:eastAsiaTheme="majorEastAsia" w:hAnsiTheme="majorHAnsi" w:cstheme="majorBidi"/>
                  <w:caps/>
                  <w:color w:val="002060"/>
                  <w:sz w:val="72"/>
                  <w:szCs w:val="72"/>
                </w:rPr>
                <w:t>Long Analyst Report</w:t>
              </w:r>
            </w:p>
          </w:sdtContent>
        </w:sdt>
        <w:sdt>
          <w:sdtPr>
            <w:rPr>
              <w:color w:val="002060"/>
              <w:sz w:val="28"/>
              <w:szCs w:val="28"/>
            </w:rPr>
            <w:alias w:val="Subtitle"/>
            <w:tag w:val=""/>
            <w:id w:val="328029620"/>
            <w:placeholder>
              <w:docPart w:val="2B3EA6080CEA4FE8BA3CFE8E1E551D83"/>
            </w:placeholder>
            <w:dataBinding w:prefixMappings="xmlns:ns0='http://purl.org/dc/elements/1.1/' xmlns:ns1='http://schemas.openxmlformats.org/package/2006/metadata/core-properties' " w:xpath="/ns1:coreProperties[1]/ns0:subject[1]" w:storeItemID="{6C3C8BC8-F283-45AE-878A-BAB7291924A1}"/>
            <w:text/>
          </w:sdtPr>
          <w:sdtContent>
            <w:p w14:paraId="477FA93C" w14:textId="57D661A2" w:rsidR="00D45C57" w:rsidRPr="00D01D00" w:rsidRDefault="00135B11">
              <w:pPr>
                <w:pStyle w:val="NoSpacing"/>
                <w:jc w:val="center"/>
                <w:rPr>
                  <w:color w:val="002060"/>
                  <w:sz w:val="28"/>
                  <w:szCs w:val="28"/>
                </w:rPr>
              </w:pPr>
              <w:r w:rsidRPr="00D01D00">
                <w:rPr>
                  <w:color w:val="002060"/>
                  <w:sz w:val="28"/>
                  <w:szCs w:val="28"/>
                </w:rPr>
                <w:t>Presented by Michael Misluk &amp; Abhishek Srivastava</w:t>
              </w:r>
            </w:p>
          </w:sdtContent>
        </w:sdt>
        <w:p w14:paraId="0D492D81" w14:textId="1E86F53E" w:rsidR="00135B11" w:rsidRDefault="00D45C57">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740160" behindDoc="0" locked="0" layoutInCell="1" allowOverlap="1" wp14:anchorId="19F0A258" wp14:editId="3F90C9BC">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2060"/>
                                    <w:sz w:val="28"/>
                                    <w:szCs w:val="28"/>
                                  </w:rPr>
                                  <w:alias w:val="Date"/>
                                  <w:tag w:val=""/>
                                  <w:id w:val="-693607956"/>
                                  <w:dataBinding w:prefixMappings="xmlns:ns0='http://schemas.microsoft.com/office/2006/coverPageProps' " w:xpath="/ns0:CoverPageProperties[1]/ns0:PublishDate[1]" w:storeItemID="{55AF091B-3C7A-41E3-B477-F2FDAA23CFDA}"/>
                                  <w:date w:fullDate="2019-04-26T00:00:00Z">
                                    <w:dateFormat w:val="MMMM d, yyyy"/>
                                    <w:lid w:val="en-US"/>
                                    <w:storeMappedDataAs w:val="dateTime"/>
                                    <w:calendar w:val="gregorian"/>
                                  </w:date>
                                </w:sdtPr>
                                <w:sdtContent>
                                  <w:p w14:paraId="0C710D56" w14:textId="66A60F89" w:rsidR="00D222D1" w:rsidRPr="00D01D00" w:rsidRDefault="00D222D1">
                                    <w:pPr>
                                      <w:pStyle w:val="NoSpacing"/>
                                      <w:spacing w:after="40"/>
                                      <w:jc w:val="center"/>
                                      <w:rPr>
                                        <w:caps/>
                                        <w:color w:val="002060"/>
                                        <w:sz w:val="28"/>
                                        <w:szCs w:val="28"/>
                                      </w:rPr>
                                    </w:pPr>
                                    <w:r w:rsidRPr="00D01D00">
                                      <w:rPr>
                                        <w:caps/>
                                        <w:color w:val="002060"/>
                                        <w:sz w:val="28"/>
                                        <w:szCs w:val="28"/>
                                      </w:rPr>
                                      <w:t>April 2</w:t>
                                    </w:r>
                                    <w:r w:rsidR="00F32814">
                                      <w:rPr>
                                        <w:caps/>
                                        <w:color w:val="002060"/>
                                        <w:sz w:val="28"/>
                                        <w:szCs w:val="28"/>
                                      </w:rPr>
                                      <w:t>6</w:t>
                                    </w:r>
                                    <w:r w:rsidRPr="00D01D00">
                                      <w:rPr>
                                        <w:caps/>
                                        <w:color w:val="002060"/>
                                        <w:sz w:val="28"/>
                                        <w:szCs w:val="28"/>
                                      </w:rPr>
                                      <w:t>, 2019</w:t>
                                    </w:r>
                                  </w:p>
                                </w:sdtContent>
                              </w:sdt>
                              <w:p w14:paraId="681956AF" w14:textId="122EC495" w:rsidR="00D222D1" w:rsidRPr="00D01D00" w:rsidRDefault="00D222D1">
                                <w:pPr>
                                  <w:pStyle w:val="NoSpacing"/>
                                  <w:jc w:val="center"/>
                                  <w:rPr>
                                    <w:color w:val="002060"/>
                                  </w:rPr>
                                </w:pPr>
                                <w:sdt>
                                  <w:sdtPr>
                                    <w:rPr>
                                      <w:caps/>
                                      <w:color w:val="002060"/>
                                    </w:rPr>
                                    <w:alias w:val="Company"/>
                                    <w:tag w:val=""/>
                                    <w:id w:val="19133972"/>
                                    <w:dataBinding w:prefixMappings="xmlns:ns0='http://schemas.openxmlformats.org/officeDocument/2006/extended-properties' " w:xpath="/ns0:Properties[1]/ns0:Company[1]" w:storeItemID="{6668398D-A668-4E3E-A5EB-62B293D839F1}"/>
                                    <w:text/>
                                  </w:sdtPr>
                                  <w:sdtContent>
                                    <w:r w:rsidRPr="00D01D00">
                                      <w:rPr>
                                        <w:caps/>
                                        <w:color w:val="002060"/>
                                      </w:rPr>
                                      <w:t>UCONN Graduate student managed fund</w:t>
                                    </w:r>
                                  </w:sdtContent>
                                </w:sdt>
                              </w:p>
                              <w:p w14:paraId="2F1F6B7D" w14:textId="360B1BAF" w:rsidR="00D222D1" w:rsidRDefault="00D222D1">
                                <w:pPr>
                                  <w:pStyle w:val="NoSpacing"/>
                                  <w:jc w:val="center"/>
                                  <w:rPr>
                                    <w:color w:val="4472C4" w:themeColor="accent1"/>
                                  </w:rPr>
                                </w:pPr>
                                <w:sdt>
                                  <w:sdtPr>
                                    <w:rPr>
                                      <w:color w:val="4472C4" w:themeColor="accent1"/>
                                    </w:rPr>
                                    <w:alias w:val="Address"/>
                                    <w:tag w:val=""/>
                                    <w:id w:val="-752898018"/>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9F0A258"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4016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002060"/>
                              <w:sz w:val="28"/>
                              <w:szCs w:val="28"/>
                            </w:rPr>
                            <w:alias w:val="Date"/>
                            <w:tag w:val=""/>
                            <w:id w:val="-693607956"/>
                            <w:dataBinding w:prefixMappings="xmlns:ns0='http://schemas.microsoft.com/office/2006/coverPageProps' " w:xpath="/ns0:CoverPageProperties[1]/ns0:PublishDate[1]" w:storeItemID="{55AF091B-3C7A-41E3-B477-F2FDAA23CFDA}"/>
                            <w:date w:fullDate="2019-04-26T00:00:00Z">
                              <w:dateFormat w:val="MMMM d, yyyy"/>
                              <w:lid w:val="en-US"/>
                              <w:storeMappedDataAs w:val="dateTime"/>
                              <w:calendar w:val="gregorian"/>
                            </w:date>
                          </w:sdtPr>
                          <w:sdtContent>
                            <w:p w14:paraId="0C710D56" w14:textId="66A60F89" w:rsidR="00D222D1" w:rsidRPr="00D01D00" w:rsidRDefault="00D222D1">
                              <w:pPr>
                                <w:pStyle w:val="NoSpacing"/>
                                <w:spacing w:after="40"/>
                                <w:jc w:val="center"/>
                                <w:rPr>
                                  <w:caps/>
                                  <w:color w:val="002060"/>
                                  <w:sz w:val="28"/>
                                  <w:szCs w:val="28"/>
                                </w:rPr>
                              </w:pPr>
                              <w:r w:rsidRPr="00D01D00">
                                <w:rPr>
                                  <w:caps/>
                                  <w:color w:val="002060"/>
                                  <w:sz w:val="28"/>
                                  <w:szCs w:val="28"/>
                                </w:rPr>
                                <w:t>April 2</w:t>
                              </w:r>
                              <w:r w:rsidR="00F32814">
                                <w:rPr>
                                  <w:caps/>
                                  <w:color w:val="002060"/>
                                  <w:sz w:val="28"/>
                                  <w:szCs w:val="28"/>
                                </w:rPr>
                                <w:t>6</w:t>
                              </w:r>
                              <w:r w:rsidRPr="00D01D00">
                                <w:rPr>
                                  <w:caps/>
                                  <w:color w:val="002060"/>
                                  <w:sz w:val="28"/>
                                  <w:szCs w:val="28"/>
                                </w:rPr>
                                <w:t>, 2019</w:t>
                              </w:r>
                            </w:p>
                          </w:sdtContent>
                        </w:sdt>
                        <w:p w14:paraId="681956AF" w14:textId="122EC495" w:rsidR="00D222D1" w:rsidRPr="00D01D00" w:rsidRDefault="00D222D1">
                          <w:pPr>
                            <w:pStyle w:val="NoSpacing"/>
                            <w:jc w:val="center"/>
                            <w:rPr>
                              <w:color w:val="002060"/>
                            </w:rPr>
                          </w:pPr>
                          <w:sdt>
                            <w:sdtPr>
                              <w:rPr>
                                <w:caps/>
                                <w:color w:val="002060"/>
                              </w:rPr>
                              <w:alias w:val="Company"/>
                              <w:tag w:val=""/>
                              <w:id w:val="19133972"/>
                              <w:dataBinding w:prefixMappings="xmlns:ns0='http://schemas.openxmlformats.org/officeDocument/2006/extended-properties' " w:xpath="/ns0:Properties[1]/ns0:Company[1]" w:storeItemID="{6668398D-A668-4E3E-A5EB-62B293D839F1}"/>
                              <w:text/>
                            </w:sdtPr>
                            <w:sdtContent>
                              <w:r w:rsidRPr="00D01D00">
                                <w:rPr>
                                  <w:caps/>
                                  <w:color w:val="002060"/>
                                </w:rPr>
                                <w:t>UCONN Graduate student managed fund</w:t>
                              </w:r>
                            </w:sdtContent>
                          </w:sdt>
                        </w:p>
                        <w:p w14:paraId="2F1F6B7D" w14:textId="360B1BAF" w:rsidR="00D222D1" w:rsidRDefault="00D222D1">
                          <w:pPr>
                            <w:pStyle w:val="NoSpacing"/>
                            <w:jc w:val="center"/>
                            <w:rPr>
                              <w:color w:val="4472C4" w:themeColor="accent1"/>
                            </w:rPr>
                          </w:pPr>
                          <w:sdt>
                            <w:sdtPr>
                              <w:rPr>
                                <w:color w:val="4472C4" w:themeColor="accent1"/>
                              </w:rPr>
                              <w:alias w:val="Address"/>
                              <w:tag w:val=""/>
                              <w:id w:val="-752898018"/>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p>
        <w:p w14:paraId="35125B12" w14:textId="5A710529" w:rsidR="00135B11" w:rsidRDefault="008C1E99">
          <w:pPr>
            <w:pStyle w:val="NoSpacing"/>
            <w:spacing w:before="480"/>
            <w:jc w:val="center"/>
            <w:rPr>
              <w:color w:val="4472C4" w:themeColor="accent1"/>
            </w:rPr>
          </w:pPr>
          <w:r w:rsidRPr="00AB6BE9">
            <w:rPr>
              <w:noProof/>
            </w:rPr>
            <w:drawing>
              <wp:inline distT="0" distB="0" distL="0" distR="0" wp14:anchorId="3CDFE53D" wp14:editId="746A2BD9">
                <wp:extent cx="3905250" cy="230123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0921" cy="2322252"/>
                        </a:xfrm>
                        <a:prstGeom prst="rect">
                          <a:avLst/>
                        </a:prstGeom>
                      </pic:spPr>
                    </pic:pic>
                  </a:graphicData>
                </a:graphic>
              </wp:inline>
            </w:drawing>
          </w:r>
        </w:p>
        <w:p w14:paraId="022CF2E2" w14:textId="77777777" w:rsidR="008C1E99" w:rsidRDefault="008C1E99" w:rsidP="00135B11">
          <w:pPr>
            <w:jc w:val="center"/>
            <w:rPr>
              <w:noProof/>
            </w:rPr>
          </w:pPr>
        </w:p>
        <w:p w14:paraId="541ACA60" w14:textId="77777777" w:rsidR="008C1E99" w:rsidRDefault="008C1E99">
          <w:pPr>
            <w:rPr>
              <w:noProof/>
            </w:rPr>
          </w:pPr>
          <w:r>
            <w:rPr>
              <w:noProof/>
            </w:rPr>
            <w:br w:type="page"/>
          </w:r>
        </w:p>
        <w:p w14:paraId="03EC11FF" w14:textId="77777777" w:rsidR="008C1E99" w:rsidRDefault="008C1E99" w:rsidP="00135B11">
          <w:pPr>
            <w:jc w:val="center"/>
            <w:rPr>
              <w:noProof/>
            </w:rPr>
          </w:pPr>
        </w:p>
        <w:p w14:paraId="1AFF376A" w14:textId="77777777" w:rsidR="00B61281" w:rsidRPr="00D01D00" w:rsidRDefault="00B61281" w:rsidP="00B61281">
          <w:pPr>
            <w:pStyle w:val="TOCHeading"/>
            <w:rPr>
              <w:color w:val="002060"/>
            </w:rPr>
          </w:pPr>
          <w:r w:rsidRPr="00D01D00">
            <w:rPr>
              <w:color w:val="002060"/>
            </w:rPr>
            <w:t>Table of Contents</w:t>
          </w:r>
        </w:p>
        <w:p w14:paraId="4BFDAFC7" w14:textId="2A6DCBED" w:rsidR="00B61281" w:rsidRPr="00D01D00" w:rsidRDefault="00B61281" w:rsidP="00D01D00">
          <w:pPr>
            <w:pStyle w:val="TOC1"/>
          </w:pPr>
          <w:r w:rsidRPr="00D01D00">
            <w:t>Executive Summary</w:t>
          </w:r>
          <w:r w:rsidRPr="00D01D00">
            <w:ptab w:relativeTo="margin" w:alignment="right" w:leader="dot"/>
          </w:r>
          <w:r w:rsidR="00502FC5" w:rsidRPr="00D01D00">
            <w:t>3</w:t>
          </w:r>
        </w:p>
        <w:p w14:paraId="5E4D5010" w14:textId="7A4B5B65" w:rsidR="00B61281" w:rsidRDefault="00B61281" w:rsidP="008240AD">
          <w:pPr>
            <w:pStyle w:val="TOC2"/>
          </w:pPr>
          <w:r>
            <w:t>Company Overview</w:t>
          </w:r>
          <w:r>
            <w:ptab w:relativeTo="margin" w:alignment="right" w:leader="dot"/>
          </w:r>
          <w:r w:rsidR="00502FC5">
            <w:t>3</w:t>
          </w:r>
        </w:p>
        <w:p w14:paraId="57056FCB" w14:textId="2DCCEFF1" w:rsidR="00B61281" w:rsidRDefault="00B61281" w:rsidP="008240AD">
          <w:pPr>
            <w:pStyle w:val="TOC2"/>
          </w:pPr>
          <w:r>
            <w:t>Investment Thesis</w:t>
          </w:r>
          <w:r>
            <w:ptab w:relativeTo="margin" w:alignment="right" w:leader="dot"/>
          </w:r>
          <w:r w:rsidR="00502FC5">
            <w:t>3</w:t>
          </w:r>
        </w:p>
        <w:p w14:paraId="069EB3DD" w14:textId="4F2486F6" w:rsidR="00B61281" w:rsidRDefault="00B61281" w:rsidP="008240AD">
          <w:pPr>
            <w:pStyle w:val="TOC2"/>
          </w:pPr>
          <w:r>
            <w:t>Catalysts</w:t>
          </w:r>
          <w:r>
            <w:ptab w:relativeTo="margin" w:alignment="right" w:leader="dot"/>
          </w:r>
          <w:r w:rsidR="00502FC5">
            <w:t>3</w:t>
          </w:r>
        </w:p>
        <w:p w14:paraId="1166D518" w14:textId="759B2960" w:rsidR="00B61281" w:rsidRDefault="00B61281" w:rsidP="008240AD">
          <w:pPr>
            <w:pStyle w:val="TOC2"/>
          </w:pPr>
          <w:r>
            <w:t>Investment Risks</w:t>
          </w:r>
          <w:r>
            <w:ptab w:relativeTo="margin" w:alignment="right" w:leader="dot"/>
          </w:r>
          <w:r w:rsidR="00502FC5">
            <w:t>3</w:t>
          </w:r>
        </w:p>
        <w:p w14:paraId="3109A8DA" w14:textId="7DC4B07E" w:rsidR="00B61281" w:rsidRPr="00D01D00" w:rsidRDefault="00B61281" w:rsidP="00D01D00">
          <w:pPr>
            <w:pStyle w:val="TOC1"/>
          </w:pPr>
          <w:r w:rsidRPr="00D01D00">
            <w:t>Business Description</w:t>
          </w:r>
          <w:r w:rsidRPr="00D01D00">
            <w:ptab w:relativeTo="margin" w:alignment="right" w:leader="dot"/>
          </w:r>
          <w:r w:rsidR="00502FC5" w:rsidRPr="00D01D00">
            <w:t>4</w:t>
          </w:r>
        </w:p>
        <w:p w14:paraId="5A9F7056" w14:textId="755D6338" w:rsidR="00B61281" w:rsidRDefault="00B61281" w:rsidP="008240AD">
          <w:pPr>
            <w:pStyle w:val="TOC2"/>
          </w:pPr>
          <w:r>
            <w:t>Operating Segments</w:t>
          </w:r>
          <w:r>
            <w:ptab w:relativeTo="margin" w:alignment="right" w:leader="dot"/>
          </w:r>
          <w:r w:rsidR="00502FC5">
            <w:t>4</w:t>
          </w:r>
        </w:p>
        <w:p w14:paraId="14D6A922" w14:textId="4939A468" w:rsidR="008240AD" w:rsidRDefault="00EF1AE2" w:rsidP="008240AD">
          <w:pPr>
            <w:pStyle w:val="TOC2"/>
          </w:pPr>
          <w:r>
            <w:t>Recent Developments</w:t>
          </w:r>
          <w:r w:rsidR="008240AD">
            <w:ptab w:relativeTo="margin" w:alignment="right" w:leader="dot"/>
          </w:r>
          <w:r w:rsidR="00502FC5">
            <w:t>5</w:t>
          </w:r>
        </w:p>
        <w:p w14:paraId="1914E434" w14:textId="2A3F5194" w:rsidR="008240AD" w:rsidRDefault="008240AD" w:rsidP="00D01D00">
          <w:pPr>
            <w:pStyle w:val="TOC1"/>
          </w:pPr>
          <w:r>
            <w:t>Industry Overview</w:t>
          </w:r>
          <w:r>
            <w:ptab w:relativeTo="margin" w:alignment="right" w:leader="dot"/>
          </w:r>
          <w:r w:rsidR="00502FC5">
            <w:t>6</w:t>
          </w:r>
        </w:p>
        <w:p w14:paraId="3D73A81E" w14:textId="7F0462AC" w:rsidR="00027054" w:rsidRDefault="00027054" w:rsidP="00027054">
          <w:pPr>
            <w:pStyle w:val="TOC2"/>
          </w:pPr>
          <w:r>
            <w:t>Communication Services</w:t>
          </w:r>
          <w:r>
            <w:ptab w:relativeTo="margin" w:alignment="right" w:leader="dot"/>
          </w:r>
          <w:r w:rsidR="00502FC5">
            <w:t>6</w:t>
          </w:r>
        </w:p>
        <w:p w14:paraId="083F5CAD" w14:textId="7568B310" w:rsidR="00027054" w:rsidRDefault="00027054" w:rsidP="00D01D00">
          <w:pPr>
            <w:pStyle w:val="TOC1"/>
          </w:pPr>
          <w:r>
            <w:t>Investment Thesis</w:t>
          </w:r>
          <w:r>
            <w:ptab w:relativeTo="margin" w:alignment="right" w:leader="dot"/>
          </w:r>
          <w:r w:rsidR="00502FC5">
            <w:t>7</w:t>
          </w:r>
        </w:p>
        <w:p w14:paraId="01D31CBD" w14:textId="4172A0C9" w:rsidR="00027054" w:rsidRDefault="00027054" w:rsidP="00027054">
          <w:pPr>
            <w:pStyle w:val="TOC2"/>
          </w:pPr>
          <w:r>
            <w:t>Catalysts</w:t>
          </w:r>
          <w:r>
            <w:ptab w:relativeTo="margin" w:alignment="right" w:leader="dot"/>
          </w:r>
          <w:r w:rsidR="00502FC5">
            <w:t>7</w:t>
          </w:r>
        </w:p>
        <w:p w14:paraId="1B022181" w14:textId="4BF48EEB" w:rsidR="00027054" w:rsidRDefault="00027054" w:rsidP="00027054">
          <w:pPr>
            <w:pStyle w:val="TOC2"/>
          </w:pPr>
          <w:r>
            <w:t>Risks</w:t>
          </w:r>
          <w:r>
            <w:ptab w:relativeTo="margin" w:alignment="right" w:leader="dot"/>
          </w:r>
          <w:r w:rsidR="00502FC5">
            <w:t>8</w:t>
          </w:r>
        </w:p>
        <w:p w14:paraId="4D6CBD56" w14:textId="426017F8" w:rsidR="008240AD" w:rsidRDefault="008240AD" w:rsidP="00D01D00">
          <w:pPr>
            <w:pStyle w:val="TOC1"/>
          </w:pPr>
          <w:r>
            <w:t>Financial Analysis</w:t>
          </w:r>
          <w:r>
            <w:ptab w:relativeTo="margin" w:alignment="right" w:leader="dot"/>
          </w:r>
          <w:r w:rsidR="00502FC5">
            <w:t>9</w:t>
          </w:r>
        </w:p>
        <w:p w14:paraId="0BFCD5AA" w14:textId="1D245A73" w:rsidR="00027054" w:rsidRDefault="00027054" w:rsidP="00027054">
          <w:pPr>
            <w:pStyle w:val="TOC2"/>
          </w:pPr>
          <w:r>
            <w:t>Price Performance</w:t>
          </w:r>
          <w:r>
            <w:ptab w:relativeTo="margin" w:alignment="right" w:leader="dot"/>
          </w:r>
          <w:r w:rsidR="00502FC5">
            <w:t>9</w:t>
          </w:r>
        </w:p>
        <w:p w14:paraId="1059C118" w14:textId="46C2F163" w:rsidR="008240AD" w:rsidRDefault="008240AD" w:rsidP="008240AD">
          <w:pPr>
            <w:pStyle w:val="TOC2"/>
          </w:pPr>
          <w:r>
            <w:t>Earnings Per Share (EPS) Analysis</w:t>
          </w:r>
          <w:r>
            <w:ptab w:relativeTo="margin" w:alignment="right" w:leader="dot"/>
          </w:r>
          <w:r w:rsidR="00502FC5">
            <w:t>9</w:t>
          </w:r>
        </w:p>
        <w:p w14:paraId="16E3F86B" w14:textId="5825540B" w:rsidR="008240AD" w:rsidRDefault="008240AD" w:rsidP="008240AD">
          <w:pPr>
            <w:pStyle w:val="TOC2"/>
          </w:pPr>
          <w:r>
            <w:t>Ratio Analysis</w:t>
          </w:r>
          <w:r>
            <w:ptab w:relativeTo="margin" w:alignment="right" w:leader="dot"/>
          </w:r>
          <w:r w:rsidR="00502FC5">
            <w:t>9</w:t>
          </w:r>
        </w:p>
        <w:p w14:paraId="74181684" w14:textId="5986B7B8" w:rsidR="008240AD" w:rsidRDefault="008240AD" w:rsidP="008240AD">
          <w:pPr>
            <w:pStyle w:val="TOC2"/>
          </w:pPr>
          <w:r>
            <w:t>Dividend Analysis</w:t>
          </w:r>
          <w:r>
            <w:ptab w:relativeTo="margin" w:alignment="right" w:leader="dot"/>
          </w:r>
          <w:r w:rsidR="00502FC5">
            <w:t>10</w:t>
          </w:r>
        </w:p>
        <w:p w14:paraId="2984024B" w14:textId="21288479" w:rsidR="008240AD" w:rsidRDefault="008240AD" w:rsidP="008240AD">
          <w:pPr>
            <w:pStyle w:val="TOC2"/>
          </w:pPr>
          <w:r>
            <w:t>Competitor Comparison</w:t>
          </w:r>
          <w:r>
            <w:ptab w:relativeTo="margin" w:alignment="right" w:leader="dot"/>
          </w:r>
          <w:r w:rsidR="00502FC5">
            <w:t>10</w:t>
          </w:r>
        </w:p>
        <w:p w14:paraId="6185F0F2" w14:textId="1DB05E29" w:rsidR="00027054" w:rsidRDefault="00027054" w:rsidP="00D01D00">
          <w:pPr>
            <w:pStyle w:val="TOC1"/>
          </w:pPr>
          <w:r>
            <w:t>Valuation</w:t>
          </w:r>
          <w:r>
            <w:ptab w:relativeTo="margin" w:alignment="right" w:leader="dot"/>
          </w:r>
          <w:r w:rsidR="00502FC5">
            <w:t>11</w:t>
          </w:r>
        </w:p>
        <w:p w14:paraId="464A367F" w14:textId="134EB66C" w:rsidR="00027054" w:rsidRDefault="00027054" w:rsidP="00D01D00">
          <w:pPr>
            <w:pStyle w:val="TOC1"/>
          </w:pPr>
          <w:r>
            <w:t>Conclusion</w:t>
          </w:r>
          <w:r>
            <w:ptab w:relativeTo="margin" w:alignment="right" w:leader="dot"/>
          </w:r>
          <w:r w:rsidR="00502FC5">
            <w:t>12</w:t>
          </w:r>
        </w:p>
        <w:p w14:paraId="0D5DC417" w14:textId="73A6E27D" w:rsidR="008240AD" w:rsidRDefault="00027054" w:rsidP="00D01D00">
          <w:pPr>
            <w:pStyle w:val="TOC1"/>
          </w:pPr>
          <w:r>
            <w:t>Appendixes</w:t>
          </w:r>
          <w:r w:rsidR="008240AD">
            <w:ptab w:relativeTo="margin" w:alignment="right" w:leader="dot"/>
          </w:r>
          <w:r w:rsidR="00502FC5">
            <w:t>13</w:t>
          </w:r>
        </w:p>
        <w:p w14:paraId="1C10E2C8" w14:textId="5BDCDC6E" w:rsidR="00027054" w:rsidRDefault="00027054" w:rsidP="00027054">
          <w:pPr>
            <w:pStyle w:val="TOC2"/>
          </w:pPr>
          <w:r>
            <w:t>A) Quarterly Financials – Balance Sheet</w:t>
          </w:r>
          <w:r>
            <w:ptab w:relativeTo="margin" w:alignment="right" w:leader="dot"/>
          </w:r>
          <w:r w:rsidR="00502FC5">
            <w:t>13</w:t>
          </w:r>
        </w:p>
        <w:p w14:paraId="72EECDFE" w14:textId="19686390" w:rsidR="00027054" w:rsidRDefault="00027054" w:rsidP="00027054">
          <w:pPr>
            <w:pStyle w:val="TOC2"/>
          </w:pPr>
          <w:r>
            <w:t>B) Quarterly Financials – Income Statement &amp; Cash Flow Statement</w:t>
          </w:r>
          <w:r>
            <w:ptab w:relativeTo="margin" w:alignment="right" w:leader="dot"/>
          </w:r>
          <w:r w:rsidR="00502FC5">
            <w:t>14</w:t>
          </w:r>
        </w:p>
        <w:p w14:paraId="61384DB1" w14:textId="60DC7105" w:rsidR="008240AD" w:rsidRDefault="00027054" w:rsidP="008240AD">
          <w:pPr>
            <w:pStyle w:val="TOC2"/>
          </w:pPr>
          <w:r>
            <w:t xml:space="preserve">C) </w:t>
          </w:r>
          <w:r w:rsidR="008240AD">
            <w:t>Discounted Cash Flow</w:t>
          </w:r>
          <w:r>
            <w:t xml:space="preserve"> Model</w:t>
          </w:r>
          <w:r w:rsidR="008240AD">
            <w:ptab w:relativeTo="margin" w:alignment="right" w:leader="dot"/>
          </w:r>
          <w:r w:rsidR="00502FC5">
            <w:t>15</w:t>
          </w:r>
        </w:p>
        <w:p w14:paraId="7C798EB1" w14:textId="752E6577" w:rsidR="00027054" w:rsidRDefault="00027054" w:rsidP="00027054">
          <w:pPr>
            <w:pStyle w:val="TOC2"/>
          </w:pPr>
          <w:r>
            <w:t>D) Comparable Companies Model</w:t>
          </w:r>
          <w:r>
            <w:ptab w:relativeTo="margin" w:alignment="right" w:leader="dot"/>
          </w:r>
          <w:r w:rsidR="00502FC5">
            <w:t>16</w:t>
          </w:r>
        </w:p>
        <w:p w14:paraId="7019BC02" w14:textId="58EB1842" w:rsidR="00027054" w:rsidRDefault="00027054" w:rsidP="00027054">
          <w:pPr>
            <w:pStyle w:val="TOC2"/>
          </w:pPr>
          <w:r>
            <w:t>E) Sensitivity Analysis</w:t>
          </w:r>
          <w:r>
            <w:ptab w:relativeTo="margin" w:alignment="right" w:leader="dot"/>
          </w:r>
          <w:r w:rsidR="00502FC5">
            <w:t>1</w:t>
          </w:r>
          <w:r w:rsidR="00035F03">
            <w:t>6</w:t>
          </w:r>
        </w:p>
        <w:p w14:paraId="48096700" w14:textId="1F11FED6" w:rsidR="008240AD" w:rsidRDefault="00027054" w:rsidP="008240AD">
          <w:pPr>
            <w:pStyle w:val="TOC2"/>
          </w:pPr>
          <w:r>
            <w:t>F) Sources</w:t>
          </w:r>
          <w:r w:rsidR="00CB2037">
            <w:t xml:space="preserve"> Used</w:t>
          </w:r>
          <w:r w:rsidR="008240AD">
            <w:ptab w:relativeTo="margin" w:alignment="right" w:leader="dot"/>
          </w:r>
          <w:r w:rsidR="00502FC5">
            <w:t>1</w:t>
          </w:r>
          <w:r w:rsidR="00035F03">
            <w:t>6</w:t>
          </w:r>
        </w:p>
        <w:p w14:paraId="602F2A27" w14:textId="3235F126" w:rsidR="00D45C57" w:rsidRDefault="00D45C57" w:rsidP="00B61281">
          <w:pPr>
            <w:rPr>
              <w:noProof/>
            </w:rPr>
          </w:pPr>
          <w:r>
            <w:rPr>
              <w:noProof/>
            </w:rPr>
            <w:br w:type="page"/>
          </w:r>
        </w:p>
      </w:sdtContent>
    </w:sdt>
    <w:p w14:paraId="4ACB9D96" w14:textId="71FC6B52" w:rsidR="008C1E99" w:rsidRDefault="008C1E99" w:rsidP="006A5BA9">
      <w:pPr>
        <w:rPr>
          <w:noProof/>
        </w:rPr>
      </w:pPr>
      <w:r>
        <w:rPr>
          <w:noProof/>
        </w:rPr>
        <w:lastRenderedPageBreak/>
        <mc:AlternateContent>
          <mc:Choice Requires="wps">
            <w:drawing>
              <wp:anchor distT="0" distB="0" distL="114300" distR="114300" simplePos="0" relativeHeight="251672576" behindDoc="0" locked="0" layoutInCell="1" allowOverlap="1" wp14:anchorId="0F8905CD" wp14:editId="69E82567">
                <wp:simplePos x="0" y="0"/>
                <wp:positionH relativeFrom="page">
                  <wp:posOffset>5448300</wp:posOffset>
                </wp:positionH>
                <wp:positionV relativeFrom="page">
                  <wp:posOffset>323850</wp:posOffset>
                </wp:positionV>
                <wp:extent cx="2247900" cy="609600"/>
                <wp:effectExtent l="0" t="0" r="0" b="0"/>
                <wp:wrapNone/>
                <wp:docPr id="26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77F6" w14:textId="08F29A94" w:rsidR="00D222D1" w:rsidRPr="00E14908" w:rsidRDefault="00D222D1" w:rsidP="00E14908">
                            <w:pPr>
                              <w:pStyle w:val="Heading1"/>
                              <w:rPr>
                                <w:color w:val="002060"/>
                                <w:sz w:val="28"/>
                                <w:szCs w:val="28"/>
                              </w:rPr>
                            </w:pPr>
                            <w:r w:rsidRPr="00E14908">
                              <w:rPr>
                                <w:color w:val="002060"/>
                                <w:sz w:val="28"/>
                                <w:szCs w:val="28"/>
                              </w:rPr>
                              <w:t>Long Analyst Report Executive Summary</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905CD" id="Text Box 356" o:spid="_x0000_s1027" type="#_x0000_t202" style="position:absolute;margin-left:429pt;margin-top:25.5pt;width:177pt;height:4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" filled="f" stroked="f">
                <v:textbox inset="0,.72pt,0,0">
                  <w:txbxContent>
                    <w:p w14:paraId="677F77F6" w14:textId="08F29A94" w:rsidR="00D222D1" w:rsidRPr="00E14908" w:rsidRDefault="00D222D1" w:rsidP="00E14908">
                      <w:pPr>
                        <w:pStyle w:val="Heading1"/>
                        <w:rPr>
                          <w:color w:val="002060"/>
                          <w:sz w:val="28"/>
                          <w:szCs w:val="28"/>
                        </w:rPr>
                      </w:pPr>
                      <w:r w:rsidRPr="00E14908">
                        <w:rPr>
                          <w:color w:val="002060"/>
                          <w:sz w:val="28"/>
                          <w:szCs w:val="28"/>
                        </w:rPr>
                        <w:t>Long Analyst Report Executive Summary</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1DC990E" wp14:editId="71705479">
                <wp:simplePos x="0" y="0"/>
                <wp:positionH relativeFrom="page">
                  <wp:posOffset>260985</wp:posOffset>
                </wp:positionH>
                <wp:positionV relativeFrom="page">
                  <wp:posOffset>771525</wp:posOffset>
                </wp:positionV>
                <wp:extent cx="4227095" cy="347980"/>
                <wp:effectExtent l="0" t="0" r="2540" b="7620"/>
                <wp:wrapNone/>
                <wp:docPr id="26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0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B057" w14:textId="77381CE1" w:rsidR="00D222D1" w:rsidRPr="00BF2A22" w:rsidRDefault="00D222D1" w:rsidP="008F2318">
                            <w:pPr>
                              <w:pStyle w:val="CompanyInfo"/>
                              <w:rPr>
                                <w:rFonts w:ascii="Arial" w:hAnsi="Arial"/>
                                <w:b/>
                                <w:color w:val="002060"/>
                                <w:sz w:val="24"/>
                                <w:szCs w:val="24"/>
                              </w:rPr>
                            </w:pPr>
                            <w:r>
                              <w:rPr>
                                <w:rFonts w:asciiTheme="minorEastAsia" w:eastAsiaTheme="minorEastAsia" w:hAnsiTheme="minorEastAsia"/>
                                <w:b/>
                                <w:color w:val="002060"/>
                                <w:sz w:val="36"/>
                                <w:szCs w:val="36"/>
                                <w:lang w:eastAsia="zh-CN"/>
                              </w:rPr>
                              <w:t xml:space="preserve">The Walt Disney Company </w:t>
                            </w:r>
                            <w:r w:rsidRPr="00BF2A22">
                              <w:rPr>
                                <w:rFonts w:ascii="Arial" w:eastAsiaTheme="minorEastAsia" w:hAnsi="Arial"/>
                                <w:b/>
                                <w:color w:val="002060"/>
                                <w:sz w:val="24"/>
                                <w:szCs w:val="24"/>
                                <w:lang w:eastAsia="zh-CN"/>
                              </w:rPr>
                              <w:t>(</w:t>
                            </w:r>
                            <w:r>
                              <w:rPr>
                                <w:rFonts w:ascii="Arial" w:eastAsiaTheme="minorEastAsia" w:hAnsi="Arial"/>
                                <w:b/>
                                <w:color w:val="002060"/>
                                <w:sz w:val="24"/>
                                <w:szCs w:val="24"/>
                                <w:lang w:eastAsia="zh-CN"/>
                              </w:rPr>
                              <w:t>Ticker: DIS</w:t>
                            </w:r>
                            <w:r w:rsidRPr="00BF2A22">
                              <w:rPr>
                                <w:rFonts w:ascii="Arial" w:eastAsiaTheme="minorEastAsia" w:hAnsi="Arial"/>
                                <w:b/>
                                <w:color w:val="002060"/>
                                <w:sz w:val="24"/>
                                <w:szCs w:val="24"/>
                                <w:lang w:eastAsia="zh-CN"/>
                              </w:rPr>
                              <w:t>)</w:t>
                            </w:r>
                          </w:p>
                          <w:p w14:paraId="5C41D7B7" w14:textId="77777777" w:rsidR="00D222D1" w:rsidRPr="00820658" w:rsidRDefault="00D222D1" w:rsidP="008F2318">
                            <w:pPr>
                              <w:pStyle w:val="CompanyInfo"/>
                              <w:rPr>
                                <w:rFonts w:ascii="Arial" w:hAnsi="Arial"/>
                                <w:color w:val="002060"/>
                                <w:sz w:val="20"/>
                                <w:szCs w:val="20"/>
                              </w:rP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90E" id="_x0000_s1028" type="#_x0000_t202" style="position:absolute;margin-left:20.55pt;margin-top:60.75pt;width:332.85pt;height:2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" filled="f" stroked="f">
                <v:textbox inset="0,.72pt,0,0">
                  <w:txbxContent>
                    <w:p w14:paraId="4568B057" w14:textId="77381CE1" w:rsidR="00D222D1" w:rsidRPr="00BF2A22" w:rsidRDefault="00D222D1" w:rsidP="008F2318">
                      <w:pPr>
                        <w:pStyle w:val="CompanyInfo"/>
                        <w:rPr>
                          <w:rFonts w:ascii="Arial" w:hAnsi="Arial"/>
                          <w:b/>
                          <w:color w:val="002060"/>
                          <w:sz w:val="24"/>
                          <w:szCs w:val="24"/>
                        </w:rPr>
                      </w:pPr>
                      <w:r>
                        <w:rPr>
                          <w:rFonts w:asciiTheme="minorEastAsia" w:eastAsiaTheme="minorEastAsia" w:hAnsiTheme="minorEastAsia"/>
                          <w:b/>
                          <w:color w:val="002060"/>
                          <w:sz w:val="36"/>
                          <w:szCs w:val="36"/>
                          <w:lang w:eastAsia="zh-CN"/>
                        </w:rPr>
                        <w:t xml:space="preserve">The Walt Disney Company </w:t>
                      </w:r>
                      <w:r w:rsidRPr="00BF2A22">
                        <w:rPr>
                          <w:rFonts w:ascii="Arial" w:eastAsiaTheme="minorEastAsia" w:hAnsi="Arial"/>
                          <w:b/>
                          <w:color w:val="002060"/>
                          <w:sz w:val="24"/>
                          <w:szCs w:val="24"/>
                          <w:lang w:eastAsia="zh-CN"/>
                        </w:rPr>
                        <w:t>(</w:t>
                      </w:r>
                      <w:r>
                        <w:rPr>
                          <w:rFonts w:ascii="Arial" w:eastAsiaTheme="minorEastAsia" w:hAnsi="Arial"/>
                          <w:b/>
                          <w:color w:val="002060"/>
                          <w:sz w:val="24"/>
                          <w:szCs w:val="24"/>
                          <w:lang w:eastAsia="zh-CN"/>
                        </w:rPr>
                        <w:t>Ticker: DIS</w:t>
                      </w:r>
                      <w:r w:rsidRPr="00BF2A22">
                        <w:rPr>
                          <w:rFonts w:ascii="Arial" w:eastAsiaTheme="minorEastAsia" w:hAnsi="Arial"/>
                          <w:b/>
                          <w:color w:val="002060"/>
                          <w:sz w:val="24"/>
                          <w:szCs w:val="24"/>
                          <w:lang w:eastAsia="zh-CN"/>
                        </w:rPr>
                        <w:t>)</w:t>
                      </w:r>
                    </w:p>
                    <w:p w14:paraId="5C41D7B7" w14:textId="77777777" w:rsidR="00D222D1" w:rsidRPr="00820658" w:rsidRDefault="00D222D1" w:rsidP="008F2318">
                      <w:pPr>
                        <w:pStyle w:val="CompanyInfo"/>
                        <w:rPr>
                          <w:rFonts w:ascii="Arial" w:hAnsi="Arial"/>
                          <w:color w:val="002060"/>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736064" behindDoc="0" locked="0" layoutInCell="1" allowOverlap="1" wp14:anchorId="1A3E1A27" wp14:editId="3F1F7B4F">
                <wp:simplePos x="0" y="0"/>
                <wp:positionH relativeFrom="margin">
                  <wp:posOffset>4660900</wp:posOffset>
                </wp:positionH>
                <wp:positionV relativeFrom="paragraph">
                  <wp:posOffset>697230</wp:posOffset>
                </wp:positionV>
                <wp:extent cx="2505710" cy="958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505710" cy="958850"/>
                        </a:xfrm>
                        <a:prstGeom prst="rect">
                          <a:avLst/>
                        </a:prstGeom>
                        <a:noFill/>
                        <a:ln w="6350">
                          <a:noFill/>
                        </a:ln>
                      </wps:spPr>
                      <wps:txbx>
                        <w:txbxContent>
                          <w:p w14:paraId="05CCC979" w14:textId="3858E70B" w:rsidR="00D222D1" w:rsidRPr="009F7B80" w:rsidRDefault="00D222D1" w:rsidP="007E3EE5">
                            <w:pPr>
                              <w:tabs>
                                <w:tab w:val="left" w:pos="2373"/>
                              </w:tabs>
                              <w:rPr>
                                <w:rFonts w:cs="Arial"/>
                                <w:color w:val="002060"/>
                                <w:sz w:val="18"/>
                                <w:szCs w:val="18"/>
                              </w:rPr>
                            </w:pPr>
                            <w:r w:rsidRPr="009F7B80">
                              <w:rPr>
                                <w:rFonts w:cs="Arial"/>
                                <w:color w:val="002060"/>
                                <w:sz w:val="18"/>
                                <w:szCs w:val="18"/>
                              </w:rPr>
                              <w:t>S&amp;P Credit Rating: A+</w:t>
                            </w:r>
                          </w:p>
                          <w:tbl>
                            <w:tblPr>
                              <w:tblStyle w:val="TableGrid"/>
                              <w:tblW w:w="0" w:type="auto"/>
                              <w:tblLook w:val="04A0" w:firstRow="1" w:lastRow="0" w:firstColumn="1" w:lastColumn="0" w:noHBand="0" w:noVBand="1"/>
                            </w:tblPr>
                            <w:tblGrid>
                              <w:gridCol w:w="1467"/>
                              <w:gridCol w:w="1062"/>
                              <w:gridCol w:w="1109"/>
                            </w:tblGrid>
                            <w:tr w:rsidR="00D222D1" w:rsidRPr="009F7B80" w14:paraId="5FD7D019" w14:textId="77777777" w:rsidTr="003F1C69">
                              <w:tc>
                                <w:tcPr>
                                  <w:tcW w:w="1467" w:type="dxa"/>
                                </w:tcPr>
                                <w:p w14:paraId="1C59E36D" w14:textId="77777777" w:rsidR="00D222D1" w:rsidRPr="009F7B80" w:rsidRDefault="00D222D1" w:rsidP="00AC5679">
                                  <w:pPr>
                                    <w:tabs>
                                      <w:tab w:val="left" w:pos="2373"/>
                                    </w:tabs>
                                    <w:rPr>
                                      <w:rFonts w:cs="Arial"/>
                                      <w:color w:val="002060"/>
                                      <w:sz w:val="18"/>
                                      <w:szCs w:val="18"/>
                                    </w:rPr>
                                  </w:pPr>
                                </w:p>
                              </w:tc>
                              <w:tc>
                                <w:tcPr>
                                  <w:tcW w:w="1062" w:type="dxa"/>
                                </w:tcPr>
                                <w:p w14:paraId="3F76967A" w14:textId="6474E37A" w:rsidR="00D222D1" w:rsidRPr="009F7B80" w:rsidRDefault="00D222D1" w:rsidP="009F7B80">
                                  <w:pPr>
                                    <w:tabs>
                                      <w:tab w:val="left" w:pos="2373"/>
                                    </w:tabs>
                                    <w:jc w:val="center"/>
                                    <w:rPr>
                                      <w:rFonts w:cs="Arial"/>
                                      <w:b/>
                                      <w:color w:val="002060"/>
                                      <w:sz w:val="18"/>
                                      <w:szCs w:val="18"/>
                                    </w:rPr>
                                  </w:pPr>
                                  <w:r w:rsidRPr="009F7B80">
                                    <w:rPr>
                                      <w:rFonts w:cs="Arial"/>
                                      <w:b/>
                                      <w:color w:val="002060"/>
                                      <w:sz w:val="18"/>
                                      <w:szCs w:val="18"/>
                                    </w:rPr>
                                    <w:t>DIS</w:t>
                                  </w:r>
                                </w:p>
                              </w:tc>
                              <w:tc>
                                <w:tcPr>
                                  <w:tcW w:w="1109" w:type="dxa"/>
                                </w:tcPr>
                                <w:p w14:paraId="4377A3E8" w14:textId="17BC7C23" w:rsidR="00D222D1" w:rsidRPr="009F7B80" w:rsidRDefault="00D222D1" w:rsidP="009F7B80">
                                  <w:pPr>
                                    <w:tabs>
                                      <w:tab w:val="left" w:pos="2373"/>
                                    </w:tabs>
                                    <w:jc w:val="center"/>
                                    <w:rPr>
                                      <w:rFonts w:cs="Arial"/>
                                      <w:b/>
                                      <w:color w:val="002060"/>
                                      <w:sz w:val="18"/>
                                      <w:szCs w:val="18"/>
                                    </w:rPr>
                                  </w:pPr>
                                  <w:r w:rsidRPr="009F7B80">
                                    <w:rPr>
                                      <w:rFonts w:cs="Arial"/>
                                      <w:b/>
                                      <w:color w:val="002060"/>
                                      <w:sz w:val="18"/>
                                      <w:szCs w:val="18"/>
                                    </w:rPr>
                                    <w:t>Peers</w:t>
                                  </w:r>
                                </w:p>
                              </w:tc>
                            </w:tr>
                            <w:tr w:rsidR="00D222D1" w:rsidRPr="009F7B80" w14:paraId="15962807" w14:textId="77777777" w:rsidTr="003F1C69">
                              <w:tc>
                                <w:tcPr>
                                  <w:tcW w:w="1467" w:type="dxa"/>
                                </w:tcPr>
                                <w:p w14:paraId="75574098" w14:textId="77777777"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 xml:space="preserve">ESG </w:t>
                                  </w:r>
                                </w:p>
                              </w:tc>
                              <w:tc>
                                <w:tcPr>
                                  <w:tcW w:w="1062" w:type="dxa"/>
                                </w:tcPr>
                                <w:p w14:paraId="2F560E8A" w14:textId="180BE8E8"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5</w:t>
                                  </w:r>
                                  <w:r w:rsidRPr="009F7B80">
                                    <w:rPr>
                                      <w:rFonts w:cs="Arial"/>
                                      <w:color w:val="002060"/>
                                      <w:sz w:val="18"/>
                                      <w:szCs w:val="18"/>
                                    </w:rPr>
                                    <w:t>.</w:t>
                                  </w:r>
                                  <w:r>
                                    <w:rPr>
                                      <w:rFonts w:cs="Arial"/>
                                      <w:color w:val="002060"/>
                                      <w:sz w:val="18"/>
                                      <w:szCs w:val="18"/>
                                    </w:rPr>
                                    <w:t>5</w:t>
                                  </w:r>
                                </w:p>
                              </w:tc>
                              <w:tc>
                                <w:tcPr>
                                  <w:tcW w:w="1109" w:type="dxa"/>
                                </w:tcPr>
                                <w:p w14:paraId="13789FC6" w14:textId="65D57966" w:rsidR="00D222D1" w:rsidRPr="009F7B80" w:rsidRDefault="00D222D1" w:rsidP="009F7B80">
                                  <w:pPr>
                                    <w:tabs>
                                      <w:tab w:val="left" w:pos="2373"/>
                                    </w:tabs>
                                    <w:jc w:val="center"/>
                                    <w:rPr>
                                      <w:rFonts w:cs="Arial"/>
                                      <w:color w:val="002060"/>
                                      <w:sz w:val="18"/>
                                      <w:szCs w:val="18"/>
                                    </w:rPr>
                                  </w:pPr>
                                  <w:r>
                                    <w:rPr>
                                      <w:rFonts w:cs="Arial"/>
                                      <w:color w:val="002060"/>
                                      <w:sz w:val="18"/>
                                      <w:szCs w:val="18"/>
                                    </w:rPr>
                                    <w:t>60</w:t>
                                  </w:r>
                                  <w:r w:rsidRPr="009F7B80">
                                    <w:rPr>
                                      <w:rFonts w:cs="Arial"/>
                                      <w:color w:val="002060"/>
                                      <w:sz w:val="18"/>
                                      <w:szCs w:val="18"/>
                                    </w:rPr>
                                    <w:t>.</w:t>
                                  </w:r>
                                  <w:r>
                                    <w:rPr>
                                      <w:rFonts w:cs="Arial"/>
                                      <w:color w:val="002060"/>
                                      <w:sz w:val="18"/>
                                      <w:szCs w:val="18"/>
                                    </w:rPr>
                                    <w:t>2</w:t>
                                  </w:r>
                                </w:p>
                              </w:tc>
                            </w:tr>
                            <w:tr w:rsidR="00D222D1" w:rsidRPr="009F7B80" w14:paraId="59DD5647" w14:textId="77777777" w:rsidTr="003F1C69">
                              <w:tc>
                                <w:tcPr>
                                  <w:tcW w:w="1467" w:type="dxa"/>
                                </w:tcPr>
                                <w:p w14:paraId="3C8A57C1" w14:textId="63EF24A1" w:rsidR="00D222D1" w:rsidRPr="009F7B80" w:rsidRDefault="00D222D1" w:rsidP="003F1C69">
                                  <w:pPr>
                                    <w:tabs>
                                      <w:tab w:val="left" w:pos="2373"/>
                                    </w:tabs>
                                    <w:rPr>
                                      <w:rFonts w:cs="Arial"/>
                                      <w:b/>
                                      <w:color w:val="002060"/>
                                      <w:sz w:val="18"/>
                                      <w:szCs w:val="18"/>
                                    </w:rPr>
                                  </w:pPr>
                                  <w:r w:rsidRPr="009F7B80">
                                    <w:rPr>
                                      <w:rFonts w:cs="Arial"/>
                                      <w:b/>
                                      <w:color w:val="002060"/>
                                      <w:sz w:val="18"/>
                                      <w:szCs w:val="18"/>
                                    </w:rPr>
                                    <w:t>Environmental</w:t>
                                  </w:r>
                                </w:p>
                              </w:tc>
                              <w:tc>
                                <w:tcPr>
                                  <w:tcW w:w="1062" w:type="dxa"/>
                                </w:tcPr>
                                <w:p w14:paraId="22555E55" w14:textId="1726648F"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65.</w:t>
                                  </w:r>
                                  <w:r>
                                    <w:rPr>
                                      <w:rFonts w:cs="Arial"/>
                                      <w:color w:val="002060"/>
                                      <w:sz w:val="18"/>
                                      <w:szCs w:val="18"/>
                                    </w:rPr>
                                    <w:t>2</w:t>
                                  </w:r>
                                </w:p>
                              </w:tc>
                              <w:tc>
                                <w:tcPr>
                                  <w:tcW w:w="1109" w:type="dxa"/>
                                </w:tcPr>
                                <w:p w14:paraId="4010A6D7" w14:textId="7D6EDDBB"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5</w:t>
                                  </w:r>
                                  <w:r>
                                    <w:rPr>
                                      <w:rFonts w:cs="Arial"/>
                                      <w:color w:val="002060"/>
                                      <w:sz w:val="18"/>
                                      <w:szCs w:val="18"/>
                                    </w:rPr>
                                    <w:t>9</w:t>
                                  </w:r>
                                  <w:r w:rsidRPr="009F7B80">
                                    <w:rPr>
                                      <w:rFonts w:cs="Arial"/>
                                      <w:color w:val="002060"/>
                                      <w:sz w:val="18"/>
                                      <w:szCs w:val="18"/>
                                    </w:rPr>
                                    <w:t>.</w:t>
                                  </w:r>
                                  <w:r>
                                    <w:rPr>
                                      <w:rFonts w:cs="Arial"/>
                                      <w:color w:val="002060"/>
                                      <w:sz w:val="18"/>
                                      <w:szCs w:val="18"/>
                                    </w:rPr>
                                    <w:t>3</w:t>
                                  </w:r>
                                </w:p>
                              </w:tc>
                            </w:tr>
                            <w:tr w:rsidR="00D222D1" w:rsidRPr="009F7B80" w14:paraId="5FDD7AAB" w14:textId="77777777" w:rsidTr="003F1C69">
                              <w:tc>
                                <w:tcPr>
                                  <w:tcW w:w="1467" w:type="dxa"/>
                                </w:tcPr>
                                <w:p w14:paraId="1B43C946" w14:textId="44918FF3"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Social</w:t>
                                  </w:r>
                                </w:p>
                              </w:tc>
                              <w:tc>
                                <w:tcPr>
                                  <w:tcW w:w="1062" w:type="dxa"/>
                                </w:tcPr>
                                <w:p w14:paraId="128D2FFD" w14:textId="2E3F0F1A"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3</w:t>
                                  </w:r>
                                  <w:r w:rsidRPr="009F7B80">
                                    <w:rPr>
                                      <w:rFonts w:cs="Arial"/>
                                      <w:color w:val="002060"/>
                                      <w:sz w:val="18"/>
                                      <w:szCs w:val="18"/>
                                    </w:rPr>
                                    <w:t>.</w:t>
                                  </w:r>
                                  <w:r>
                                    <w:rPr>
                                      <w:rFonts w:cs="Arial"/>
                                      <w:color w:val="002060"/>
                                      <w:sz w:val="18"/>
                                      <w:szCs w:val="18"/>
                                    </w:rPr>
                                    <w:t>5</w:t>
                                  </w:r>
                                </w:p>
                              </w:tc>
                              <w:tc>
                                <w:tcPr>
                                  <w:tcW w:w="1109" w:type="dxa"/>
                                </w:tcPr>
                                <w:p w14:paraId="4D76C12B" w14:textId="785F8BBE"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54.</w:t>
                                  </w:r>
                                  <w:r>
                                    <w:rPr>
                                      <w:rFonts w:cs="Arial"/>
                                      <w:color w:val="002060"/>
                                      <w:sz w:val="18"/>
                                      <w:szCs w:val="18"/>
                                    </w:rPr>
                                    <w:t>4</w:t>
                                  </w:r>
                                </w:p>
                              </w:tc>
                            </w:tr>
                            <w:tr w:rsidR="00D222D1" w:rsidRPr="009F7B80" w14:paraId="1D8A7FC7" w14:textId="77777777" w:rsidTr="003F1C69">
                              <w:tc>
                                <w:tcPr>
                                  <w:tcW w:w="1467" w:type="dxa"/>
                                </w:tcPr>
                                <w:p w14:paraId="4EB7C91D" w14:textId="77777777"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Governance</w:t>
                                  </w:r>
                                </w:p>
                              </w:tc>
                              <w:tc>
                                <w:tcPr>
                                  <w:tcW w:w="1062" w:type="dxa"/>
                                </w:tcPr>
                                <w:p w14:paraId="7BAB32F3" w14:textId="3D1BC34E"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7</w:t>
                                  </w:r>
                                  <w:r w:rsidRPr="009F7B80">
                                    <w:rPr>
                                      <w:rFonts w:cs="Arial"/>
                                      <w:color w:val="002060"/>
                                      <w:sz w:val="18"/>
                                      <w:szCs w:val="18"/>
                                    </w:rPr>
                                    <w:t>.</w:t>
                                  </w:r>
                                  <w:r>
                                    <w:rPr>
                                      <w:rFonts w:cs="Arial"/>
                                      <w:color w:val="002060"/>
                                      <w:sz w:val="18"/>
                                      <w:szCs w:val="18"/>
                                    </w:rPr>
                                    <w:t>9</w:t>
                                  </w:r>
                                </w:p>
                              </w:tc>
                              <w:tc>
                                <w:tcPr>
                                  <w:tcW w:w="1109" w:type="dxa"/>
                                </w:tcPr>
                                <w:p w14:paraId="71CE972D" w14:textId="0FD7DA87"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66.</w:t>
                                  </w:r>
                                  <w:r>
                                    <w:rPr>
                                      <w:rFonts w:cs="Arial"/>
                                      <w:color w:val="002060"/>
                                      <w:sz w:val="18"/>
                                      <w:szCs w:val="18"/>
                                    </w:rPr>
                                    <w:t>9</w:t>
                                  </w:r>
                                </w:p>
                              </w:tc>
                            </w:tr>
                          </w:tbl>
                          <w:p w14:paraId="6554B475" w14:textId="77777777" w:rsidR="00D222D1" w:rsidRPr="009F7B80" w:rsidRDefault="00D222D1" w:rsidP="007E3EE5">
                            <w:pPr>
                              <w:tabs>
                                <w:tab w:val="left" w:pos="2373"/>
                              </w:tabs>
                              <w:rPr>
                                <w:rFonts w:cs="Arial"/>
                                <w:color w:val="002060"/>
                                <w:sz w:val="18"/>
                                <w:szCs w:val="18"/>
                              </w:rPr>
                            </w:pPr>
                          </w:p>
                          <w:p w14:paraId="7D9BCB0F" w14:textId="77777777" w:rsidR="00D222D1" w:rsidRPr="009F7B80" w:rsidRDefault="00D222D1" w:rsidP="007E3EE5">
                            <w:pPr>
                              <w:rPr>
                                <w:rFonts w:cs="Arial"/>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1A27" id="Text Box 3" o:spid="_x0000_s1029" type="#_x0000_t202" style="position:absolute;margin-left:367pt;margin-top:54.9pt;width:197.3pt;height:7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" filled="f" stroked="f" strokeweight=".5pt">
                <v:textbox>
                  <w:txbxContent>
                    <w:p w14:paraId="05CCC979" w14:textId="3858E70B" w:rsidR="00D222D1" w:rsidRPr="009F7B80" w:rsidRDefault="00D222D1" w:rsidP="007E3EE5">
                      <w:pPr>
                        <w:tabs>
                          <w:tab w:val="left" w:pos="2373"/>
                        </w:tabs>
                        <w:rPr>
                          <w:rFonts w:cs="Arial"/>
                          <w:color w:val="002060"/>
                          <w:sz w:val="18"/>
                          <w:szCs w:val="18"/>
                        </w:rPr>
                      </w:pPr>
                      <w:r w:rsidRPr="009F7B80">
                        <w:rPr>
                          <w:rFonts w:cs="Arial"/>
                          <w:color w:val="002060"/>
                          <w:sz w:val="18"/>
                          <w:szCs w:val="18"/>
                        </w:rPr>
                        <w:t>S&amp;P Credit Rating: A+</w:t>
                      </w:r>
                    </w:p>
                    <w:tbl>
                      <w:tblPr>
                        <w:tblStyle w:val="TableGrid"/>
                        <w:tblW w:w="0" w:type="auto"/>
                        <w:tblLook w:val="04A0" w:firstRow="1" w:lastRow="0" w:firstColumn="1" w:lastColumn="0" w:noHBand="0" w:noVBand="1"/>
                      </w:tblPr>
                      <w:tblGrid>
                        <w:gridCol w:w="1467"/>
                        <w:gridCol w:w="1062"/>
                        <w:gridCol w:w="1109"/>
                      </w:tblGrid>
                      <w:tr w:rsidR="00D222D1" w:rsidRPr="009F7B80" w14:paraId="5FD7D019" w14:textId="77777777" w:rsidTr="003F1C69">
                        <w:tc>
                          <w:tcPr>
                            <w:tcW w:w="1467" w:type="dxa"/>
                          </w:tcPr>
                          <w:p w14:paraId="1C59E36D" w14:textId="77777777" w:rsidR="00D222D1" w:rsidRPr="009F7B80" w:rsidRDefault="00D222D1" w:rsidP="00AC5679">
                            <w:pPr>
                              <w:tabs>
                                <w:tab w:val="left" w:pos="2373"/>
                              </w:tabs>
                              <w:rPr>
                                <w:rFonts w:cs="Arial"/>
                                <w:color w:val="002060"/>
                                <w:sz w:val="18"/>
                                <w:szCs w:val="18"/>
                              </w:rPr>
                            </w:pPr>
                          </w:p>
                        </w:tc>
                        <w:tc>
                          <w:tcPr>
                            <w:tcW w:w="1062" w:type="dxa"/>
                          </w:tcPr>
                          <w:p w14:paraId="3F76967A" w14:textId="6474E37A" w:rsidR="00D222D1" w:rsidRPr="009F7B80" w:rsidRDefault="00D222D1" w:rsidP="009F7B80">
                            <w:pPr>
                              <w:tabs>
                                <w:tab w:val="left" w:pos="2373"/>
                              </w:tabs>
                              <w:jc w:val="center"/>
                              <w:rPr>
                                <w:rFonts w:cs="Arial"/>
                                <w:b/>
                                <w:color w:val="002060"/>
                                <w:sz w:val="18"/>
                                <w:szCs w:val="18"/>
                              </w:rPr>
                            </w:pPr>
                            <w:r w:rsidRPr="009F7B80">
                              <w:rPr>
                                <w:rFonts w:cs="Arial"/>
                                <w:b/>
                                <w:color w:val="002060"/>
                                <w:sz w:val="18"/>
                                <w:szCs w:val="18"/>
                              </w:rPr>
                              <w:t>DIS</w:t>
                            </w:r>
                          </w:p>
                        </w:tc>
                        <w:tc>
                          <w:tcPr>
                            <w:tcW w:w="1109" w:type="dxa"/>
                          </w:tcPr>
                          <w:p w14:paraId="4377A3E8" w14:textId="17BC7C23" w:rsidR="00D222D1" w:rsidRPr="009F7B80" w:rsidRDefault="00D222D1" w:rsidP="009F7B80">
                            <w:pPr>
                              <w:tabs>
                                <w:tab w:val="left" w:pos="2373"/>
                              </w:tabs>
                              <w:jc w:val="center"/>
                              <w:rPr>
                                <w:rFonts w:cs="Arial"/>
                                <w:b/>
                                <w:color w:val="002060"/>
                                <w:sz w:val="18"/>
                                <w:szCs w:val="18"/>
                              </w:rPr>
                            </w:pPr>
                            <w:r w:rsidRPr="009F7B80">
                              <w:rPr>
                                <w:rFonts w:cs="Arial"/>
                                <w:b/>
                                <w:color w:val="002060"/>
                                <w:sz w:val="18"/>
                                <w:szCs w:val="18"/>
                              </w:rPr>
                              <w:t>Peers</w:t>
                            </w:r>
                          </w:p>
                        </w:tc>
                      </w:tr>
                      <w:tr w:rsidR="00D222D1" w:rsidRPr="009F7B80" w14:paraId="15962807" w14:textId="77777777" w:rsidTr="003F1C69">
                        <w:tc>
                          <w:tcPr>
                            <w:tcW w:w="1467" w:type="dxa"/>
                          </w:tcPr>
                          <w:p w14:paraId="75574098" w14:textId="77777777"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 xml:space="preserve">ESG </w:t>
                            </w:r>
                          </w:p>
                        </w:tc>
                        <w:tc>
                          <w:tcPr>
                            <w:tcW w:w="1062" w:type="dxa"/>
                          </w:tcPr>
                          <w:p w14:paraId="2F560E8A" w14:textId="180BE8E8"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5</w:t>
                            </w:r>
                            <w:r w:rsidRPr="009F7B80">
                              <w:rPr>
                                <w:rFonts w:cs="Arial"/>
                                <w:color w:val="002060"/>
                                <w:sz w:val="18"/>
                                <w:szCs w:val="18"/>
                              </w:rPr>
                              <w:t>.</w:t>
                            </w:r>
                            <w:r>
                              <w:rPr>
                                <w:rFonts w:cs="Arial"/>
                                <w:color w:val="002060"/>
                                <w:sz w:val="18"/>
                                <w:szCs w:val="18"/>
                              </w:rPr>
                              <w:t>5</w:t>
                            </w:r>
                          </w:p>
                        </w:tc>
                        <w:tc>
                          <w:tcPr>
                            <w:tcW w:w="1109" w:type="dxa"/>
                          </w:tcPr>
                          <w:p w14:paraId="13789FC6" w14:textId="65D57966" w:rsidR="00D222D1" w:rsidRPr="009F7B80" w:rsidRDefault="00D222D1" w:rsidP="009F7B80">
                            <w:pPr>
                              <w:tabs>
                                <w:tab w:val="left" w:pos="2373"/>
                              </w:tabs>
                              <w:jc w:val="center"/>
                              <w:rPr>
                                <w:rFonts w:cs="Arial"/>
                                <w:color w:val="002060"/>
                                <w:sz w:val="18"/>
                                <w:szCs w:val="18"/>
                              </w:rPr>
                            </w:pPr>
                            <w:r>
                              <w:rPr>
                                <w:rFonts w:cs="Arial"/>
                                <w:color w:val="002060"/>
                                <w:sz w:val="18"/>
                                <w:szCs w:val="18"/>
                              </w:rPr>
                              <w:t>60</w:t>
                            </w:r>
                            <w:r w:rsidRPr="009F7B80">
                              <w:rPr>
                                <w:rFonts w:cs="Arial"/>
                                <w:color w:val="002060"/>
                                <w:sz w:val="18"/>
                                <w:szCs w:val="18"/>
                              </w:rPr>
                              <w:t>.</w:t>
                            </w:r>
                            <w:r>
                              <w:rPr>
                                <w:rFonts w:cs="Arial"/>
                                <w:color w:val="002060"/>
                                <w:sz w:val="18"/>
                                <w:szCs w:val="18"/>
                              </w:rPr>
                              <w:t>2</w:t>
                            </w:r>
                          </w:p>
                        </w:tc>
                      </w:tr>
                      <w:tr w:rsidR="00D222D1" w:rsidRPr="009F7B80" w14:paraId="59DD5647" w14:textId="77777777" w:rsidTr="003F1C69">
                        <w:tc>
                          <w:tcPr>
                            <w:tcW w:w="1467" w:type="dxa"/>
                          </w:tcPr>
                          <w:p w14:paraId="3C8A57C1" w14:textId="63EF24A1" w:rsidR="00D222D1" w:rsidRPr="009F7B80" w:rsidRDefault="00D222D1" w:rsidP="003F1C69">
                            <w:pPr>
                              <w:tabs>
                                <w:tab w:val="left" w:pos="2373"/>
                              </w:tabs>
                              <w:rPr>
                                <w:rFonts w:cs="Arial"/>
                                <w:b/>
                                <w:color w:val="002060"/>
                                <w:sz w:val="18"/>
                                <w:szCs w:val="18"/>
                              </w:rPr>
                            </w:pPr>
                            <w:r w:rsidRPr="009F7B80">
                              <w:rPr>
                                <w:rFonts w:cs="Arial"/>
                                <w:b/>
                                <w:color w:val="002060"/>
                                <w:sz w:val="18"/>
                                <w:szCs w:val="18"/>
                              </w:rPr>
                              <w:t>Environmental</w:t>
                            </w:r>
                          </w:p>
                        </w:tc>
                        <w:tc>
                          <w:tcPr>
                            <w:tcW w:w="1062" w:type="dxa"/>
                          </w:tcPr>
                          <w:p w14:paraId="22555E55" w14:textId="1726648F"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65.</w:t>
                            </w:r>
                            <w:r>
                              <w:rPr>
                                <w:rFonts w:cs="Arial"/>
                                <w:color w:val="002060"/>
                                <w:sz w:val="18"/>
                                <w:szCs w:val="18"/>
                              </w:rPr>
                              <w:t>2</w:t>
                            </w:r>
                          </w:p>
                        </w:tc>
                        <w:tc>
                          <w:tcPr>
                            <w:tcW w:w="1109" w:type="dxa"/>
                          </w:tcPr>
                          <w:p w14:paraId="4010A6D7" w14:textId="7D6EDDBB"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5</w:t>
                            </w:r>
                            <w:r>
                              <w:rPr>
                                <w:rFonts w:cs="Arial"/>
                                <w:color w:val="002060"/>
                                <w:sz w:val="18"/>
                                <w:szCs w:val="18"/>
                              </w:rPr>
                              <w:t>9</w:t>
                            </w:r>
                            <w:r w:rsidRPr="009F7B80">
                              <w:rPr>
                                <w:rFonts w:cs="Arial"/>
                                <w:color w:val="002060"/>
                                <w:sz w:val="18"/>
                                <w:szCs w:val="18"/>
                              </w:rPr>
                              <w:t>.</w:t>
                            </w:r>
                            <w:r>
                              <w:rPr>
                                <w:rFonts w:cs="Arial"/>
                                <w:color w:val="002060"/>
                                <w:sz w:val="18"/>
                                <w:szCs w:val="18"/>
                              </w:rPr>
                              <w:t>3</w:t>
                            </w:r>
                          </w:p>
                        </w:tc>
                      </w:tr>
                      <w:tr w:rsidR="00D222D1" w:rsidRPr="009F7B80" w14:paraId="5FDD7AAB" w14:textId="77777777" w:rsidTr="003F1C69">
                        <w:tc>
                          <w:tcPr>
                            <w:tcW w:w="1467" w:type="dxa"/>
                          </w:tcPr>
                          <w:p w14:paraId="1B43C946" w14:textId="44918FF3"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Social</w:t>
                            </w:r>
                          </w:p>
                        </w:tc>
                        <w:tc>
                          <w:tcPr>
                            <w:tcW w:w="1062" w:type="dxa"/>
                          </w:tcPr>
                          <w:p w14:paraId="128D2FFD" w14:textId="2E3F0F1A"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3</w:t>
                            </w:r>
                            <w:r w:rsidRPr="009F7B80">
                              <w:rPr>
                                <w:rFonts w:cs="Arial"/>
                                <w:color w:val="002060"/>
                                <w:sz w:val="18"/>
                                <w:szCs w:val="18"/>
                              </w:rPr>
                              <w:t>.</w:t>
                            </w:r>
                            <w:r>
                              <w:rPr>
                                <w:rFonts w:cs="Arial"/>
                                <w:color w:val="002060"/>
                                <w:sz w:val="18"/>
                                <w:szCs w:val="18"/>
                              </w:rPr>
                              <w:t>5</w:t>
                            </w:r>
                          </w:p>
                        </w:tc>
                        <w:tc>
                          <w:tcPr>
                            <w:tcW w:w="1109" w:type="dxa"/>
                          </w:tcPr>
                          <w:p w14:paraId="4D76C12B" w14:textId="785F8BBE"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54.</w:t>
                            </w:r>
                            <w:r>
                              <w:rPr>
                                <w:rFonts w:cs="Arial"/>
                                <w:color w:val="002060"/>
                                <w:sz w:val="18"/>
                                <w:szCs w:val="18"/>
                              </w:rPr>
                              <w:t>4</w:t>
                            </w:r>
                          </w:p>
                        </w:tc>
                      </w:tr>
                      <w:tr w:rsidR="00D222D1" w:rsidRPr="009F7B80" w14:paraId="1D8A7FC7" w14:textId="77777777" w:rsidTr="003F1C69">
                        <w:tc>
                          <w:tcPr>
                            <w:tcW w:w="1467" w:type="dxa"/>
                          </w:tcPr>
                          <w:p w14:paraId="4EB7C91D" w14:textId="77777777" w:rsidR="00D222D1" w:rsidRPr="009F7B80" w:rsidRDefault="00D222D1" w:rsidP="00AC5679">
                            <w:pPr>
                              <w:tabs>
                                <w:tab w:val="left" w:pos="2373"/>
                              </w:tabs>
                              <w:rPr>
                                <w:rFonts w:cs="Arial"/>
                                <w:b/>
                                <w:color w:val="002060"/>
                                <w:sz w:val="18"/>
                                <w:szCs w:val="18"/>
                              </w:rPr>
                            </w:pPr>
                            <w:r w:rsidRPr="009F7B80">
                              <w:rPr>
                                <w:rFonts w:cs="Arial"/>
                                <w:b/>
                                <w:color w:val="002060"/>
                                <w:sz w:val="18"/>
                                <w:szCs w:val="18"/>
                              </w:rPr>
                              <w:t>Governance</w:t>
                            </w:r>
                          </w:p>
                        </w:tc>
                        <w:tc>
                          <w:tcPr>
                            <w:tcW w:w="1062" w:type="dxa"/>
                          </w:tcPr>
                          <w:p w14:paraId="7BAB32F3" w14:textId="3D1BC34E"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w:t>
                            </w:r>
                            <w:r>
                              <w:rPr>
                                <w:rFonts w:cs="Arial"/>
                                <w:color w:val="002060"/>
                                <w:sz w:val="18"/>
                                <w:szCs w:val="18"/>
                              </w:rPr>
                              <w:t>7</w:t>
                            </w:r>
                            <w:r w:rsidRPr="009F7B80">
                              <w:rPr>
                                <w:rFonts w:cs="Arial"/>
                                <w:color w:val="002060"/>
                                <w:sz w:val="18"/>
                                <w:szCs w:val="18"/>
                              </w:rPr>
                              <w:t>.</w:t>
                            </w:r>
                            <w:r>
                              <w:rPr>
                                <w:rFonts w:cs="Arial"/>
                                <w:color w:val="002060"/>
                                <w:sz w:val="18"/>
                                <w:szCs w:val="18"/>
                              </w:rPr>
                              <w:t>9</w:t>
                            </w:r>
                          </w:p>
                        </w:tc>
                        <w:tc>
                          <w:tcPr>
                            <w:tcW w:w="1109" w:type="dxa"/>
                          </w:tcPr>
                          <w:p w14:paraId="71CE972D" w14:textId="0FD7DA87" w:rsidR="00D222D1" w:rsidRPr="009F7B80" w:rsidRDefault="00D222D1" w:rsidP="009F7B80">
                            <w:pPr>
                              <w:tabs>
                                <w:tab w:val="left" w:pos="2373"/>
                              </w:tabs>
                              <w:jc w:val="center"/>
                              <w:rPr>
                                <w:rFonts w:cs="Arial"/>
                                <w:color w:val="002060"/>
                                <w:sz w:val="18"/>
                                <w:szCs w:val="18"/>
                              </w:rPr>
                            </w:pPr>
                            <w:r w:rsidRPr="009F7B80">
                              <w:rPr>
                                <w:rFonts w:cs="Arial"/>
                                <w:color w:val="002060"/>
                                <w:sz w:val="18"/>
                                <w:szCs w:val="18"/>
                              </w:rPr>
                              <w:t>66.</w:t>
                            </w:r>
                            <w:r>
                              <w:rPr>
                                <w:rFonts w:cs="Arial"/>
                                <w:color w:val="002060"/>
                                <w:sz w:val="18"/>
                                <w:szCs w:val="18"/>
                              </w:rPr>
                              <w:t>9</w:t>
                            </w:r>
                          </w:p>
                        </w:tc>
                      </w:tr>
                    </w:tbl>
                    <w:p w14:paraId="6554B475" w14:textId="77777777" w:rsidR="00D222D1" w:rsidRPr="009F7B80" w:rsidRDefault="00D222D1" w:rsidP="007E3EE5">
                      <w:pPr>
                        <w:tabs>
                          <w:tab w:val="left" w:pos="2373"/>
                        </w:tabs>
                        <w:rPr>
                          <w:rFonts w:cs="Arial"/>
                          <w:color w:val="002060"/>
                          <w:sz w:val="18"/>
                          <w:szCs w:val="18"/>
                        </w:rPr>
                      </w:pPr>
                    </w:p>
                    <w:p w14:paraId="7D9BCB0F" w14:textId="77777777" w:rsidR="00D222D1" w:rsidRPr="009F7B80" w:rsidRDefault="00D222D1" w:rsidP="007E3EE5">
                      <w:pPr>
                        <w:rPr>
                          <w:rFonts w:cs="Arial"/>
                          <w:color w:val="002060"/>
                          <w:sz w:val="18"/>
                          <w:szCs w:val="18"/>
                        </w:rPr>
                      </w:pPr>
                    </w:p>
                  </w:txbxContent>
                </v:textbox>
                <w10:wrap anchorx="margin"/>
              </v:shape>
            </w:pict>
          </mc:Fallback>
        </mc:AlternateContent>
      </w:r>
      <w:r w:rsidR="003A5F3C">
        <w:rPr>
          <w:noProof/>
        </w:rPr>
        <mc:AlternateContent>
          <mc:Choice Requires="wps">
            <w:drawing>
              <wp:anchor distT="45720" distB="45720" distL="114300" distR="114300" simplePos="0" relativeHeight="251738112" behindDoc="0" locked="0" layoutInCell="1" allowOverlap="1" wp14:anchorId="5DC2519E" wp14:editId="2A4A9C94">
                <wp:simplePos x="0" y="0"/>
                <wp:positionH relativeFrom="column">
                  <wp:posOffset>-196850</wp:posOffset>
                </wp:positionH>
                <wp:positionV relativeFrom="paragraph">
                  <wp:posOffset>1776730</wp:posOffset>
                </wp:positionV>
                <wp:extent cx="304800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38300"/>
                        </a:xfrm>
                        <a:prstGeom prst="rect">
                          <a:avLst/>
                        </a:prstGeom>
                        <a:solidFill>
                          <a:srgbClr val="FFFFFF"/>
                        </a:solidFill>
                        <a:ln w="9525">
                          <a:noFill/>
                          <a:miter lim="800000"/>
                          <a:headEnd/>
                          <a:tailEnd/>
                        </a:ln>
                      </wps:spPr>
                      <wps:txbx>
                        <w:txbxContent>
                          <w:p w14:paraId="6B8CC4AE" w14:textId="0C6A1751" w:rsidR="00D222D1" w:rsidRDefault="00D222D1" w:rsidP="007840D9">
                            <w:pPr>
                              <w:jc w:val="center"/>
                            </w:pPr>
                            <w:r>
                              <w:rPr>
                                <w:noProof/>
                              </w:rPr>
                              <w:drawing>
                                <wp:inline distT="0" distB="0" distL="0" distR="0" wp14:anchorId="5D0D35A6" wp14:editId="225FD226">
                                  <wp:extent cx="1803400" cy="1523390"/>
                                  <wp:effectExtent l="0" t="0" r="6350"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748" cy="15532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2519E" id="Text Box 2" o:spid="_x0000_s1030" type="#_x0000_t202" style="position:absolute;margin-left:-15.5pt;margin-top:139.9pt;width:240pt;height:12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" stroked="f">
                <v:textbox>
                  <w:txbxContent>
                    <w:p w14:paraId="6B8CC4AE" w14:textId="0C6A1751" w:rsidR="00D222D1" w:rsidRDefault="00D222D1" w:rsidP="007840D9">
                      <w:pPr>
                        <w:jc w:val="center"/>
                      </w:pPr>
                      <w:r>
                        <w:rPr>
                          <w:noProof/>
                        </w:rPr>
                        <w:drawing>
                          <wp:inline distT="0" distB="0" distL="0" distR="0" wp14:anchorId="5D0D35A6" wp14:editId="225FD226">
                            <wp:extent cx="1803400" cy="1523390"/>
                            <wp:effectExtent l="0" t="0" r="6350"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748" cy="1553249"/>
                                    </a:xfrm>
                                    <a:prstGeom prst="rect">
                                      <a:avLst/>
                                    </a:prstGeom>
                                  </pic:spPr>
                                </pic:pic>
                              </a:graphicData>
                            </a:graphic>
                          </wp:inline>
                        </w:drawing>
                      </w:r>
                    </w:p>
                  </w:txbxContent>
                </v:textbox>
                <w10:wrap type="square"/>
              </v:shape>
            </w:pict>
          </mc:Fallback>
        </mc:AlternateContent>
      </w:r>
      <w:r w:rsidR="003A5F3C">
        <w:rPr>
          <w:noProof/>
        </w:rPr>
        <mc:AlternateContent>
          <mc:Choice Requires="wps">
            <w:drawing>
              <wp:anchor distT="0" distB="0" distL="114300" distR="114300" simplePos="0" relativeHeight="251722752" behindDoc="0" locked="0" layoutInCell="1" allowOverlap="1" wp14:anchorId="23269DF5" wp14:editId="7946A35B">
                <wp:simplePos x="0" y="0"/>
                <wp:positionH relativeFrom="margin">
                  <wp:posOffset>-171450</wp:posOffset>
                </wp:positionH>
                <wp:positionV relativeFrom="paragraph">
                  <wp:posOffset>3395980</wp:posOffset>
                </wp:positionV>
                <wp:extent cx="3022600" cy="22415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022600" cy="2241550"/>
                        </a:xfrm>
                        <a:prstGeom prst="rect">
                          <a:avLst/>
                        </a:prstGeom>
                        <a:noFill/>
                        <a:ln w="6350">
                          <a:noFill/>
                        </a:ln>
                      </wps:spPr>
                      <wps:txbx>
                        <w:txbxContent>
                          <w:p w14:paraId="43E6172F" w14:textId="4C96F9A0" w:rsidR="00D222D1" w:rsidRPr="008953CC" w:rsidRDefault="00D222D1">
                            <w:pPr>
                              <w:rPr>
                                <w:rFonts w:ascii="Arial" w:hAnsi="Arial" w:cs="Arial"/>
                                <w:sz w:val="18"/>
                                <w:szCs w:val="18"/>
                              </w:rPr>
                            </w:pPr>
                            <w:r w:rsidRPr="007C7BBB">
                              <w:rPr>
                                <w:noProof/>
                              </w:rPr>
                              <w:drawing>
                                <wp:inline distT="0" distB="0" distL="0" distR="0" wp14:anchorId="56F35ADF" wp14:editId="2FB00008">
                                  <wp:extent cx="2800350" cy="197158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083" cy="1976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69DF5" id="Text Box 15" o:spid="_x0000_s1031" type="#_x0000_t202" style="position:absolute;margin-left:-13.5pt;margin-top:267.4pt;width:238pt;height:17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" filled="f" stroked="f" strokeweight=".5pt">
                <v:textbox>
                  <w:txbxContent>
                    <w:p w14:paraId="43E6172F" w14:textId="4C96F9A0" w:rsidR="00D222D1" w:rsidRPr="008953CC" w:rsidRDefault="00D222D1">
                      <w:pPr>
                        <w:rPr>
                          <w:rFonts w:ascii="Arial" w:hAnsi="Arial" w:cs="Arial"/>
                          <w:sz w:val="18"/>
                          <w:szCs w:val="18"/>
                        </w:rPr>
                      </w:pPr>
                      <w:r w:rsidRPr="007C7BBB">
                        <w:rPr>
                          <w:noProof/>
                        </w:rPr>
                        <w:drawing>
                          <wp:inline distT="0" distB="0" distL="0" distR="0" wp14:anchorId="56F35ADF" wp14:editId="2FB00008">
                            <wp:extent cx="2800350" cy="197158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083" cy="1976327"/>
                                    </a:xfrm>
                                    <a:prstGeom prst="rect">
                                      <a:avLst/>
                                    </a:prstGeom>
                                  </pic:spPr>
                                </pic:pic>
                              </a:graphicData>
                            </a:graphic>
                          </wp:inline>
                        </w:drawing>
                      </w:r>
                    </w:p>
                  </w:txbxContent>
                </v:textbox>
                <w10:wrap anchorx="margin"/>
              </v:shape>
            </w:pict>
          </mc:Fallback>
        </mc:AlternateContent>
      </w:r>
      <w:r w:rsidR="00002481">
        <w:rPr>
          <w:noProof/>
        </w:rPr>
        <mc:AlternateContent>
          <mc:Choice Requires="wps">
            <w:drawing>
              <wp:anchor distT="0" distB="0" distL="114300" distR="114300" simplePos="0" relativeHeight="251723776" behindDoc="0" locked="0" layoutInCell="1" allowOverlap="1" wp14:anchorId="7300D1C4" wp14:editId="0B0AFCAA">
                <wp:simplePos x="0" y="0"/>
                <wp:positionH relativeFrom="margin">
                  <wp:align>left</wp:align>
                </wp:positionH>
                <wp:positionV relativeFrom="paragraph">
                  <wp:posOffset>7345680</wp:posOffset>
                </wp:positionV>
                <wp:extent cx="2783205" cy="2273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83205" cy="2273300"/>
                        </a:xfrm>
                        <a:prstGeom prst="rect">
                          <a:avLst/>
                        </a:prstGeom>
                        <a:noFill/>
                        <a:ln w="6350">
                          <a:noFill/>
                        </a:ln>
                      </wps:spPr>
                      <wps:txbx>
                        <w:txbxContent>
                          <w:p w14:paraId="0E2EFD3A" w14:textId="16C07291" w:rsidR="00D222D1" w:rsidRPr="008953CC" w:rsidRDefault="00D222D1" w:rsidP="00E51908">
                            <w:pPr>
                              <w:jc w:val="both"/>
                              <w:rPr>
                                <w:rFonts w:ascii="Arial" w:hAnsi="Arial" w:cs="Arial"/>
                                <w:sz w:val="18"/>
                                <w:szCs w:val="18"/>
                              </w:rPr>
                            </w:pPr>
                            <w:r>
                              <w:rPr>
                                <w:noProof/>
                              </w:rPr>
                              <w:drawing>
                                <wp:inline distT="0" distB="0" distL="0" distR="0" wp14:anchorId="6FF7E4D0" wp14:editId="00EE3DAB">
                                  <wp:extent cx="2252345" cy="219861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486" cy="21997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D1C4" id="Text Box 17" o:spid="_x0000_s1032" type="#_x0000_t202" style="position:absolute;margin-left:0;margin-top:578.4pt;width:219.15pt;height:179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" filled="f" stroked="f" strokeweight=".5pt">
                <v:textbox>
                  <w:txbxContent>
                    <w:p w14:paraId="0E2EFD3A" w14:textId="16C07291" w:rsidR="00D222D1" w:rsidRPr="008953CC" w:rsidRDefault="00D222D1" w:rsidP="00E51908">
                      <w:pPr>
                        <w:jc w:val="both"/>
                        <w:rPr>
                          <w:rFonts w:ascii="Arial" w:hAnsi="Arial" w:cs="Arial"/>
                          <w:sz w:val="18"/>
                          <w:szCs w:val="18"/>
                        </w:rPr>
                      </w:pPr>
                      <w:r>
                        <w:rPr>
                          <w:noProof/>
                        </w:rPr>
                        <w:drawing>
                          <wp:inline distT="0" distB="0" distL="0" distR="0" wp14:anchorId="6FF7E4D0" wp14:editId="00EE3DAB">
                            <wp:extent cx="2252345" cy="219861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486" cy="2199724"/>
                                    </a:xfrm>
                                    <a:prstGeom prst="rect">
                                      <a:avLst/>
                                    </a:prstGeom>
                                  </pic:spPr>
                                </pic:pic>
                              </a:graphicData>
                            </a:graphic>
                          </wp:inline>
                        </w:drawing>
                      </w:r>
                    </w:p>
                  </w:txbxContent>
                </v:textbox>
                <w10:wrap anchorx="margin"/>
              </v:shape>
            </w:pict>
          </mc:Fallback>
        </mc:AlternateContent>
      </w:r>
      <w:r w:rsidR="00135B11">
        <w:rPr>
          <w:noProof/>
        </w:rPr>
        <mc:AlternateContent>
          <mc:Choice Requires="wps">
            <w:drawing>
              <wp:anchor distT="0" distB="0" distL="114300" distR="114300" simplePos="0" relativeHeight="251686912" behindDoc="0" locked="0" layoutInCell="1" allowOverlap="1" wp14:anchorId="43058EE4" wp14:editId="7CD9EBF1">
                <wp:simplePos x="0" y="0"/>
                <wp:positionH relativeFrom="page">
                  <wp:posOffset>266065</wp:posOffset>
                </wp:positionH>
                <wp:positionV relativeFrom="page">
                  <wp:posOffset>1232535</wp:posOffset>
                </wp:positionV>
                <wp:extent cx="1512276" cy="672465"/>
                <wp:effectExtent l="0" t="0" r="12065" b="635"/>
                <wp:wrapNone/>
                <wp:docPr id="2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276"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D559" w14:textId="727C5A4E" w:rsidR="00D222D1" w:rsidRPr="009F7B80" w:rsidRDefault="00D222D1" w:rsidP="008F2318">
                            <w:pPr>
                              <w:pStyle w:val="CompanyInfo"/>
                              <w:rPr>
                                <w:color w:val="002060"/>
                              </w:rPr>
                            </w:pPr>
                            <w:r w:rsidRPr="009F7B80">
                              <w:rPr>
                                <w:color w:val="002060"/>
                              </w:rPr>
                              <w:t>Target Price: $156.08</w:t>
                            </w:r>
                          </w:p>
                          <w:p w14:paraId="56929FA8" w14:textId="6B15DBDD" w:rsidR="00D222D1" w:rsidRPr="009F7B80" w:rsidRDefault="00D222D1" w:rsidP="008F2318">
                            <w:pPr>
                              <w:pStyle w:val="CompanyInfo"/>
                              <w:rPr>
                                <w:color w:val="002060"/>
                              </w:rPr>
                            </w:pPr>
                            <w:r w:rsidRPr="009F7B80">
                              <w:rPr>
                                <w:color w:val="002060"/>
                              </w:rPr>
                              <w:t>Current Price: $1</w:t>
                            </w:r>
                            <w:r>
                              <w:rPr>
                                <w:color w:val="002060"/>
                              </w:rPr>
                              <w:t>32</w:t>
                            </w:r>
                            <w:r w:rsidRPr="009F7B80">
                              <w:rPr>
                                <w:color w:val="002060"/>
                              </w:rPr>
                              <w:t>.</w:t>
                            </w:r>
                            <w:r>
                              <w:rPr>
                                <w:color w:val="002060"/>
                              </w:rPr>
                              <w:t>45</w:t>
                            </w:r>
                            <w:r w:rsidRPr="009F7B80">
                              <w:rPr>
                                <w:color w:val="002060"/>
                              </w:rPr>
                              <w:t xml:space="preserve">    Stop loss: $</w:t>
                            </w:r>
                            <w:r>
                              <w:rPr>
                                <w:color w:val="002060"/>
                              </w:rPr>
                              <w:t>93.97</w:t>
                            </w:r>
                          </w:p>
                          <w:p w14:paraId="5203CE97" w14:textId="77777777" w:rsidR="00D222D1" w:rsidRPr="009F7B80" w:rsidRDefault="00D222D1" w:rsidP="008F2318">
                            <w:pPr>
                              <w:tabs>
                                <w:tab w:val="left" w:pos="2373"/>
                              </w:tabs>
                              <w:rPr>
                                <w:rFonts w:cs="Arial"/>
                                <w:color w:val="002060"/>
                                <w:spacing w:val="20"/>
                                <w:sz w:val="18"/>
                                <w:szCs w:val="18"/>
                              </w:rPr>
                            </w:pPr>
                            <w:r w:rsidRPr="009F7B80">
                              <w:rPr>
                                <w:rFonts w:cs="Arial"/>
                                <w:color w:val="002060"/>
                                <w:spacing w:val="20"/>
                                <w:sz w:val="18"/>
                                <w:szCs w:val="18"/>
                              </w:rPr>
                              <w:t>52 Week High/Low:</w:t>
                            </w:r>
                          </w:p>
                          <w:p w14:paraId="77195988" w14:textId="32BE8A93" w:rsidR="00D222D1" w:rsidRPr="009F7B80" w:rsidRDefault="00D222D1" w:rsidP="008F2318">
                            <w:pPr>
                              <w:tabs>
                                <w:tab w:val="left" w:pos="2373"/>
                              </w:tabs>
                              <w:rPr>
                                <w:rFonts w:cs="Arial"/>
                                <w:color w:val="002060"/>
                                <w:spacing w:val="20"/>
                                <w:sz w:val="18"/>
                                <w:szCs w:val="18"/>
                              </w:rPr>
                            </w:pPr>
                            <w:r w:rsidRPr="009F7B80">
                              <w:rPr>
                                <w:rFonts w:cs="Arial"/>
                                <w:color w:val="002060"/>
                                <w:spacing w:val="20"/>
                                <w:sz w:val="18"/>
                                <w:szCs w:val="18"/>
                              </w:rPr>
                              <w:t xml:space="preserve"> $1</w:t>
                            </w:r>
                            <w:r>
                              <w:rPr>
                                <w:rFonts w:cs="Arial"/>
                                <w:color w:val="002060"/>
                                <w:spacing w:val="20"/>
                                <w:sz w:val="18"/>
                                <w:szCs w:val="18"/>
                              </w:rPr>
                              <w:t>32</w:t>
                            </w:r>
                            <w:r w:rsidRPr="009F7B80">
                              <w:rPr>
                                <w:rFonts w:cs="Arial"/>
                                <w:color w:val="002060"/>
                                <w:spacing w:val="20"/>
                                <w:sz w:val="18"/>
                                <w:szCs w:val="18"/>
                              </w:rPr>
                              <w:t>.</w:t>
                            </w:r>
                            <w:r>
                              <w:rPr>
                                <w:rFonts w:cs="Arial"/>
                                <w:color w:val="002060"/>
                                <w:spacing w:val="20"/>
                                <w:sz w:val="18"/>
                                <w:szCs w:val="18"/>
                              </w:rPr>
                              <w:t>87</w:t>
                            </w:r>
                            <w:r w:rsidRPr="009F7B80">
                              <w:rPr>
                                <w:rFonts w:cs="Arial"/>
                                <w:color w:val="002060"/>
                                <w:spacing w:val="20"/>
                                <w:sz w:val="18"/>
                                <w:szCs w:val="18"/>
                              </w:rPr>
                              <w:t>/$97.68</w:t>
                            </w:r>
                          </w:p>
                          <w:p w14:paraId="228CBF14" w14:textId="77777777" w:rsidR="00D222D1" w:rsidRPr="0072333F" w:rsidRDefault="00D222D1" w:rsidP="008F2318">
                            <w:pPr>
                              <w:pStyle w:val="CompanyInfo"/>
                              <w:rPr>
                                <w:rFonts w:ascii="Arial" w:hAnsi="Arial"/>
                                <w:color w:val="44546A" w:themeColor="text2"/>
                                <w:sz w:val="20"/>
                                <w:szCs w:val="20"/>
                              </w:rP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58EE4" id="_x0000_s1033" type="#_x0000_t202" style="position:absolute;margin-left:20.95pt;margin-top:97.05pt;width:119.1pt;height:52.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" filled="f" stroked="f">
                <v:textbox inset="0,.72pt,0,0">
                  <w:txbxContent>
                    <w:p w14:paraId="71E9D559" w14:textId="727C5A4E" w:rsidR="00D222D1" w:rsidRPr="009F7B80" w:rsidRDefault="00D222D1" w:rsidP="008F2318">
                      <w:pPr>
                        <w:pStyle w:val="CompanyInfo"/>
                        <w:rPr>
                          <w:color w:val="002060"/>
                        </w:rPr>
                      </w:pPr>
                      <w:r w:rsidRPr="009F7B80">
                        <w:rPr>
                          <w:color w:val="002060"/>
                        </w:rPr>
                        <w:t>Target Price: $156.08</w:t>
                      </w:r>
                    </w:p>
                    <w:p w14:paraId="56929FA8" w14:textId="6B15DBDD" w:rsidR="00D222D1" w:rsidRPr="009F7B80" w:rsidRDefault="00D222D1" w:rsidP="008F2318">
                      <w:pPr>
                        <w:pStyle w:val="CompanyInfo"/>
                        <w:rPr>
                          <w:color w:val="002060"/>
                        </w:rPr>
                      </w:pPr>
                      <w:r w:rsidRPr="009F7B80">
                        <w:rPr>
                          <w:color w:val="002060"/>
                        </w:rPr>
                        <w:t>Current Price: $1</w:t>
                      </w:r>
                      <w:r>
                        <w:rPr>
                          <w:color w:val="002060"/>
                        </w:rPr>
                        <w:t>32</w:t>
                      </w:r>
                      <w:r w:rsidRPr="009F7B80">
                        <w:rPr>
                          <w:color w:val="002060"/>
                        </w:rPr>
                        <w:t>.</w:t>
                      </w:r>
                      <w:r>
                        <w:rPr>
                          <w:color w:val="002060"/>
                        </w:rPr>
                        <w:t>45</w:t>
                      </w:r>
                      <w:r w:rsidRPr="009F7B80">
                        <w:rPr>
                          <w:color w:val="002060"/>
                        </w:rPr>
                        <w:t xml:space="preserve">    Stop loss: $</w:t>
                      </w:r>
                      <w:r>
                        <w:rPr>
                          <w:color w:val="002060"/>
                        </w:rPr>
                        <w:t>93.97</w:t>
                      </w:r>
                    </w:p>
                    <w:p w14:paraId="5203CE97" w14:textId="77777777" w:rsidR="00D222D1" w:rsidRPr="009F7B80" w:rsidRDefault="00D222D1" w:rsidP="008F2318">
                      <w:pPr>
                        <w:tabs>
                          <w:tab w:val="left" w:pos="2373"/>
                        </w:tabs>
                        <w:rPr>
                          <w:rFonts w:cs="Arial"/>
                          <w:color w:val="002060"/>
                          <w:spacing w:val="20"/>
                          <w:sz w:val="18"/>
                          <w:szCs w:val="18"/>
                        </w:rPr>
                      </w:pPr>
                      <w:r w:rsidRPr="009F7B80">
                        <w:rPr>
                          <w:rFonts w:cs="Arial"/>
                          <w:color w:val="002060"/>
                          <w:spacing w:val="20"/>
                          <w:sz w:val="18"/>
                          <w:szCs w:val="18"/>
                        </w:rPr>
                        <w:t>52 Week High/Low:</w:t>
                      </w:r>
                    </w:p>
                    <w:p w14:paraId="77195988" w14:textId="32BE8A93" w:rsidR="00D222D1" w:rsidRPr="009F7B80" w:rsidRDefault="00D222D1" w:rsidP="008F2318">
                      <w:pPr>
                        <w:tabs>
                          <w:tab w:val="left" w:pos="2373"/>
                        </w:tabs>
                        <w:rPr>
                          <w:rFonts w:cs="Arial"/>
                          <w:color w:val="002060"/>
                          <w:spacing w:val="20"/>
                          <w:sz w:val="18"/>
                          <w:szCs w:val="18"/>
                        </w:rPr>
                      </w:pPr>
                      <w:r w:rsidRPr="009F7B80">
                        <w:rPr>
                          <w:rFonts w:cs="Arial"/>
                          <w:color w:val="002060"/>
                          <w:spacing w:val="20"/>
                          <w:sz w:val="18"/>
                          <w:szCs w:val="18"/>
                        </w:rPr>
                        <w:t xml:space="preserve"> $1</w:t>
                      </w:r>
                      <w:r>
                        <w:rPr>
                          <w:rFonts w:cs="Arial"/>
                          <w:color w:val="002060"/>
                          <w:spacing w:val="20"/>
                          <w:sz w:val="18"/>
                          <w:szCs w:val="18"/>
                        </w:rPr>
                        <w:t>32</w:t>
                      </w:r>
                      <w:r w:rsidRPr="009F7B80">
                        <w:rPr>
                          <w:rFonts w:cs="Arial"/>
                          <w:color w:val="002060"/>
                          <w:spacing w:val="20"/>
                          <w:sz w:val="18"/>
                          <w:szCs w:val="18"/>
                        </w:rPr>
                        <w:t>.</w:t>
                      </w:r>
                      <w:r>
                        <w:rPr>
                          <w:rFonts w:cs="Arial"/>
                          <w:color w:val="002060"/>
                          <w:spacing w:val="20"/>
                          <w:sz w:val="18"/>
                          <w:szCs w:val="18"/>
                        </w:rPr>
                        <w:t>87</w:t>
                      </w:r>
                      <w:r w:rsidRPr="009F7B80">
                        <w:rPr>
                          <w:rFonts w:cs="Arial"/>
                          <w:color w:val="002060"/>
                          <w:spacing w:val="20"/>
                          <w:sz w:val="18"/>
                          <w:szCs w:val="18"/>
                        </w:rPr>
                        <w:t>/$97.68</w:t>
                      </w:r>
                    </w:p>
                    <w:p w14:paraId="228CBF14" w14:textId="77777777" w:rsidR="00D222D1" w:rsidRPr="0072333F" w:rsidRDefault="00D222D1" w:rsidP="008F2318">
                      <w:pPr>
                        <w:pStyle w:val="CompanyInfo"/>
                        <w:rPr>
                          <w:rFonts w:ascii="Arial" w:hAnsi="Arial"/>
                          <w:color w:val="44546A" w:themeColor="text2"/>
                          <w:sz w:val="20"/>
                          <w:szCs w:val="20"/>
                        </w:rPr>
                      </w:pPr>
                    </w:p>
                  </w:txbxContent>
                </v:textbox>
                <w10:wrap anchorx="page" anchory="page"/>
              </v:shape>
            </w:pict>
          </mc:Fallback>
        </mc:AlternateContent>
      </w:r>
      <w:r w:rsidR="00135B11">
        <w:rPr>
          <w:noProof/>
        </w:rPr>
        <mc:AlternateContent>
          <mc:Choice Requires="wps">
            <w:drawing>
              <wp:anchor distT="0" distB="0" distL="114300" distR="114300" simplePos="0" relativeHeight="251688960" behindDoc="0" locked="0" layoutInCell="1" allowOverlap="1" wp14:anchorId="48D44AA2" wp14:editId="2151C70A">
                <wp:simplePos x="0" y="0"/>
                <wp:positionH relativeFrom="page">
                  <wp:posOffset>1814195</wp:posOffset>
                </wp:positionH>
                <wp:positionV relativeFrom="page">
                  <wp:posOffset>1213485</wp:posOffset>
                </wp:positionV>
                <wp:extent cx="1953260" cy="680720"/>
                <wp:effectExtent l="0" t="0" r="2540" b="5080"/>
                <wp:wrapNone/>
                <wp:docPr id="26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ED61" w14:textId="78754F43" w:rsidR="00D222D1" w:rsidRDefault="00D222D1" w:rsidP="008F2318">
                            <w:pPr>
                              <w:tabs>
                                <w:tab w:val="left" w:pos="2373"/>
                              </w:tabs>
                              <w:rPr>
                                <w:color w:val="002060"/>
                                <w:sz w:val="18"/>
                                <w:szCs w:val="18"/>
                              </w:rPr>
                            </w:pPr>
                            <w:r w:rsidRPr="008F2318">
                              <w:rPr>
                                <w:color w:val="002060"/>
                                <w:sz w:val="18"/>
                                <w:szCs w:val="18"/>
                              </w:rPr>
                              <w:t xml:space="preserve">Market Cap </w:t>
                            </w:r>
                            <w:r w:rsidRPr="008F2318">
                              <w:rPr>
                                <w:rFonts w:eastAsiaTheme="minorEastAsia"/>
                                <w:color w:val="002060"/>
                                <w:sz w:val="18"/>
                                <w:szCs w:val="18"/>
                                <w:lang w:eastAsia="zh-CN"/>
                              </w:rPr>
                              <w:t>($ Bn)</w:t>
                            </w:r>
                            <w:r>
                              <w:rPr>
                                <w:color w:val="002060"/>
                                <w:sz w:val="18"/>
                                <w:szCs w:val="18"/>
                              </w:rPr>
                              <w:t>: $198.68</w:t>
                            </w:r>
                          </w:p>
                          <w:p w14:paraId="6FD56E23" w14:textId="10A08A21" w:rsidR="00D222D1" w:rsidRPr="008F2318" w:rsidRDefault="00D222D1" w:rsidP="008F2318">
                            <w:pPr>
                              <w:tabs>
                                <w:tab w:val="left" w:pos="2373"/>
                              </w:tabs>
                              <w:rPr>
                                <w:color w:val="002060"/>
                                <w:sz w:val="18"/>
                                <w:szCs w:val="18"/>
                              </w:rPr>
                            </w:pPr>
                            <w:r w:rsidRPr="008F2318">
                              <w:rPr>
                                <w:color w:val="002060"/>
                                <w:sz w:val="18"/>
                                <w:szCs w:val="18"/>
                              </w:rPr>
                              <w:t>Dividend Yield: 1.</w:t>
                            </w:r>
                            <w:r>
                              <w:rPr>
                                <w:color w:val="002060"/>
                                <w:sz w:val="18"/>
                                <w:szCs w:val="18"/>
                              </w:rPr>
                              <w:t>33</w:t>
                            </w:r>
                            <w:r w:rsidRPr="008F2318">
                              <w:rPr>
                                <w:color w:val="002060"/>
                                <w:sz w:val="18"/>
                                <w:szCs w:val="18"/>
                              </w:rPr>
                              <w:t>%</w:t>
                            </w:r>
                          </w:p>
                          <w:p w14:paraId="69EF34FD" w14:textId="4CF68FC6" w:rsidR="00D222D1" w:rsidRPr="008F2318" w:rsidRDefault="00D222D1" w:rsidP="008F2318">
                            <w:pPr>
                              <w:tabs>
                                <w:tab w:val="left" w:pos="2373"/>
                              </w:tabs>
                              <w:rPr>
                                <w:color w:val="002060"/>
                                <w:sz w:val="18"/>
                                <w:szCs w:val="18"/>
                              </w:rPr>
                            </w:pPr>
                            <w:r w:rsidRPr="008F2318">
                              <w:rPr>
                                <w:color w:val="002060"/>
                                <w:sz w:val="18"/>
                                <w:szCs w:val="18"/>
                              </w:rPr>
                              <w:t xml:space="preserve">Enterprise Value to EBITDA: </w:t>
                            </w:r>
                            <w:r>
                              <w:rPr>
                                <w:color w:val="002060"/>
                                <w:sz w:val="18"/>
                                <w:szCs w:val="18"/>
                              </w:rPr>
                              <w:t>10.18</w:t>
                            </w:r>
                          </w:p>
                          <w:p w14:paraId="18D0CCEB" w14:textId="32B3351D" w:rsidR="00D222D1" w:rsidRPr="008F2318" w:rsidRDefault="00D222D1" w:rsidP="008F2318">
                            <w:pPr>
                              <w:tabs>
                                <w:tab w:val="left" w:pos="2373"/>
                              </w:tabs>
                              <w:rPr>
                                <w:color w:val="002060"/>
                                <w:sz w:val="18"/>
                                <w:szCs w:val="18"/>
                              </w:rPr>
                            </w:pPr>
                            <w:r w:rsidRPr="008F2318">
                              <w:rPr>
                                <w:color w:val="002060"/>
                                <w:sz w:val="18"/>
                                <w:szCs w:val="18"/>
                              </w:rPr>
                              <w:t xml:space="preserve">Beta: </w:t>
                            </w:r>
                            <w:r>
                              <w:rPr>
                                <w:color w:val="002060"/>
                                <w:sz w:val="18"/>
                                <w:szCs w:val="18"/>
                              </w:rPr>
                              <w:t>0.</w:t>
                            </w:r>
                            <w:r w:rsidR="00F76ED9">
                              <w:rPr>
                                <w:color w:val="002060"/>
                                <w:sz w:val="18"/>
                                <w:szCs w:val="18"/>
                              </w:rPr>
                              <w:t>57</w:t>
                            </w:r>
                          </w:p>
                          <w:p w14:paraId="1D520247" w14:textId="3FB8EC21" w:rsidR="00D222D1" w:rsidRPr="008F2318" w:rsidRDefault="00D222D1" w:rsidP="008F2318">
                            <w:pPr>
                              <w:tabs>
                                <w:tab w:val="left" w:pos="2373"/>
                              </w:tabs>
                              <w:rPr>
                                <w:rFonts w:ascii="Arial" w:hAnsi="Arial"/>
                                <w:color w:val="002060"/>
                                <w:sz w:val="18"/>
                                <w:szCs w:val="18"/>
                              </w:rPr>
                            </w:pPr>
                            <w:r>
                              <w:rPr>
                                <w:color w:val="002060"/>
                                <w:sz w:val="18"/>
                                <w:szCs w:val="18"/>
                              </w:rPr>
                              <w:t xml:space="preserve">% </w:t>
                            </w:r>
                            <w:r w:rsidRPr="008F2318">
                              <w:rPr>
                                <w:color w:val="002060"/>
                                <w:sz w:val="18"/>
                                <w:szCs w:val="18"/>
                              </w:rPr>
                              <w:t>ROE:</w:t>
                            </w:r>
                            <w:r w:rsidRPr="008F2318">
                              <w:rPr>
                                <w:rFonts w:ascii="Arial" w:hAnsi="Arial"/>
                                <w:color w:val="002060"/>
                                <w:sz w:val="18"/>
                                <w:szCs w:val="18"/>
                              </w:rPr>
                              <w:t xml:space="preserve"> </w:t>
                            </w:r>
                            <w:r>
                              <w:rPr>
                                <w:color w:val="002060"/>
                                <w:sz w:val="18"/>
                                <w:szCs w:val="18"/>
                              </w:rPr>
                              <w:t>21.94/8.08 (Entertainment)</w:t>
                            </w:r>
                          </w:p>
                          <w:p w14:paraId="6E2E2C64" w14:textId="77777777" w:rsidR="00D222D1" w:rsidRPr="008F2318" w:rsidRDefault="00D222D1" w:rsidP="008F2318">
                            <w:pPr>
                              <w:pStyle w:val="CompanyInfo"/>
                              <w:rPr>
                                <w:rFonts w:ascii="Arial" w:hAnsi="Arial"/>
                                <w:color w:val="002060"/>
                              </w:rP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4AA2" id="_x0000_s1034" type="#_x0000_t202" style="position:absolute;margin-left:142.85pt;margin-top:95.55pt;width:153.8pt;height:53.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XUu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eRjxEkHTXqgo0a3YkSXi8hUaOhVCob3PZjqERTQaZut6u9E+V0hLtYN4Tt6I6UYGkoqiNA3L91n&#10;TyccZUC2wydRgSOy18ICjbXsTPmgIAjQoVOPp+6YYErjMllcBhGoStBFsbcM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" filled="f" stroked="f">
                <v:textbox inset="0,.72pt,0,0">
                  <w:txbxContent>
                    <w:p w14:paraId="36AEED61" w14:textId="78754F43" w:rsidR="00D222D1" w:rsidRDefault="00D222D1" w:rsidP="008F2318">
                      <w:pPr>
                        <w:tabs>
                          <w:tab w:val="left" w:pos="2373"/>
                        </w:tabs>
                        <w:rPr>
                          <w:color w:val="002060"/>
                          <w:sz w:val="18"/>
                          <w:szCs w:val="18"/>
                        </w:rPr>
                      </w:pPr>
                      <w:r w:rsidRPr="008F2318">
                        <w:rPr>
                          <w:color w:val="002060"/>
                          <w:sz w:val="18"/>
                          <w:szCs w:val="18"/>
                        </w:rPr>
                        <w:t xml:space="preserve">Market Cap </w:t>
                      </w:r>
                      <w:r w:rsidRPr="008F2318">
                        <w:rPr>
                          <w:rFonts w:eastAsiaTheme="minorEastAsia"/>
                          <w:color w:val="002060"/>
                          <w:sz w:val="18"/>
                          <w:szCs w:val="18"/>
                          <w:lang w:eastAsia="zh-CN"/>
                        </w:rPr>
                        <w:t>($ Bn)</w:t>
                      </w:r>
                      <w:r>
                        <w:rPr>
                          <w:color w:val="002060"/>
                          <w:sz w:val="18"/>
                          <w:szCs w:val="18"/>
                        </w:rPr>
                        <w:t>: $198.68</w:t>
                      </w:r>
                    </w:p>
                    <w:p w14:paraId="6FD56E23" w14:textId="10A08A21" w:rsidR="00D222D1" w:rsidRPr="008F2318" w:rsidRDefault="00D222D1" w:rsidP="008F2318">
                      <w:pPr>
                        <w:tabs>
                          <w:tab w:val="left" w:pos="2373"/>
                        </w:tabs>
                        <w:rPr>
                          <w:color w:val="002060"/>
                          <w:sz w:val="18"/>
                          <w:szCs w:val="18"/>
                        </w:rPr>
                      </w:pPr>
                      <w:r w:rsidRPr="008F2318">
                        <w:rPr>
                          <w:color w:val="002060"/>
                          <w:sz w:val="18"/>
                          <w:szCs w:val="18"/>
                        </w:rPr>
                        <w:t>Dividend Yield: 1.</w:t>
                      </w:r>
                      <w:r>
                        <w:rPr>
                          <w:color w:val="002060"/>
                          <w:sz w:val="18"/>
                          <w:szCs w:val="18"/>
                        </w:rPr>
                        <w:t>33</w:t>
                      </w:r>
                      <w:r w:rsidRPr="008F2318">
                        <w:rPr>
                          <w:color w:val="002060"/>
                          <w:sz w:val="18"/>
                          <w:szCs w:val="18"/>
                        </w:rPr>
                        <w:t>%</w:t>
                      </w:r>
                    </w:p>
                    <w:p w14:paraId="69EF34FD" w14:textId="4CF68FC6" w:rsidR="00D222D1" w:rsidRPr="008F2318" w:rsidRDefault="00D222D1" w:rsidP="008F2318">
                      <w:pPr>
                        <w:tabs>
                          <w:tab w:val="left" w:pos="2373"/>
                        </w:tabs>
                        <w:rPr>
                          <w:color w:val="002060"/>
                          <w:sz w:val="18"/>
                          <w:szCs w:val="18"/>
                        </w:rPr>
                      </w:pPr>
                      <w:r w:rsidRPr="008F2318">
                        <w:rPr>
                          <w:color w:val="002060"/>
                          <w:sz w:val="18"/>
                          <w:szCs w:val="18"/>
                        </w:rPr>
                        <w:t xml:space="preserve">Enterprise Value to EBITDA: </w:t>
                      </w:r>
                      <w:r>
                        <w:rPr>
                          <w:color w:val="002060"/>
                          <w:sz w:val="18"/>
                          <w:szCs w:val="18"/>
                        </w:rPr>
                        <w:t>10.18</w:t>
                      </w:r>
                    </w:p>
                    <w:p w14:paraId="18D0CCEB" w14:textId="32B3351D" w:rsidR="00D222D1" w:rsidRPr="008F2318" w:rsidRDefault="00D222D1" w:rsidP="008F2318">
                      <w:pPr>
                        <w:tabs>
                          <w:tab w:val="left" w:pos="2373"/>
                        </w:tabs>
                        <w:rPr>
                          <w:color w:val="002060"/>
                          <w:sz w:val="18"/>
                          <w:szCs w:val="18"/>
                        </w:rPr>
                      </w:pPr>
                      <w:r w:rsidRPr="008F2318">
                        <w:rPr>
                          <w:color w:val="002060"/>
                          <w:sz w:val="18"/>
                          <w:szCs w:val="18"/>
                        </w:rPr>
                        <w:t xml:space="preserve">Beta: </w:t>
                      </w:r>
                      <w:r>
                        <w:rPr>
                          <w:color w:val="002060"/>
                          <w:sz w:val="18"/>
                          <w:szCs w:val="18"/>
                        </w:rPr>
                        <w:t>0.</w:t>
                      </w:r>
                      <w:r w:rsidR="00F76ED9">
                        <w:rPr>
                          <w:color w:val="002060"/>
                          <w:sz w:val="18"/>
                          <w:szCs w:val="18"/>
                        </w:rPr>
                        <w:t>57</w:t>
                      </w:r>
                    </w:p>
                    <w:p w14:paraId="1D520247" w14:textId="3FB8EC21" w:rsidR="00D222D1" w:rsidRPr="008F2318" w:rsidRDefault="00D222D1" w:rsidP="008F2318">
                      <w:pPr>
                        <w:tabs>
                          <w:tab w:val="left" w:pos="2373"/>
                        </w:tabs>
                        <w:rPr>
                          <w:rFonts w:ascii="Arial" w:hAnsi="Arial"/>
                          <w:color w:val="002060"/>
                          <w:sz w:val="18"/>
                          <w:szCs w:val="18"/>
                        </w:rPr>
                      </w:pPr>
                      <w:r>
                        <w:rPr>
                          <w:color w:val="002060"/>
                          <w:sz w:val="18"/>
                          <w:szCs w:val="18"/>
                        </w:rPr>
                        <w:t xml:space="preserve">% </w:t>
                      </w:r>
                      <w:r w:rsidRPr="008F2318">
                        <w:rPr>
                          <w:color w:val="002060"/>
                          <w:sz w:val="18"/>
                          <w:szCs w:val="18"/>
                        </w:rPr>
                        <w:t>ROE:</w:t>
                      </w:r>
                      <w:r w:rsidRPr="008F2318">
                        <w:rPr>
                          <w:rFonts w:ascii="Arial" w:hAnsi="Arial"/>
                          <w:color w:val="002060"/>
                          <w:sz w:val="18"/>
                          <w:szCs w:val="18"/>
                        </w:rPr>
                        <w:t xml:space="preserve"> </w:t>
                      </w:r>
                      <w:r>
                        <w:rPr>
                          <w:color w:val="002060"/>
                          <w:sz w:val="18"/>
                          <w:szCs w:val="18"/>
                        </w:rPr>
                        <w:t>21.94/8.08 (Entertainment)</w:t>
                      </w:r>
                    </w:p>
                    <w:p w14:paraId="6E2E2C64" w14:textId="77777777" w:rsidR="00D222D1" w:rsidRPr="008F2318" w:rsidRDefault="00D222D1" w:rsidP="008F2318">
                      <w:pPr>
                        <w:pStyle w:val="CompanyInfo"/>
                        <w:rPr>
                          <w:rFonts w:ascii="Arial" w:hAnsi="Arial"/>
                          <w:color w:val="002060"/>
                        </w:rPr>
                      </w:pPr>
                    </w:p>
                  </w:txbxContent>
                </v:textbox>
                <w10:wrap anchorx="page" anchory="page"/>
              </v:shape>
            </w:pict>
          </mc:Fallback>
        </mc:AlternateContent>
      </w:r>
      <w:r w:rsidR="00135B11">
        <w:rPr>
          <w:noProof/>
        </w:rPr>
        <mc:AlternateContent>
          <mc:Choice Requires="wps">
            <w:drawing>
              <wp:anchor distT="0" distB="0" distL="114300" distR="114300" simplePos="0" relativeHeight="251691008" behindDoc="0" locked="0" layoutInCell="1" allowOverlap="1" wp14:anchorId="02B4813A" wp14:editId="65C9FC29">
                <wp:simplePos x="0" y="0"/>
                <wp:positionH relativeFrom="column">
                  <wp:posOffset>3178810</wp:posOffset>
                </wp:positionH>
                <wp:positionV relativeFrom="paragraph">
                  <wp:posOffset>892810</wp:posOffset>
                </wp:positionV>
                <wp:extent cx="1333500" cy="739775"/>
                <wp:effectExtent l="0" t="0" r="0" b="3175"/>
                <wp:wrapNone/>
                <wp:docPr id="291" name="Text Box 291"/>
                <wp:cNvGraphicFramePr/>
                <a:graphic xmlns:a="http://schemas.openxmlformats.org/drawingml/2006/main">
                  <a:graphicData uri="http://schemas.microsoft.com/office/word/2010/wordprocessingShape">
                    <wps:wsp>
                      <wps:cNvSpPr txBox="1"/>
                      <wps:spPr>
                        <a:xfrm>
                          <a:off x="0" y="0"/>
                          <a:ext cx="1333500" cy="739775"/>
                        </a:xfrm>
                        <a:prstGeom prst="rect">
                          <a:avLst/>
                        </a:prstGeom>
                        <a:noFill/>
                        <a:ln w="6350">
                          <a:noFill/>
                        </a:ln>
                      </wps:spPr>
                      <wps:txbx>
                        <w:txbxContent>
                          <w:p w14:paraId="0881FBC9" w14:textId="7BF62EEB" w:rsidR="00D222D1" w:rsidRPr="008F2318" w:rsidRDefault="00D222D1" w:rsidP="008F2318">
                            <w:pPr>
                              <w:tabs>
                                <w:tab w:val="left" w:pos="2373"/>
                              </w:tabs>
                              <w:rPr>
                                <w:color w:val="002060"/>
                                <w:sz w:val="18"/>
                                <w:szCs w:val="18"/>
                              </w:rPr>
                            </w:pPr>
                            <w:r w:rsidRPr="008F2318">
                              <w:rPr>
                                <w:color w:val="002060"/>
                                <w:sz w:val="18"/>
                                <w:szCs w:val="18"/>
                              </w:rPr>
                              <w:t>P</w:t>
                            </w:r>
                            <w:r>
                              <w:rPr>
                                <w:color w:val="002060"/>
                                <w:sz w:val="18"/>
                                <w:szCs w:val="18"/>
                              </w:rPr>
                              <w:t>rice/Earnings: 18.12</w:t>
                            </w:r>
                          </w:p>
                          <w:p w14:paraId="7DA507F0" w14:textId="607B946C" w:rsidR="00D222D1" w:rsidRPr="008F2318" w:rsidRDefault="00D222D1" w:rsidP="008F2318">
                            <w:pPr>
                              <w:tabs>
                                <w:tab w:val="left" w:pos="2373"/>
                              </w:tabs>
                              <w:rPr>
                                <w:color w:val="002060"/>
                                <w:sz w:val="18"/>
                                <w:szCs w:val="18"/>
                              </w:rPr>
                            </w:pPr>
                            <w:r>
                              <w:rPr>
                                <w:color w:val="002060"/>
                                <w:sz w:val="18"/>
                                <w:szCs w:val="18"/>
                              </w:rPr>
                              <w:t>EPS (TTM): $7.30</w:t>
                            </w:r>
                          </w:p>
                          <w:p w14:paraId="3F2E6BB0" w14:textId="5C1602DE" w:rsidR="00D222D1" w:rsidRPr="008F2318" w:rsidRDefault="00D222D1" w:rsidP="008F2318">
                            <w:pPr>
                              <w:tabs>
                                <w:tab w:val="left" w:pos="2373"/>
                              </w:tabs>
                              <w:rPr>
                                <w:color w:val="002060"/>
                                <w:sz w:val="18"/>
                                <w:szCs w:val="18"/>
                              </w:rPr>
                            </w:pPr>
                            <w:r>
                              <w:rPr>
                                <w:color w:val="002060"/>
                                <w:sz w:val="18"/>
                                <w:szCs w:val="18"/>
                              </w:rPr>
                              <w:t>Price/Book: 3.95</w:t>
                            </w:r>
                          </w:p>
                          <w:p w14:paraId="03A742D6" w14:textId="2D53ADAF" w:rsidR="00D222D1" w:rsidRDefault="00D222D1" w:rsidP="008F2318">
                            <w:pPr>
                              <w:tabs>
                                <w:tab w:val="left" w:pos="2373"/>
                              </w:tabs>
                              <w:rPr>
                                <w:color w:val="002060"/>
                                <w:sz w:val="18"/>
                                <w:szCs w:val="18"/>
                              </w:rPr>
                            </w:pPr>
                            <w:r>
                              <w:rPr>
                                <w:color w:val="002060"/>
                                <w:sz w:val="18"/>
                                <w:szCs w:val="18"/>
                              </w:rPr>
                              <w:t>% ROA (TTM): 9.15 /</w:t>
                            </w:r>
                          </w:p>
                          <w:p w14:paraId="72E60F2F" w14:textId="03EACC5B" w:rsidR="00D222D1" w:rsidRPr="008F2318" w:rsidRDefault="00D222D1" w:rsidP="008F2318">
                            <w:pPr>
                              <w:tabs>
                                <w:tab w:val="left" w:pos="2373"/>
                              </w:tabs>
                              <w:rPr>
                                <w:color w:val="002060"/>
                                <w:sz w:val="18"/>
                                <w:szCs w:val="18"/>
                              </w:rPr>
                            </w:pPr>
                            <w:r>
                              <w:rPr>
                                <w:color w:val="002060"/>
                                <w:sz w:val="18"/>
                                <w:szCs w:val="18"/>
                              </w:rPr>
                              <w:t>5.80 (Entertainment)</w:t>
                            </w:r>
                          </w:p>
                          <w:p w14:paraId="7EE16C84" w14:textId="77777777" w:rsidR="00D222D1" w:rsidRPr="008F2318" w:rsidRDefault="00D222D1" w:rsidP="008F2318">
                            <w:pPr>
                              <w:rPr>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813A" id="Text Box 291" o:spid="_x0000_s1035" type="#_x0000_t202" style="position:absolute;margin-left:250.3pt;margin-top:70.3pt;width:105pt;height: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" filled="f" stroked="f" strokeweight=".5pt">
                <v:textbox>
                  <w:txbxContent>
                    <w:p w14:paraId="0881FBC9" w14:textId="7BF62EEB" w:rsidR="00D222D1" w:rsidRPr="008F2318" w:rsidRDefault="00D222D1" w:rsidP="008F2318">
                      <w:pPr>
                        <w:tabs>
                          <w:tab w:val="left" w:pos="2373"/>
                        </w:tabs>
                        <w:rPr>
                          <w:color w:val="002060"/>
                          <w:sz w:val="18"/>
                          <w:szCs w:val="18"/>
                        </w:rPr>
                      </w:pPr>
                      <w:r w:rsidRPr="008F2318">
                        <w:rPr>
                          <w:color w:val="002060"/>
                          <w:sz w:val="18"/>
                          <w:szCs w:val="18"/>
                        </w:rPr>
                        <w:t>P</w:t>
                      </w:r>
                      <w:r>
                        <w:rPr>
                          <w:color w:val="002060"/>
                          <w:sz w:val="18"/>
                          <w:szCs w:val="18"/>
                        </w:rPr>
                        <w:t>rice/Earnings: 18.12</w:t>
                      </w:r>
                    </w:p>
                    <w:p w14:paraId="7DA507F0" w14:textId="607B946C" w:rsidR="00D222D1" w:rsidRPr="008F2318" w:rsidRDefault="00D222D1" w:rsidP="008F2318">
                      <w:pPr>
                        <w:tabs>
                          <w:tab w:val="left" w:pos="2373"/>
                        </w:tabs>
                        <w:rPr>
                          <w:color w:val="002060"/>
                          <w:sz w:val="18"/>
                          <w:szCs w:val="18"/>
                        </w:rPr>
                      </w:pPr>
                      <w:r>
                        <w:rPr>
                          <w:color w:val="002060"/>
                          <w:sz w:val="18"/>
                          <w:szCs w:val="18"/>
                        </w:rPr>
                        <w:t>EPS (TTM): $7.30</w:t>
                      </w:r>
                    </w:p>
                    <w:p w14:paraId="3F2E6BB0" w14:textId="5C1602DE" w:rsidR="00D222D1" w:rsidRPr="008F2318" w:rsidRDefault="00D222D1" w:rsidP="008F2318">
                      <w:pPr>
                        <w:tabs>
                          <w:tab w:val="left" w:pos="2373"/>
                        </w:tabs>
                        <w:rPr>
                          <w:color w:val="002060"/>
                          <w:sz w:val="18"/>
                          <w:szCs w:val="18"/>
                        </w:rPr>
                      </w:pPr>
                      <w:r>
                        <w:rPr>
                          <w:color w:val="002060"/>
                          <w:sz w:val="18"/>
                          <w:szCs w:val="18"/>
                        </w:rPr>
                        <w:t>Price/Book: 3.95</w:t>
                      </w:r>
                    </w:p>
                    <w:p w14:paraId="03A742D6" w14:textId="2D53ADAF" w:rsidR="00D222D1" w:rsidRDefault="00D222D1" w:rsidP="008F2318">
                      <w:pPr>
                        <w:tabs>
                          <w:tab w:val="left" w:pos="2373"/>
                        </w:tabs>
                        <w:rPr>
                          <w:color w:val="002060"/>
                          <w:sz w:val="18"/>
                          <w:szCs w:val="18"/>
                        </w:rPr>
                      </w:pPr>
                      <w:r>
                        <w:rPr>
                          <w:color w:val="002060"/>
                          <w:sz w:val="18"/>
                          <w:szCs w:val="18"/>
                        </w:rPr>
                        <w:t>% ROA (TTM): 9.15 /</w:t>
                      </w:r>
                    </w:p>
                    <w:p w14:paraId="72E60F2F" w14:textId="03EACC5B" w:rsidR="00D222D1" w:rsidRPr="008F2318" w:rsidRDefault="00D222D1" w:rsidP="008F2318">
                      <w:pPr>
                        <w:tabs>
                          <w:tab w:val="left" w:pos="2373"/>
                        </w:tabs>
                        <w:rPr>
                          <w:color w:val="002060"/>
                          <w:sz w:val="18"/>
                          <w:szCs w:val="18"/>
                        </w:rPr>
                      </w:pPr>
                      <w:r>
                        <w:rPr>
                          <w:color w:val="002060"/>
                          <w:sz w:val="18"/>
                          <w:szCs w:val="18"/>
                        </w:rPr>
                        <w:t>5.80 (Entertainment)</w:t>
                      </w:r>
                    </w:p>
                    <w:p w14:paraId="7EE16C84" w14:textId="77777777" w:rsidR="00D222D1" w:rsidRPr="008F2318" w:rsidRDefault="00D222D1" w:rsidP="008F2318">
                      <w:pPr>
                        <w:rPr>
                          <w:color w:val="002060"/>
                          <w:sz w:val="18"/>
                          <w:szCs w:val="18"/>
                        </w:rPr>
                      </w:pPr>
                    </w:p>
                  </w:txbxContent>
                </v:textbox>
              </v:shape>
            </w:pict>
          </mc:Fallback>
        </mc:AlternateContent>
      </w:r>
      <w:r w:rsidR="00135B11">
        <w:rPr>
          <w:noProof/>
        </w:rPr>
        <mc:AlternateContent>
          <mc:Choice Requires="wps">
            <w:drawing>
              <wp:anchor distT="0" distB="0" distL="114300" distR="114300" simplePos="0" relativeHeight="251673600" behindDoc="0" locked="0" layoutInCell="1" allowOverlap="1" wp14:anchorId="08AF63ED" wp14:editId="1B7D3DE1">
                <wp:simplePos x="0" y="0"/>
                <wp:positionH relativeFrom="page">
                  <wp:posOffset>1026795</wp:posOffset>
                </wp:positionH>
                <wp:positionV relativeFrom="page">
                  <wp:posOffset>281305</wp:posOffset>
                </wp:positionV>
                <wp:extent cx="1776549" cy="470172"/>
                <wp:effectExtent l="0" t="0" r="1905" b="0"/>
                <wp:wrapNone/>
                <wp:docPr id="26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549" cy="470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B920" w14:textId="7CAB4D2B" w:rsidR="00D222D1" w:rsidRPr="009F7B80" w:rsidRDefault="00D222D1" w:rsidP="008F2318">
                            <w:pPr>
                              <w:pStyle w:val="CompanyInfo"/>
                              <w:rPr>
                                <w:b/>
                                <w:color w:val="002060"/>
                              </w:rPr>
                            </w:pPr>
                            <w:r w:rsidRPr="009F7B80">
                              <w:rPr>
                                <w:b/>
                                <w:color w:val="002060"/>
                              </w:rPr>
                              <w:t>Research Analyst</w:t>
                            </w:r>
                            <w:r>
                              <w:rPr>
                                <w:b/>
                                <w:color w:val="002060"/>
                              </w:rPr>
                              <w:t>s</w:t>
                            </w:r>
                            <w:r w:rsidRPr="009F7B80">
                              <w:rPr>
                                <w:b/>
                                <w:color w:val="002060"/>
                              </w:rPr>
                              <w:t>:</w:t>
                            </w:r>
                          </w:p>
                          <w:p w14:paraId="68D4AE2E" w14:textId="77777777" w:rsidR="00D222D1" w:rsidRPr="009F7B80" w:rsidRDefault="00D222D1" w:rsidP="008F2318">
                            <w:pPr>
                              <w:pStyle w:val="CompanyInfo"/>
                              <w:rPr>
                                <w:color w:val="002060"/>
                              </w:rPr>
                            </w:pPr>
                            <w:r w:rsidRPr="009F7B80">
                              <w:rPr>
                                <w:color w:val="002060"/>
                              </w:rPr>
                              <w:t>Michael Misluk</w:t>
                            </w:r>
                          </w:p>
                          <w:p w14:paraId="422B0556" w14:textId="165958AB" w:rsidR="00D222D1" w:rsidRPr="009F7B80" w:rsidRDefault="00D222D1" w:rsidP="008F2318">
                            <w:pPr>
                              <w:pStyle w:val="CompanyInfo"/>
                              <w:rPr>
                                <w:color w:val="002060"/>
                                <w:sz w:val="20"/>
                                <w:szCs w:val="20"/>
                              </w:rPr>
                            </w:pPr>
                            <w:r>
                              <w:rPr>
                                <w:color w:val="002060"/>
                              </w:rPr>
                              <w:t>Abhishek Srivastava</w:t>
                            </w:r>
                          </w:p>
                          <w:p w14:paraId="077879EE" w14:textId="77777777" w:rsidR="00D222D1" w:rsidRPr="00820658" w:rsidRDefault="00D222D1" w:rsidP="008F2318">
                            <w:pPr>
                              <w:pStyle w:val="CompanyInfo"/>
                              <w:rPr>
                                <w:rFonts w:ascii="Arial" w:hAnsi="Arial"/>
                                <w:color w:val="002060"/>
                                <w:sz w:val="20"/>
                                <w:szCs w:val="20"/>
                              </w:rPr>
                            </w:pPr>
                          </w:p>
                          <w:p w14:paraId="33EA5017" w14:textId="77777777" w:rsidR="00D222D1" w:rsidRPr="00820658" w:rsidRDefault="00D222D1" w:rsidP="008F2318">
                            <w:pPr>
                              <w:pStyle w:val="CompanyInfo"/>
                              <w:rPr>
                                <w:rFonts w:ascii="Arial" w:hAnsi="Arial"/>
                                <w:color w:val="002060"/>
                                <w:sz w:val="22"/>
                                <w:szCs w:val="22"/>
                              </w:rP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63ED" id="_x0000_s1036" type="#_x0000_t202" style="position:absolute;margin-left:80.85pt;margin-top:22.15pt;width:139.9pt;height: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" filled="f" stroked="f">
                <v:textbox inset="0,.72pt,0,0">
                  <w:txbxContent>
                    <w:p w14:paraId="0592B920" w14:textId="7CAB4D2B" w:rsidR="00D222D1" w:rsidRPr="009F7B80" w:rsidRDefault="00D222D1" w:rsidP="008F2318">
                      <w:pPr>
                        <w:pStyle w:val="CompanyInfo"/>
                        <w:rPr>
                          <w:b/>
                          <w:color w:val="002060"/>
                        </w:rPr>
                      </w:pPr>
                      <w:r w:rsidRPr="009F7B80">
                        <w:rPr>
                          <w:b/>
                          <w:color w:val="002060"/>
                        </w:rPr>
                        <w:t>Research Analyst</w:t>
                      </w:r>
                      <w:r>
                        <w:rPr>
                          <w:b/>
                          <w:color w:val="002060"/>
                        </w:rPr>
                        <w:t>s</w:t>
                      </w:r>
                      <w:r w:rsidRPr="009F7B80">
                        <w:rPr>
                          <w:b/>
                          <w:color w:val="002060"/>
                        </w:rPr>
                        <w:t>:</w:t>
                      </w:r>
                    </w:p>
                    <w:p w14:paraId="68D4AE2E" w14:textId="77777777" w:rsidR="00D222D1" w:rsidRPr="009F7B80" w:rsidRDefault="00D222D1" w:rsidP="008F2318">
                      <w:pPr>
                        <w:pStyle w:val="CompanyInfo"/>
                        <w:rPr>
                          <w:color w:val="002060"/>
                        </w:rPr>
                      </w:pPr>
                      <w:r w:rsidRPr="009F7B80">
                        <w:rPr>
                          <w:color w:val="002060"/>
                        </w:rPr>
                        <w:t>Michael Misluk</w:t>
                      </w:r>
                    </w:p>
                    <w:p w14:paraId="422B0556" w14:textId="165958AB" w:rsidR="00D222D1" w:rsidRPr="009F7B80" w:rsidRDefault="00D222D1" w:rsidP="008F2318">
                      <w:pPr>
                        <w:pStyle w:val="CompanyInfo"/>
                        <w:rPr>
                          <w:color w:val="002060"/>
                          <w:sz w:val="20"/>
                          <w:szCs w:val="20"/>
                        </w:rPr>
                      </w:pPr>
                      <w:r>
                        <w:rPr>
                          <w:color w:val="002060"/>
                        </w:rPr>
                        <w:t>Abhishek Srivastava</w:t>
                      </w:r>
                    </w:p>
                    <w:p w14:paraId="077879EE" w14:textId="77777777" w:rsidR="00D222D1" w:rsidRPr="00820658" w:rsidRDefault="00D222D1" w:rsidP="008F2318">
                      <w:pPr>
                        <w:pStyle w:val="CompanyInfo"/>
                        <w:rPr>
                          <w:rFonts w:ascii="Arial" w:hAnsi="Arial"/>
                          <w:color w:val="002060"/>
                          <w:sz w:val="20"/>
                          <w:szCs w:val="20"/>
                        </w:rPr>
                      </w:pPr>
                    </w:p>
                    <w:p w14:paraId="33EA5017" w14:textId="77777777" w:rsidR="00D222D1" w:rsidRPr="00820658" w:rsidRDefault="00D222D1" w:rsidP="008F2318">
                      <w:pPr>
                        <w:pStyle w:val="CompanyInfo"/>
                        <w:rPr>
                          <w:rFonts w:ascii="Arial" w:hAnsi="Arial"/>
                          <w:color w:val="002060"/>
                          <w:sz w:val="22"/>
                          <w:szCs w:val="22"/>
                        </w:rPr>
                      </w:pPr>
                    </w:p>
                  </w:txbxContent>
                </v:textbox>
                <w10:wrap anchorx="page" anchory="page"/>
              </v:shape>
            </w:pict>
          </mc:Fallback>
        </mc:AlternateContent>
      </w:r>
      <w:r w:rsidR="00F96B7E">
        <w:rPr>
          <w:noProof/>
        </w:rPr>
        <mc:AlternateContent>
          <mc:Choice Requires="wps">
            <w:drawing>
              <wp:anchor distT="0" distB="0" distL="114300" distR="114300" simplePos="0" relativeHeight="251676672" behindDoc="0" locked="0" layoutInCell="1" allowOverlap="1" wp14:anchorId="6C7B6867" wp14:editId="05B9C30F">
                <wp:simplePos x="0" y="0"/>
                <wp:positionH relativeFrom="page">
                  <wp:posOffset>3424555</wp:posOffset>
                </wp:positionH>
                <wp:positionV relativeFrom="page">
                  <wp:posOffset>4443730</wp:posOffset>
                </wp:positionV>
                <wp:extent cx="2185852" cy="260803"/>
                <wp:effectExtent l="0" t="0" r="11430" b="6350"/>
                <wp:wrapNone/>
                <wp:docPr id="2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852" cy="26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2C52" w14:textId="77777777" w:rsidR="00D222D1" w:rsidRPr="00BF2A22" w:rsidRDefault="00D222D1" w:rsidP="008F2318">
                            <w:pPr>
                              <w:pStyle w:val="Heading1"/>
                              <w:rPr>
                                <w:color w:val="002060"/>
                                <w:sz w:val="32"/>
                                <w:szCs w:val="32"/>
                              </w:rPr>
                            </w:pPr>
                            <w:r w:rsidRPr="00BF2A22">
                              <w:rPr>
                                <w:color w:val="002060"/>
                                <w:sz w:val="32"/>
                                <w:szCs w:val="32"/>
                              </w:rPr>
                              <w:t>Catalysts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6867" id="Text Box 347" o:spid="_x0000_s1037" type="#_x0000_t202" style="position:absolute;margin-left:269.65pt;margin-top:349.9pt;width:172.1pt;height:20.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Mu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" filled="f" stroked="f">
                <v:textbox inset="0,0,0,0">
                  <w:txbxContent>
                    <w:p w14:paraId="46E22C52" w14:textId="77777777" w:rsidR="00D222D1" w:rsidRPr="00BF2A22" w:rsidRDefault="00D222D1" w:rsidP="008F2318">
                      <w:pPr>
                        <w:pStyle w:val="Heading1"/>
                        <w:rPr>
                          <w:color w:val="002060"/>
                          <w:sz w:val="32"/>
                          <w:szCs w:val="32"/>
                        </w:rPr>
                      </w:pPr>
                      <w:r w:rsidRPr="00BF2A22">
                        <w:rPr>
                          <w:color w:val="002060"/>
                          <w:sz w:val="32"/>
                          <w:szCs w:val="32"/>
                        </w:rPr>
                        <w:t>Catalysts</w:t>
                      </w:r>
                    </w:p>
                  </w:txbxContent>
                </v:textbox>
                <w10:wrap anchorx="page" anchory="page"/>
              </v:shape>
            </w:pict>
          </mc:Fallback>
        </mc:AlternateContent>
      </w:r>
      <w:r w:rsidR="007E44E4">
        <w:rPr>
          <w:noProof/>
        </w:rPr>
        <mc:AlternateContent>
          <mc:Choice Requires="wps">
            <w:drawing>
              <wp:anchor distT="0" distB="0" distL="114300" distR="114300" simplePos="0" relativeHeight="251693056" behindDoc="0" locked="0" layoutInCell="1" allowOverlap="1" wp14:anchorId="6B6E5F5C" wp14:editId="2055C252">
                <wp:simplePos x="0" y="0"/>
                <wp:positionH relativeFrom="page">
                  <wp:posOffset>3441700</wp:posOffset>
                </wp:positionH>
                <wp:positionV relativeFrom="page">
                  <wp:posOffset>2305050</wp:posOffset>
                </wp:positionV>
                <wp:extent cx="4138930" cy="933450"/>
                <wp:effectExtent l="0" t="0" r="13970" b="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ABB1" w14:textId="63D5D982" w:rsidR="00D222D1" w:rsidRPr="001B2D3D" w:rsidRDefault="00D222D1" w:rsidP="007E44E4">
                            <w:pPr>
                              <w:spacing w:line="276" w:lineRule="auto"/>
                              <w:jc w:val="both"/>
                              <w:rPr>
                                <w:rFonts w:ascii="Arial" w:hAnsi="Arial" w:cs="Arial"/>
                                <w:sz w:val="18"/>
                                <w:szCs w:val="18"/>
                              </w:rPr>
                            </w:pPr>
                            <w:r>
                              <w:rPr>
                                <w:rFonts w:ascii="Arial" w:hAnsi="Arial" w:cs="Arial"/>
                                <w:sz w:val="18"/>
                                <w:szCs w:val="18"/>
                              </w:rPr>
                              <w:t>The Walt Disney Company</w:t>
                            </w:r>
                            <w:r w:rsidRPr="003B14C6">
                              <w:rPr>
                                <w:rFonts w:ascii="Arial" w:hAnsi="Arial" w:cs="Arial"/>
                                <w:sz w:val="18"/>
                                <w:szCs w:val="18"/>
                              </w:rPr>
                              <w:t xml:space="preserve"> (</w:t>
                            </w:r>
                            <w:r>
                              <w:rPr>
                                <w:rFonts w:ascii="Arial" w:hAnsi="Arial" w:cs="Arial"/>
                                <w:sz w:val="18"/>
                                <w:szCs w:val="18"/>
                              </w:rPr>
                              <w:t>Disney</w:t>
                            </w:r>
                            <w:r w:rsidRPr="003B14C6">
                              <w:rPr>
                                <w:rFonts w:ascii="Arial" w:hAnsi="Arial" w:cs="Arial"/>
                                <w:sz w:val="18"/>
                                <w:szCs w:val="18"/>
                              </w:rPr>
                              <w:t xml:space="preserve">) is a </w:t>
                            </w:r>
                            <w:r>
                              <w:rPr>
                                <w:rFonts w:ascii="Arial" w:hAnsi="Arial" w:cs="Arial"/>
                                <w:sz w:val="18"/>
                                <w:szCs w:val="18"/>
                              </w:rPr>
                              <w:t>global</w:t>
                            </w:r>
                            <w:r w:rsidRPr="003B14C6">
                              <w:rPr>
                                <w:rFonts w:ascii="Arial" w:hAnsi="Arial" w:cs="Arial"/>
                                <w:sz w:val="18"/>
                                <w:szCs w:val="18"/>
                              </w:rPr>
                              <w:t xml:space="preserve"> </w:t>
                            </w:r>
                            <w:r>
                              <w:rPr>
                                <w:rFonts w:ascii="Arial" w:hAnsi="Arial" w:cs="Arial"/>
                                <w:sz w:val="18"/>
                                <w:szCs w:val="18"/>
                              </w:rPr>
                              <w:t>media &amp; entertainment</w:t>
                            </w:r>
                            <w:r w:rsidRPr="003B14C6">
                              <w:rPr>
                                <w:rFonts w:ascii="Arial" w:hAnsi="Arial" w:cs="Arial"/>
                                <w:sz w:val="18"/>
                                <w:szCs w:val="18"/>
                              </w:rPr>
                              <w:t xml:space="preserve"> company</w:t>
                            </w:r>
                            <w:r>
                              <w:rPr>
                                <w:rFonts w:ascii="Arial" w:hAnsi="Arial" w:cs="Arial"/>
                                <w:sz w:val="18"/>
                                <w:szCs w:val="18"/>
                              </w:rPr>
                              <w:t xml:space="preserve"> with four divisions: Media Networks, Parks and Resorts, Studio Entertainment and Consumer Products &amp; Interactive Media.  The company owns and leverages well-known brands, ranging from Mickey Mouse and Frozen to ESPN and ABC.  In the last twelve years, Disney has acquired Pixar, Marvel, Lucasfilm and recently most of Twenty-First Century Fox’s assets, to be the largest content provider in the world.</w:t>
                            </w:r>
                          </w:p>
                          <w:p w14:paraId="76F96091" w14:textId="77777777" w:rsidR="00D222D1" w:rsidRPr="001B2D3D" w:rsidRDefault="00D222D1" w:rsidP="00B67321">
                            <w:pPr>
                              <w:pStyle w:val="BodyText"/>
                              <w:jc w:val="both"/>
                              <w:rPr>
                                <w:rFonts w:ascii="Arial" w:hAnsi="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E5F5C" id="Text Box 14" o:spid="_x0000_s1038" type="#_x0000_t202" style="position:absolute;margin-left:271pt;margin-top:181.5pt;width:325.9pt;height:7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2CtQ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" filled="f" stroked="f">
                <v:textbox inset="0,0,0,0">
                  <w:txbxContent>
                    <w:p w14:paraId="03DAABB1" w14:textId="63D5D982" w:rsidR="00D222D1" w:rsidRPr="001B2D3D" w:rsidRDefault="00D222D1" w:rsidP="007E44E4">
                      <w:pPr>
                        <w:spacing w:line="276" w:lineRule="auto"/>
                        <w:jc w:val="both"/>
                        <w:rPr>
                          <w:rFonts w:ascii="Arial" w:hAnsi="Arial" w:cs="Arial"/>
                          <w:sz w:val="18"/>
                          <w:szCs w:val="18"/>
                        </w:rPr>
                      </w:pPr>
                      <w:r>
                        <w:rPr>
                          <w:rFonts w:ascii="Arial" w:hAnsi="Arial" w:cs="Arial"/>
                          <w:sz w:val="18"/>
                          <w:szCs w:val="18"/>
                        </w:rPr>
                        <w:t>The Walt Disney Company</w:t>
                      </w:r>
                      <w:r w:rsidRPr="003B14C6">
                        <w:rPr>
                          <w:rFonts w:ascii="Arial" w:hAnsi="Arial" w:cs="Arial"/>
                          <w:sz w:val="18"/>
                          <w:szCs w:val="18"/>
                        </w:rPr>
                        <w:t xml:space="preserve"> (</w:t>
                      </w:r>
                      <w:r>
                        <w:rPr>
                          <w:rFonts w:ascii="Arial" w:hAnsi="Arial" w:cs="Arial"/>
                          <w:sz w:val="18"/>
                          <w:szCs w:val="18"/>
                        </w:rPr>
                        <w:t>Disney</w:t>
                      </w:r>
                      <w:r w:rsidRPr="003B14C6">
                        <w:rPr>
                          <w:rFonts w:ascii="Arial" w:hAnsi="Arial" w:cs="Arial"/>
                          <w:sz w:val="18"/>
                          <w:szCs w:val="18"/>
                        </w:rPr>
                        <w:t xml:space="preserve">) is a </w:t>
                      </w:r>
                      <w:r>
                        <w:rPr>
                          <w:rFonts w:ascii="Arial" w:hAnsi="Arial" w:cs="Arial"/>
                          <w:sz w:val="18"/>
                          <w:szCs w:val="18"/>
                        </w:rPr>
                        <w:t>global</w:t>
                      </w:r>
                      <w:r w:rsidRPr="003B14C6">
                        <w:rPr>
                          <w:rFonts w:ascii="Arial" w:hAnsi="Arial" w:cs="Arial"/>
                          <w:sz w:val="18"/>
                          <w:szCs w:val="18"/>
                        </w:rPr>
                        <w:t xml:space="preserve"> </w:t>
                      </w:r>
                      <w:r>
                        <w:rPr>
                          <w:rFonts w:ascii="Arial" w:hAnsi="Arial" w:cs="Arial"/>
                          <w:sz w:val="18"/>
                          <w:szCs w:val="18"/>
                        </w:rPr>
                        <w:t>media &amp; entertainment</w:t>
                      </w:r>
                      <w:r w:rsidRPr="003B14C6">
                        <w:rPr>
                          <w:rFonts w:ascii="Arial" w:hAnsi="Arial" w:cs="Arial"/>
                          <w:sz w:val="18"/>
                          <w:szCs w:val="18"/>
                        </w:rPr>
                        <w:t xml:space="preserve"> company</w:t>
                      </w:r>
                      <w:r>
                        <w:rPr>
                          <w:rFonts w:ascii="Arial" w:hAnsi="Arial" w:cs="Arial"/>
                          <w:sz w:val="18"/>
                          <w:szCs w:val="18"/>
                        </w:rPr>
                        <w:t xml:space="preserve"> with four divisions: Media Networks, Parks and Resorts, Studio Entertainment and Consumer Products &amp; Interactive Media.  The company owns and leverages well-known brands, ranging from Mickey Mouse and Frozen to ESPN and ABC.  In the last twelve years, Disney has acquired Pixar, Marvel, Lucasfilm and recently most of Twenty-First Century Fox’s assets, to be the largest content provider in the world.</w:t>
                      </w:r>
                    </w:p>
                    <w:p w14:paraId="76F96091" w14:textId="77777777" w:rsidR="00D222D1" w:rsidRPr="001B2D3D" w:rsidRDefault="00D222D1" w:rsidP="00B67321">
                      <w:pPr>
                        <w:pStyle w:val="BodyText"/>
                        <w:jc w:val="both"/>
                        <w:rPr>
                          <w:rFonts w:ascii="Arial" w:hAnsi="Arial"/>
                          <w:sz w:val="18"/>
                          <w:szCs w:val="18"/>
                        </w:rPr>
                      </w:pPr>
                    </w:p>
                  </w:txbxContent>
                </v:textbox>
                <w10:wrap anchorx="page" anchory="page"/>
              </v:shape>
            </w:pict>
          </mc:Fallback>
        </mc:AlternateContent>
      </w:r>
      <w:r w:rsidR="007E44E4">
        <w:rPr>
          <w:noProof/>
        </w:rPr>
        <mc:AlternateContent>
          <mc:Choice Requires="wps">
            <w:drawing>
              <wp:anchor distT="0" distB="0" distL="114300" distR="114300" simplePos="0" relativeHeight="251677696" behindDoc="0" locked="0" layoutInCell="1" allowOverlap="1" wp14:anchorId="2348160C" wp14:editId="64D6555F">
                <wp:simplePos x="0" y="0"/>
                <wp:positionH relativeFrom="page">
                  <wp:posOffset>3453130</wp:posOffset>
                </wp:positionH>
                <wp:positionV relativeFrom="page">
                  <wp:posOffset>3206115</wp:posOffset>
                </wp:positionV>
                <wp:extent cx="2883244" cy="248920"/>
                <wp:effectExtent l="0" t="0" r="0" b="5080"/>
                <wp:wrapNone/>
                <wp:docPr id="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24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30E6" w14:textId="77777777" w:rsidR="00D222D1" w:rsidRPr="00BF2A22" w:rsidRDefault="00D222D1" w:rsidP="008F2318">
                            <w:pPr>
                              <w:pStyle w:val="Heading1"/>
                              <w:rPr>
                                <w:color w:val="002060"/>
                                <w:sz w:val="32"/>
                                <w:szCs w:val="32"/>
                              </w:rPr>
                            </w:pPr>
                            <w:r w:rsidRPr="00BF2A22">
                              <w:rPr>
                                <w:color w:val="002060"/>
                                <w:sz w:val="32"/>
                                <w:szCs w:val="32"/>
                              </w:rPr>
                              <w:t>Investment Thesis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8160C" id="Text Box 329" o:spid="_x0000_s1039" type="#_x0000_t202" style="position:absolute;margin-left:271.9pt;margin-top:252.45pt;width:227.05pt;height:1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wCsw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" filled="f" stroked="f">
                <v:textbox style="mso-fit-shape-to-text:t" inset="0,0,0,0">
                  <w:txbxContent>
                    <w:p w14:paraId="423A30E6" w14:textId="77777777" w:rsidR="00D222D1" w:rsidRPr="00BF2A22" w:rsidRDefault="00D222D1" w:rsidP="008F2318">
                      <w:pPr>
                        <w:pStyle w:val="Heading1"/>
                        <w:rPr>
                          <w:color w:val="002060"/>
                          <w:sz w:val="32"/>
                          <w:szCs w:val="32"/>
                        </w:rPr>
                      </w:pPr>
                      <w:r w:rsidRPr="00BF2A22">
                        <w:rPr>
                          <w:color w:val="002060"/>
                          <w:sz w:val="32"/>
                          <w:szCs w:val="32"/>
                        </w:rPr>
                        <w:t>Investment Thesis</w:t>
                      </w:r>
                    </w:p>
                  </w:txbxContent>
                </v:textbox>
                <w10:wrap anchorx="page" anchory="page"/>
              </v:shape>
            </w:pict>
          </mc:Fallback>
        </mc:AlternateContent>
      </w:r>
      <w:r w:rsidR="007E44E4">
        <w:rPr>
          <w:noProof/>
        </w:rPr>
        <mc:AlternateContent>
          <mc:Choice Requires="wps">
            <w:drawing>
              <wp:anchor distT="0" distB="0" distL="114300" distR="114300" simplePos="0" relativeHeight="251697152" behindDoc="0" locked="0" layoutInCell="1" allowOverlap="1" wp14:anchorId="0BA89712" wp14:editId="2C812E63">
                <wp:simplePos x="0" y="0"/>
                <wp:positionH relativeFrom="column">
                  <wp:posOffset>2984500</wp:posOffset>
                </wp:positionH>
                <wp:positionV relativeFrom="paragraph">
                  <wp:posOffset>4431030</wp:posOffset>
                </wp:positionV>
                <wp:extent cx="4150995" cy="2863850"/>
                <wp:effectExtent l="0" t="0" r="1905" b="12700"/>
                <wp:wrapNone/>
                <wp:docPr id="312" name="Text Box 312"/>
                <wp:cNvGraphicFramePr/>
                <a:graphic xmlns:a="http://schemas.openxmlformats.org/drawingml/2006/main">
                  <a:graphicData uri="http://schemas.microsoft.com/office/word/2010/wordprocessingShape">
                    <wps:wsp>
                      <wps:cNvSpPr txBox="1"/>
                      <wps:spPr>
                        <a:xfrm>
                          <a:off x="0" y="0"/>
                          <a:ext cx="4150995" cy="286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1227C" w14:textId="2FED6A27"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21</w:t>
                            </w:r>
                            <w:r w:rsidRPr="007E7A09">
                              <w:rPr>
                                <w:rFonts w:ascii="Arial" w:eastAsiaTheme="minorEastAsia" w:hAnsi="Arial" w:cs="Arial"/>
                                <w:b/>
                                <w:color w:val="002060"/>
                                <w:sz w:val="18"/>
                                <w:szCs w:val="18"/>
                                <w:vertAlign w:val="superscript"/>
                                <w:lang w:eastAsia="zh-CN"/>
                              </w:rPr>
                              <w:t>st</w:t>
                            </w:r>
                            <w:r>
                              <w:rPr>
                                <w:rFonts w:ascii="Arial" w:eastAsiaTheme="minorEastAsia" w:hAnsi="Arial" w:cs="Arial"/>
                                <w:b/>
                                <w:color w:val="002060"/>
                                <w:sz w:val="18"/>
                                <w:szCs w:val="18"/>
                                <w:lang w:eastAsia="zh-CN"/>
                              </w:rPr>
                              <w:t xml:space="preserve"> Century Fox Acquisition</w:t>
                            </w:r>
                            <w:r>
                              <w:rPr>
                                <w:rFonts w:ascii="Arial" w:eastAsiaTheme="minorEastAsia" w:hAnsi="Arial" w:cs="Arial"/>
                                <w:sz w:val="18"/>
                                <w:szCs w:val="18"/>
                                <w:lang w:eastAsia="zh-CN"/>
                              </w:rPr>
                              <w:t>:</w:t>
                            </w:r>
                            <w:r w:rsidRPr="000B3164">
                              <w:rPr>
                                <w:rFonts w:ascii="Times" w:eastAsiaTheme="minorEastAsia" w:hAnsi="Times" w:cs="Times"/>
                                <w:szCs w:val="24"/>
                                <w:lang w:eastAsia="zh-CN"/>
                              </w:rPr>
                              <w:t xml:space="preserve"> </w:t>
                            </w:r>
                            <w:r>
                              <w:rPr>
                                <w:rFonts w:ascii="Arial" w:eastAsiaTheme="minorEastAsia" w:hAnsi="Arial" w:cs="Arial"/>
                                <w:sz w:val="18"/>
                                <w:szCs w:val="18"/>
                                <w:lang w:eastAsia="zh-CN"/>
                              </w:rPr>
                              <w:t>The acquisition of the majority of 21</w:t>
                            </w:r>
                            <w:r w:rsidRPr="007E7A09">
                              <w:rPr>
                                <w:rFonts w:ascii="Arial" w:eastAsiaTheme="minorEastAsia" w:hAnsi="Arial" w:cs="Arial"/>
                                <w:sz w:val="18"/>
                                <w:szCs w:val="18"/>
                                <w:vertAlign w:val="superscript"/>
                                <w:lang w:eastAsia="zh-CN"/>
                              </w:rPr>
                              <w:t>st</w:t>
                            </w:r>
                            <w:r>
                              <w:rPr>
                                <w:rFonts w:ascii="Arial" w:eastAsiaTheme="minorEastAsia" w:hAnsi="Arial" w:cs="Arial"/>
                                <w:sz w:val="18"/>
                                <w:szCs w:val="18"/>
                                <w:lang w:eastAsia="zh-CN"/>
                              </w:rPr>
                              <w:t xml:space="preserve"> Century Fox’s assets will significantly expand its content portfolio</w:t>
                            </w:r>
                            <w:r w:rsidRPr="000B3164">
                              <w:rPr>
                                <w:rFonts w:ascii="Arial" w:eastAsiaTheme="minorEastAsia" w:hAnsi="Arial" w:cs="Arial"/>
                                <w:sz w:val="18"/>
                                <w:szCs w:val="18"/>
                                <w:lang w:eastAsia="zh-CN"/>
                              </w:rPr>
                              <w:t>.</w:t>
                            </w:r>
                            <w:r>
                              <w:rPr>
                                <w:rFonts w:ascii="Arial" w:eastAsiaTheme="minorEastAsia" w:hAnsi="Arial" w:cs="Arial"/>
                                <w:sz w:val="18"/>
                                <w:szCs w:val="18"/>
                                <w:lang w:eastAsia="zh-CN"/>
                              </w:rPr>
                              <w:t xml:space="preserve">  They will have telecasting rights of MLB and the NBA in the United States; Premier League, Serie A, Bundesliga and UEFA Champions League in Europe and the Indian Premier League.  Fox’s television business is expected to strengthen the TV slate globally and Disney’s international footprint will increase substantially in Europe and India. </w:t>
                            </w:r>
                            <w:r w:rsidRPr="000B3164">
                              <w:rPr>
                                <w:rFonts w:ascii="Arial" w:eastAsiaTheme="minorEastAsia" w:hAnsi="Arial" w:cs="Arial"/>
                                <w:sz w:val="18"/>
                                <w:szCs w:val="18"/>
                                <w:lang w:eastAsia="zh-CN"/>
                              </w:rPr>
                              <w:t xml:space="preserve"> </w:t>
                            </w:r>
                          </w:p>
                          <w:p w14:paraId="6074A49E" w14:textId="0B4AFA38"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Impressive Slate of Big Budget Movies:</w:t>
                            </w:r>
                            <w:r>
                              <w:rPr>
                                <w:rFonts w:ascii="Arial" w:eastAsiaTheme="minorEastAsia" w:hAnsi="Arial" w:cs="Arial"/>
                                <w:sz w:val="18"/>
                                <w:szCs w:val="18"/>
                                <w:lang w:eastAsia="zh-CN"/>
                              </w:rPr>
                              <w:t xml:space="preserve"> Disney’s Studio Entertainment segment has many big movies slated to be released over the next 18 months, such as: </w:t>
                            </w:r>
                            <w:r w:rsidRPr="00E46587">
                              <w:rPr>
                                <w:rFonts w:ascii="Arial" w:eastAsiaTheme="minorEastAsia" w:hAnsi="Arial" w:cs="Arial"/>
                                <w:i/>
                                <w:sz w:val="18"/>
                                <w:szCs w:val="18"/>
                                <w:lang w:eastAsia="zh-CN"/>
                              </w:rPr>
                              <w:t xml:space="preserve">Captain Marvel, Dumbo, Avengers 4, Aladdin, Toy Story 4, The Lion King, Frozen 2 </w:t>
                            </w:r>
                            <w:r w:rsidRPr="00E46587">
                              <w:rPr>
                                <w:rFonts w:ascii="Arial" w:eastAsiaTheme="minorEastAsia" w:hAnsi="Arial" w:cs="Arial"/>
                                <w:sz w:val="18"/>
                                <w:szCs w:val="18"/>
                                <w:lang w:eastAsia="zh-CN"/>
                              </w:rPr>
                              <w:t>and</w:t>
                            </w:r>
                            <w:r w:rsidRPr="00E46587">
                              <w:rPr>
                                <w:rFonts w:ascii="Arial" w:eastAsiaTheme="minorEastAsia" w:hAnsi="Arial" w:cs="Arial"/>
                                <w:i/>
                                <w:sz w:val="18"/>
                                <w:szCs w:val="18"/>
                                <w:lang w:eastAsia="zh-CN"/>
                              </w:rPr>
                              <w:t xml:space="preserve"> Star Wars: Episode IX</w:t>
                            </w:r>
                            <w:r>
                              <w:rPr>
                                <w:rFonts w:ascii="Arial" w:eastAsiaTheme="minorEastAsia" w:hAnsi="Arial" w:cs="Arial"/>
                                <w:sz w:val="18"/>
                                <w:szCs w:val="18"/>
                                <w:lang w:eastAsia="zh-CN"/>
                              </w:rPr>
                              <w:t xml:space="preserve">.  The success of blockbuster hit movies also tend to bode well for the Consumer Products division as well as the theme parks which have new attractions tied to them such as Star Wars Land and Toy Story Land.  </w:t>
                            </w:r>
                          </w:p>
                          <w:p w14:paraId="766A2330" w14:textId="2B7FD6B1" w:rsidR="00D222D1" w:rsidRPr="000B3164"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Direct-to-Consumer Media Streaming Services:</w:t>
                            </w:r>
                            <w:r>
                              <w:rPr>
                                <w:rFonts w:ascii="Arial" w:eastAsiaTheme="minorEastAsia" w:hAnsi="Arial" w:cs="Arial"/>
                                <w:sz w:val="18"/>
                                <w:szCs w:val="18"/>
                                <w:lang w:eastAsia="zh-CN"/>
                              </w:rPr>
                              <w:t xml:space="preserve"> ESPN+ and Disney+ will have exclusive content that is highly desirable and should be able to attract a wide range of subscribers.  The recent termination of a distribution agreement with Netflix will enable it to offer rich content exclusively from Disney, Pixar, Marvel, Star Wars, and National Geographic; including all theatrical releases starting with the 2019 slate.</w:t>
                            </w:r>
                          </w:p>
                          <w:p w14:paraId="75DC3CBA" w14:textId="77777777" w:rsidR="00D222D1" w:rsidRDefault="00D222D1" w:rsidP="000B3164">
                            <w:pPr>
                              <w:autoSpaceDE w:val="0"/>
                              <w:autoSpaceDN w:val="0"/>
                              <w:adjustRightInd w:val="0"/>
                              <w:spacing w:line="180" w:lineRule="atLeast"/>
                              <w:jc w:val="both"/>
                              <w:rPr>
                                <w:rFonts w:ascii="Times" w:eastAsiaTheme="minorEastAsia" w:hAnsi="Times" w:cs="Times"/>
                                <w:szCs w:val="24"/>
                                <w:lang w:eastAsia="zh-CN"/>
                              </w:rPr>
                            </w:pPr>
                          </w:p>
                          <w:p w14:paraId="1D12AB07" w14:textId="77777777" w:rsidR="00D222D1" w:rsidRPr="000B3164" w:rsidRDefault="00D222D1" w:rsidP="000B3164">
                            <w:pPr>
                              <w:autoSpaceDE w:val="0"/>
                              <w:autoSpaceDN w:val="0"/>
                              <w:adjustRightInd w:val="0"/>
                              <w:spacing w:after="240" w:line="280" w:lineRule="atLeast"/>
                              <w:jc w:val="both"/>
                              <w:rPr>
                                <w:rFonts w:ascii="Arial" w:eastAsiaTheme="minorEastAsia" w:hAnsi="Arial" w:cs="Arial"/>
                                <w:sz w:val="18"/>
                                <w:szCs w:val="18"/>
                                <w:lang w:eastAsia="zh-CN"/>
                              </w:rPr>
                            </w:pPr>
                            <w:r w:rsidRPr="000B3164">
                              <w:rPr>
                                <w:rFonts w:ascii="Arial" w:eastAsiaTheme="minorEastAsia" w:hAnsi="Arial" w:cs="Arial"/>
                                <w:sz w:val="18"/>
                                <w:szCs w:val="18"/>
                                <w:lang w:eastAsia="zh-CN"/>
                              </w:rPr>
                              <w:t xml:space="preserve"> </w:t>
                            </w:r>
                          </w:p>
                          <w:p w14:paraId="7037DDF8" w14:textId="77777777" w:rsidR="00D222D1" w:rsidRPr="001B2D3D" w:rsidRDefault="00D222D1" w:rsidP="000B3164">
                            <w:pPr>
                              <w:jc w:val="both"/>
                              <w:rPr>
                                <w:rFonts w:ascii="Arial" w:eastAsiaTheme="minorEastAsia" w:hAnsi="Arial" w:cs="Arial"/>
                                <w:color w:val="000000" w:themeColor="text1"/>
                                <w:lang w:eastAsia="zh-CN"/>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9712" id="Text Box 312" o:spid="_x0000_s1040" type="#_x0000_t202" style="position:absolute;margin-left:235pt;margin-top:348.9pt;width:326.85pt;height:2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" filled="f" stroked="f">
                <v:textbox inset="0,0,0,0">
                  <w:txbxContent>
                    <w:p w14:paraId="2361227C" w14:textId="2FED6A27"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21</w:t>
                      </w:r>
                      <w:r w:rsidRPr="007E7A09">
                        <w:rPr>
                          <w:rFonts w:ascii="Arial" w:eastAsiaTheme="minorEastAsia" w:hAnsi="Arial" w:cs="Arial"/>
                          <w:b/>
                          <w:color w:val="002060"/>
                          <w:sz w:val="18"/>
                          <w:szCs w:val="18"/>
                          <w:vertAlign w:val="superscript"/>
                          <w:lang w:eastAsia="zh-CN"/>
                        </w:rPr>
                        <w:t>st</w:t>
                      </w:r>
                      <w:r>
                        <w:rPr>
                          <w:rFonts w:ascii="Arial" w:eastAsiaTheme="minorEastAsia" w:hAnsi="Arial" w:cs="Arial"/>
                          <w:b/>
                          <w:color w:val="002060"/>
                          <w:sz w:val="18"/>
                          <w:szCs w:val="18"/>
                          <w:lang w:eastAsia="zh-CN"/>
                        </w:rPr>
                        <w:t xml:space="preserve"> Century Fox Acquisition</w:t>
                      </w:r>
                      <w:r>
                        <w:rPr>
                          <w:rFonts w:ascii="Arial" w:eastAsiaTheme="minorEastAsia" w:hAnsi="Arial" w:cs="Arial"/>
                          <w:sz w:val="18"/>
                          <w:szCs w:val="18"/>
                          <w:lang w:eastAsia="zh-CN"/>
                        </w:rPr>
                        <w:t>:</w:t>
                      </w:r>
                      <w:r w:rsidRPr="000B3164">
                        <w:rPr>
                          <w:rFonts w:ascii="Times" w:eastAsiaTheme="minorEastAsia" w:hAnsi="Times" w:cs="Times"/>
                          <w:szCs w:val="24"/>
                          <w:lang w:eastAsia="zh-CN"/>
                        </w:rPr>
                        <w:t xml:space="preserve"> </w:t>
                      </w:r>
                      <w:r>
                        <w:rPr>
                          <w:rFonts w:ascii="Arial" w:eastAsiaTheme="minorEastAsia" w:hAnsi="Arial" w:cs="Arial"/>
                          <w:sz w:val="18"/>
                          <w:szCs w:val="18"/>
                          <w:lang w:eastAsia="zh-CN"/>
                        </w:rPr>
                        <w:t>The acquisition of the majority of 21</w:t>
                      </w:r>
                      <w:r w:rsidRPr="007E7A09">
                        <w:rPr>
                          <w:rFonts w:ascii="Arial" w:eastAsiaTheme="minorEastAsia" w:hAnsi="Arial" w:cs="Arial"/>
                          <w:sz w:val="18"/>
                          <w:szCs w:val="18"/>
                          <w:vertAlign w:val="superscript"/>
                          <w:lang w:eastAsia="zh-CN"/>
                        </w:rPr>
                        <w:t>st</w:t>
                      </w:r>
                      <w:r>
                        <w:rPr>
                          <w:rFonts w:ascii="Arial" w:eastAsiaTheme="minorEastAsia" w:hAnsi="Arial" w:cs="Arial"/>
                          <w:sz w:val="18"/>
                          <w:szCs w:val="18"/>
                          <w:lang w:eastAsia="zh-CN"/>
                        </w:rPr>
                        <w:t xml:space="preserve"> Century Fox’s assets will significantly expand its content portfolio</w:t>
                      </w:r>
                      <w:r w:rsidRPr="000B3164">
                        <w:rPr>
                          <w:rFonts w:ascii="Arial" w:eastAsiaTheme="minorEastAsia" w:hAnsi="Arial" w:cs="Arial"/>
                          <w:sz w:val="18"/>
                          <w:szCs w:val="18"/>
                          <w:lang w:eastAsia="zh-CN"/>
                        </w:rPr>
                        <w:t>.</w:t>
                      </w:r>
                      <w:r>
                        <w:rPr>
                          <w:rFonts w:ascii="Arial" w:eastAsiaTheme="minorEastAsia" w:hAnsi="Arial" w:cs="Arial"/>
                          <w:sz w:val="18"/>
                          <w:szCs w:val="18"/>
                          <w:lang w:eastAsia="zh-CN"/>
                        </w:rPr>
                        <w:t xml:space="preserve">  They will have telecasting rights of MLB and the NBA in the United States; Premier League, Serie A, Bundesliga and UEFA Champions League in Europe and the Indian Premier League.  Fox’s television business is expected to strengthen the TV slate globally and Disney’s international footprint will increase substantially in Europe and India. </w:t>
                      </w:r>
                      <w:r w:rsidRPr="000B3164">
                        <w:rPr>
                          <w:rFonts w:ascii="Arial" w:eastAsiaTheme="minorEastAsia" w:hAnsi="Arial" w:cs="Arial"/>
                          <w:sz w:val="18"/>
                          <w:szCs w:val="18"/>
                          <w:lang w:eastAsia="zh-CN"/>
                        </w:rPr>
                        <w:t xml:space="preserve"> </w:t>
                      </w:r>
                    </w:p>
                    <w:p w14:paraId="6074A49E" w14:textId="0B4AFA38"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Impressive Slate of Big Budget Movies:</w:t>
                      </w:r>
                      <w:r>
                        <w:rPr>
                          <w:rFonts w:ascii="Arial" w:eastAsiaTheme="minorEastAsia" w:hAnsi="Arial" w:cs="Arial"/>
                          <w:sz w:val="18"/>
                          <w:szCs w:val="18"/>
                          <w:lang w:eastAsia="zh-CN"/>
                        </w:rPr>
                        <w:t xml:space="preserve"> Disney’s Studio Entertainment segment has many big movies slated to be released over the next 18 months, such as: </w:t>
                      </w:r>
                      <w:r w:rsidRPr="00E46587">
                        <w:rPr>
                          <w:rFonts w:ascii="Arial" w:eastAsiaTheme="minorEastAsia" w:hAnsi="Arial" w:cs="Arial"/>
                          <w:i/>
                          <w:sz w:val="18"/>
                          <w:szCs w:val="18"/>
                          <w:lang w:eastAsia="zh-CN"/>
                        </w:rPr>
                        <w:t xml:space="preserve">Captain Marvel, Dumbo, Avengers 4, Aladdin, Toy Story 4, The Lion King, Frozen 2 </w:t>
                      </w:r>
                      <w:r w:rsidRPr="00E46587">
                        <w:rPr>
                          <w:rFonts w:ascii="Arial" w:eastAsiaTheme="minorEastAsia" w:hAnsi="Arial" w:cs="Arial"/>
                          <w:sz w:val="18"/>
                          <w:szCs w:val="18"/>
                          <w:lang w:eastAsia="zh-CN"/>
                        </w:rPr>
                        <w:t>and</w:t>
                      </w:r>
                      <w:r w:rsidRPr="00E46587">
                        <w:rPr>
                          <w:rFonts w:ascii="Arial" w:eastAsiaTheme="minorEastAsia" w:hAnsi="Arial" w:cs="Arial"/>
                          <w:i/>
                          <w:sz w:val="18"/>
                          <w:szCs w:val="18"/>
                          <w:lang w:eastAsia="zh-CN"/>
                        </w:rPr>
                        <w:t xml:space="preserve"> Star Wars: Episode IX</w:t>
                      </w:r>
                      <w:r>
                        <w:rPr>
                          <w:rFonts w:ascii="Arial" w:eastAsiaTheme="minorEastAsia" w:hAnsi="Arial" w:cs="Arial"/>
                          <w:sz w:val="18"/>
                          <w:szCs w:val="18"/>
                          <w:lang w:eastAsia="zh-CN"/>
                        </w:rPr>
                        <w:t xml:space="preserve">.  The success of blockbuster hit movies also tend to bode well for the Consumer Products division as well as the theme parks which have new attractions tied to them such as Star Wars Land and Toy Story Land.  </w:t>
                      </w:r>
                    </w:p>
                    <w:p w14:paraId="766A2330" w14:textId="2B7FD6B1" w:rsidR="00D222D1" w:rsidRPr="000B3164"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Direct-to-Consumer Media Streaming Services:</w:t>
                      </w:r>
                      <w:r>
                        <w:rPr>
                          <w:rFonts w:ascii="Arial" w:eastAsiaTheme="minorEastAsia" w:hAnsi="Arial" w:cs="Arial"/>
                          <w:sz w:val="18"/>
                          <w:szCs w:val="18"/>
                          <w:lang w:eastAsia="zh-CN"/>
                        </w:rPr>
                        <w:t xml:space="preserve"> ESPN+ and Disney+ will have exclusive content that is highly desirable and should be able to attract a wide range of subscribers.  The recent termination of a distribution agreement with Netflix will enable it to offer rich content exclusively from Disney, Pixar, Marvel, Star Wars, and National Geographic; including all theatrical releases starting with the 2019 slate.</w:t>
                      </w:r>
                    </w:p>
                    <w:p w14:paraId="75DC3CBA" w14:textId="77777777" w:rsidR="00D222D1" w:rsidRDefault="00D222D1" w:rsidP="000B3164">
                      <w:pPr>
                        <w:autoSpaceDE w:val="0"/>
                        <w:autoSpaceDN w:val="0"/>
                        <w:adjustRightInd w:val="0"/>
                        <w:spacing w:line="180" w:lineRule="atLeast"/>
                        <w:jc w:val="both"/>
                        <w:rPr>
                          <w:rFonts w:ascii="Times" w:eastAsiaTheme="minorEastAsia" w:hAnsi="Times" w:cs="Times"/>
                          <w:szCs w:val="24"/>
                          <w:lang w:eastAsia="zh-CN"/>
                        </w:rPr>
                      </w:pPr>
                    </w:p>
                    <w:p w14:paraId="1D12AB07" w14:textId="77777777" w:rsidR="00D222D1" w:rsidRPr="000B3164" w:rsidRDefault="00D222D1" w:rsidP="000B3164">
                      <w:pPr>
                        <w:autoSpaceDE w:val="0"/>
                        <w:autoSpaceDN w:val="0"/>
                        <w:adjustRightInd w:val="0"/>
                        <w:spacing w:after="240" w:line="280" w:lineRule="atLeast"/>
                        <w:jc w:val="both"/>
                        <w:rPr>
                          <w:rFonts w:ascii="Arial" w:eastAsiaTheme="minorEastAsia" w:hAnsi="Arial" w:cs="Arial"/>
                          <w:sz w:val="18"/>
                          <w:szCs w:val="18"/>
                          <w:lang w:eastAsia="zh-CN"/>
                        </w:rPr>
                      </w:pPr>
                      <w:r w:rsidRPr="000B3164">
                        <w:rPr>
                          <w:rFonts w:ascii="Arial" w:eastAsiaTheme="minorEastAsia" w:hAnsi="Arial" w:cs="Arial"/>
                          <w:sz w:val="18"/>
                          <w:szCs w:val="18"/>
                          <w:lang w:eastAsia="zh-CN"/>
                        </w:rPr>
                        <w:t xml:space="preserve"> </w:t>
                      </w:r>
                    </w:p>
                    <w:p w14:paraId="7037DDF8" w14:textId="77777777" w:rsidR="00D222D1" w:rsidRPr="001B2D3D" w:rsidRDefault="00D222D1" w:rsidP="000B3164">
                      <w:pPr>
                        <w:jc w:val="both"/>
                        <w:rPr>
                          <w:rFonts w:ascii="Arial" w:eastAsiaTheme="minorEastAsia" w:hAnsi="Arial" w:cs="Arial"/>
                          <w:color w:val="000000" w:themeColor="text1"/>
                          <w:lang w:eastAsia="zh-CN"/>
                        </w:rPr>
                      </w:pPr>
                    </w:p>
                  </w:txbxContent>
                </v:textbox>
              </v:shape>
            </w:pict>
          </mc:Fallback>
        </mc:AlternateContent>
      </w:r>
      <w:r w:rsidR="007E44E4">
        <w:rPr>
          <w:noProof/>
        </w:rPr>
        <mc:AlternateContent>
          <mc:Choice Requires="wps">
            <w:drawing>
              <wp:anchor distT="0" distB="0" distL="114300" distR="114300" simplePos="0" relativeHeight="251695104" behindDoc="0" locked="0" layoutInCell="1" allowOverlap="1" wp14:anchorId="23A8E567" wp14:editId="15485B97">
                <wp:simplePos x="0" y="0"/>
                <wp:positionH relativeFrom="page">
                  <wp:posOffset>3454400</wp:posOffset>
                </wp:positionH>
                <wp:positionV relativeFrom="page">
                  <wp:posOffset>3435350</wp:posOffset>
                </wp:positionV>
                <wp:extent cx="4159885" cy="1054100"/>
                <wp:effectExtent l="0" t="0" r="12065" b="12700"/>
                <wp:wrapNone/>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88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38C2" w14:textId="116AE5D9" w:rsidR="00D222D1" w:rsidRPr="001B2D3D" w:rsidRDefault="00D222D1" w:rsidP="001965D3">
                            <w:pPr>
                              <w:pStyle w:val="BodyText"/>
                              <w:spacing w:after="0" w:line="260" w:lineRule="atLeast"/>
                              <w:jc w:val="both"/>
                              <w:rPr>
                                <w:rStyle w:val="BodyTextChar"/>
                                <w:rFonts w:ascii="Arial" w:hAnsi="Arial"/>
                                <w:color w:val="000000" w:themeColor="text1"/>
                                <w:sz w:val="18"/>
                                <w:szCs w:val="18"/>
                              </w:rPr>
                            </w:pPr>
                            <w:r>
                              <w:rPr>
                                <w:rFonts w:ascii="Arial" w:hAnsi="Arial"/>
                                <w:color w:val="000000" w:themeColor="text1"/>
                                <w:sz w:val="18"/>
                                <w:szCs w:val="18"/>
                              </w:rPr>
                              <w:t>A fully employed consumer with rising wages is a positive indicator for media consumption.  Consumers have acquired the high-end digital devices needed for optimal viewing and consuming of digital content.  Consumers overall, particularly millennials, are accessing digital content via Over-the-Top (OTT) platforms and content providers should benefit.  Disney is excellent in their ability to monetizing their media content and should be well positioned over the next three to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8E567" id="Text Box 147" o:spid="_x0000_s1041" type="#_x0000_t202" style="position:absolute;margin-left:272pt;margin-top:270.5pt;width:327.55pt;height:83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" filled="f" stroked="f">
                <v:textbox inset="0,0,0,0">
                  <w:txbxContent>
                    <w:p w14:paraId="212D38C2" w14:textId="116AE5D9" w:rsidR="00D222D1" w:rsidRPr="001B2D3D" w:rsidRDefault="00D222D1" w:rsidP="001965D3">
                      <w:pPr>
                        <w:pStyle w:val="BodyText"/>
                        <w:spacing w:after="0" w:line="260" w:lineRule="atLeast"/>
                        <w:jc w:val="both"/>
                        <w:rPr>
                          <w:rStyle w:val="BodyTextChar"/>
                          <w:rFonts w:ascii="Arial" w:hAnsi="Arial"/>
                          <w:color w:val="000000" w:themeColor="text1"/>
                          <w:sz w:val="18"/>
                          <w:szCs w:val="18"/>
                        </w:rPr>
                      </w:pPr>
                      <w:r>
                        <w:rPr>
                          <w:rFonts w:ascii="Arial" w:hAnsi="Arial"/>
                          <w:color w:val="000000" w:themeColor="text1"/>
                          <w:sz w:val="18"/>
                          <w:szCs w:val="18"/>
                        </w:rPr>
                        <w:t>A fully employed consumer with rising wages is a positive indicator for media consumption.  Consumers have acquired the high-end digital devices needed for optimal viewing and consuming of digital content.  Consumers overall, particularly millennials, are accessing digital content via Over-the-Top (OTT) platforms and content providers should benefit.  Disney is excellent in their ability to monetizing their media content and should be well positioned over the next three to five years.</w:t>
                      </w:r>
                    </w:p>
                  </w:txbxContent>
                </v:textbox>
                <w10:wrap anchorx="page" anchory="page"/>
              </v:shape>
            </w:pict>
          </mc:Fallback>
        </mc:AlternateContent>
      </w:r>
      <w:r w:rsidR="007E7A09">
        <w:rPr>
          <w:noProof/>
        </w:rPr>
        <mc:AlternateContent>
          <mc:Choice Requires="wps">
            <w:drawing>
              <wp:anchor distT="0" distB="0" distL="114300" distR="114300" simplePos="0" relativeHeight="251682816" behindDoc="0" locked="0" layoutInCell="1" allowOverlap="1" wp14:anchorId="7F69B638" wp14:editId="718BC346">
                <wp:simplePos x="0" y="0"/>
                <wp:positionH relativeFrom="page">
                  <wp:posOffset>3427095</wp:posOffset>
                </wp:positionH>
                <wp:positionV relativeFrom="page">
                  <wp:posOffset>7517765</wp:posOffset>
                </wp:positionV>
                <wp:extent cx="3422469" cy="269966"/>
                <wp:effectExtent l="0" t="0" r="6985" b="9525"/>
                <wp:wrapNone/>
                <wp:docPr id="3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469" cy="269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A8E55" w14:textId="77777777" w:rsidR="00D222D1" w:rsidRPr="00BF2A22" w:rsidRDefault="00D222D1" w:rsidP="008F2318">
                            <w:pPr>
                              <w:pStyle w:val="Heading1"/>
                              <w:rPr>
                                <w:color w:val="002060"/>
                                <w:sz w:val="32"/>
                                <w:szCs w:val="32"/>
                              </w:rPr>
                            </w:pPr>
                            <w:r w:rsidRPr="00BF2A22">
                              <w:rPr>
                                <w:color w:val="002060"/>
                                <w:sz w:val="32"/>
                                <w:szCs w:val="32"/>
                              </w:rPr>
                              <w:t>Investment Risks</w:t>
                            </w:r>
                          </w:p>
                          <w:p w14:paraId="77E88390" w14:textId="77777777" w:rsidR="00D222D1" w:rsidRDefault="00D22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B638" id="_x0000_s1042" type="#_x0000_t202" style="position:absolute;margin-left:269.85pt;margin-top:591.95pt;width:269.5pt;height:21.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jBsw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" filled="f" stroked="f">
                <v:textbox inset="0,0,0,0">
                  <w:txbxContent>
                    <w:p w14:paraId="273A8E55" w14:textId="77777777" w:rsidR="00D222D1" w:rsidRPr="00BF2A22" w:rsidRDefault="00D222D1" w:rsidP="008F2318">
                      <w:pPr>
                        <w:pStyle w:val="Heading1"/>
                        <w:rPr>
                          <w:color w:val="002060"/>
                          <w:sz w:val="32"/>
                          <w:szCs w:val="32"/>
                        </w:rPr>
                      </w:pPr>
                      <w:r w:rsidRPr="00BF2A22">
                        <w:rPr>
                          <w:color w:val="002060"/>
                          <w:sz w:val="32"/>
                          <w:szCs w:val="32"/>
                        </w:rPr>
                        <w:t>Investment Risks</w:t>
                      </w:r>
                    </w:p>
                    <w:p w14:paraId="77E88390" w14:textId="77777777" w:rsidR="00D222D1" w:rsidRDefault="00D222D1"/>
                  </w:txbxContent>
                </v:textbox>
                <w10:wrap anchorx="page" anchory="page"/>
              </v:shape>
            </w:pict>
          </mc:Fallback>
        </mc:AlternateContent>
      </w:r>
      <w:r w:rsidR="002A20EB">
        <w:rPr>
          <w:noProof/>
        </w:rPr>
        <mc:AlternateContent>
          <mc:Choice Requires="wps">
            <w:drawing>
              <wp:anchor distT="0" distB="0" distL="114300" distR="114300" simplePos="0" relativeHeight="251724800" behindDoc="0" locked="0" layoutInCell="1" allowOverlap="1" wp14:anchorId="7C5F7A93" wp14:editId="3D028C2E">
                <wp:simplePos x="0" y="0"/>
                <wp:positionH relativeFrom="column">
                  <wp:posOffset>2876550</wp:posOffset>
                </wp:positionH>
                <wp:positionV relativeFrom="paragraph">
                  <wp:posOffset>7428230</wp:posOffset>
                </wp:positionV>
                <wp:extent cx="4316627" cy="22415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316627" cy="2241550"/>
                        </a:xfrm>
                        <a:prstGeom prst="rect">
                          <a:avLst/>
                        </a:prstGeom>
                        <a:noFill/>
                        <a:ln w="6350">
                          <a:noFill/>
                        </a:ln>
                      </wps:spPr>
                      <wps:txbx>
                        <w:txbxContent>
                          <w:p w14:paraId="37009D9D" w14:textId="3A2D3C68"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hAnsi="Arial" w:cs="Arial"/>
                                <w:b/>
                                <w:color w:val="002060"/>
                                <w:sz w:val="18"/>
                                <w:szCs w:val="18"/>
                              </w:rPr>
                              <w:t xml:space="preserve">Direct-to-Consumer Streaming </w:t>
                            </w:r>
                            <w:r w:rsidRPr="000629A0">
                              <w:rPr>
                                <w:rFonts w:ascii="Arial" w:hAnsi="Arial" w:cs="Arial"/>
                                <w:b/>
                                <w:color w:val="002060"/>
                                <w:sz w:val="18"/>
                                <w:szCs w:val="18"/>
                              </w:rPr>
                              <w:t>Competition</w:t>
                            </w:r>
                            <w:r>
                              <w:rPr>
                                <w:rFonts w:ascii="Arial" w:hAnsi="Arial" w:cs="Arial"/>
                                <w:sz w:val="18"/>
                                <w:szCs w:val="18"/>
                              </w:rPr>
                              <w:t xml:space="preserve">: </w:t>
                            </w:r>
                            <w:r>
                              <w:rPr>
                                <w:rFonts w:ascii="Arial" w:eastAsiaTheme="minorEastAsia" w:hAnsi="Arial" w:cs="Arial"/>
                                <w:sz w:val="18"/>
                                <w:szCs w:val="18"/>
                                <w:lang w:eastAsia="zh-CN"/>
                              </w:rPr>
                              <w:t xml:space="preserve">While ESPN+ and Disney+ could be huge catalysts, the service will face significant competition in the streaming market from Netflix and Amazon Prime. Netflix enjoys a first-mover advantage and has a solid original programming portfolio. Amazon enjoys a huge subscriber base thanks to its Prime membership bundling.  With new entrants, Apple and Walmart, they may be late to the party and may have difficulty in signing up new subscribers.   </w:t>
                            </w:r>
                          </w:p>
                          <w:p w14:paraId="2DAB6FF2" w14:textId="036352A2" w:rsidR="00D222D1" w:rsidRPr="000629A0" w:rsidRDefault="00D222D1" w:rsidP="00B87A22">
                            <w:pPr>
                              <w:autoSpaceDE w:val="0"/>
                              <w:autoSpaceDN w:val="0"/>
                              <w:adjustRightInd w:val="0"/>
                              <w:spacing w:line="260" w:lineRule="atLeast"/>
                              <w:jc w:val="both"/>
                              <w:rPr>
                                <w:rFonts w:ascii="Arial" w:eastAsiaTheme="minorEastAsia" w:hAnsi="Arial" w:cs="Arial"/>
                                <w:color w:val="000000" w:themeColor="text1"/>
                                <w:sz w:val="18"/>
                                <w:szCs w:val="18"/>
                                <w:lang w:eastAsia="zh-CN"/>
                              </w:rPr>
                            </w:pPr>
                            <w:r>
                              <w:rPr>
                                <w:rFonts w:ascii="Arial" w:eastAsiaTheme="minorEastAsia" w:hAnsi="Arial" w:cs="Arial"/>
                                <w:b/>
                                <w:color w:val="002060"/>
                                <w:sz w:val="18"/>
                                <w:szCs w:val="18"/>
                                <w:lang w:eastAsia="zh-CN"/>
                              </w:rPr>
                              <w:t>Cord-Cutting &amp; Higher Programming Costs</w:t>
                            </w:r>
                            <w:r>
                              <w:rPr>
                                <w:rFonts w:ascii="Arial" w:eastAsiaTheme="minorEastAsia" w:hAnsi="Arial" w:cs="Arial"/>
                                <w:sz w:val="18"/>
                                <w:szCs w:val="18"/>
                                <w:lang w:eastAsia="zh-CN"/>
                              </w:rPr>
                              <w:t>:</w:t>
                            </w:r>
                            <w:r>
                              <w:rPr>
                                <w:rFonts w:ascii="Times" w:eastAsiaTheme="minorEastAsia" w:hAnsi="Times" w:cs="Times"/>
                                <w:szCs w:val="24"/>
                                <w:lang w:eastAsia="zh-CN"/>
                              </w:rPr>
                              <w:t xml:space="preserve"> </w:t>
                            </w:r>
                            <w:r>
                              <w:rPr>
                                <w:rFonts w:ascii="Arial" w:eastAsiaTheme="minorEastAsia" w:hAnsi="Arial" w:cs="Arial"/>
                                <w:color w:val="000000" w:themeColor="text1"/>
                                <w:sz w:val="18"/>
                                <w:szCs w:val="18"/>
                                <w:lang w:eastAsia="zh-CN"/>
                              </w:rPr>
                              <w:t>A fresh NBA agreement and increase in contractual rate for NFL programming are driving programming costs higher, which could hurt profitability.  Cord-cutting remains a significant concern for Disney’s cable network business, which also hurts advertising revenue growth.</w:t>
                            </w:r>
                            <w:r w:rsidRPr="000629A0">
                              <w:rPr>
                                <w:rFonts w:ascii="Arial" w:eastAsiaTheme="minorEastAsia" w:hAnsi="Arial" w:cs="Arial"/>
                                <w:color w:val="000000" w:themeColor="text1"/>
                                <w:sz w:val="18"/>
                                <w:szCs w:val="18"/>
                                <w:lang w:eastAsia="zh-CN"/>
                              </w:rPr>
                              <w:t xml:space="preserve"> </w:t>
                            </w:r>
                          </w:p>
                          <w:p w14:paraId="00FC8EE6" w14:textId="5F816219" w:rsidR="00D222D1" w:rsidRPr="000629A0" w:rsidRDefault="00D222D1" w:rsidP="002A20EB">
                            <w:pPr>
                              <w:autoSpaceDE w:val="0"/>
                              <w:autoSpaceDN w:val="0"/>
                              <w:adjustRightInd w:val="0"/>
                              <w:spacing w:after="240"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Tourism &amp; Consumer Confidence</w:t>
                            </w:r>
                            <w:r w:rsidRPr="000629A0">
                              <w:rPr>
                                <w:rFonts w:ascii="Arial" w:eastAsiaTheme="minorEastAsia" w:hAnsi="Arial" w:cs="Arial"/>
                                <w:b/>
                                <w:color w:val="002060"/>
                                <w:sz w:val="18"/>
                                <w:szCs w:val="18"/>
                                <w:lang w:eastAsia="zh-CN"/>
                              </w:rPr>
                              <w:t>:</w:t>
                            </w:r>
                            <w:r w:rsidRPr="000629A0">
                              <w:rPr>
                                <w:rFonts w:ascii="Arial" w:eastAsiaTheme="minorEastAsia" w:hAnsi="Arial" w:cs="Arial"/>
                                <w:color w:val="002060"/>
                                <w:sz w:val="18"/>
                                <w:szCs w:val="18"/>
                                <w:lang w:eastAsia="zh-CN"/>
                              </w:rPr>
                              <w:t xml:space="preserve"> </w:t>
                            </w:r>
                            <w:r>
                              <w:rPr>
                                <w:rFonts w:ascii="Arial" w:eastAsiaTheme="minorEastAsia" w:hAnsi="Arial" w:cs="Arial"/>
                                <w:sz w:val="18"/>
                                <w:szCs w:val="18"/>
                                <w:lang w:eastAsia="zh-CN"/>
                              </w:rPr>
                              <w:t>An economic slowdown in global consumer spending, particularly in China, could provide a headwind for Disney’s Consumer Products &amp; Interactive Media division as well as their Parks &amp; Resorts division.</w:t>
                            </w:r>
                          </w:p>
                          <w:p w14:paraId="7402AD65" w14:textId="77777777" w:rsidR="00D222D1" w:rsidRPr="002B39AD" w:rsidRDefault="00D222D1" w:rsidP="000629A0">
                            <w:p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7A93" id="Text Box 18" o:spid="_x0000_s1043" type="#_x0000_t202" style="position:absolute;margin-left:226.5pt;margin-top:584.9pt;width:339.9pt;height:1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" filled="f" stroked="f" strokeweight=".5pt">
                <v:textbox>
                  <w:txbxContent>
                    <w:p w14:paraId="37009D9D" w14:textId="3A2D3C68" w:rsidR="00D222D1" w:rsidRDefault="00D222D1" w:rsidP="00B87A22">
                      <w:pPr>
                        <w:autoSpaceDE w:val="0"/>
                        <w:autoSpaceDN w:val="0"/>
                        <w:adjustRightInd w:val="0"/>
                        <w:spacing w:line="260" w:lineRule="atLeast"/>
                        <w:jc w:val="both"/>
                        <w:rPr>
                          <w:rFonts w:ascii="Arial" w:eastAsiaTheme="minorEastAsia" w:hAnsi="Arial" w:cs="Arial"/>
                          <w:sz w:val="18"/>
                          <w:szCs w:val="18"/>
                          <w:lang w:eastAsia="zh-CN"/>
                        </w:rPr>
                      </w:pPr>
                      <w:r>
                        <w:rPr>
                          <w:rFonts w:ascii="Arial" w:hAnsi="Arial" w:cs="Arial"/>
                          <w:b/>
                          <w:color w:val="002060"/>
                          <w:sz w:val="18"/>
                          <w:szCs w:val="18"/>
                        </w:rPr>
                        <w:t xml:space="preserve">Direct-to-Consumer Streaming </w:t>
                      </w:r>
                      <w:r w:rsidRPr="000629A0">
                        <w:rPr>
                          <w:rFonts w:ascii="Arial" w:hAnsi="Arial" w:cs="Arial"/>
                          <w:b/>
                          <w:color w:val="002060"/>
                          <w:sz w:val="18"/>
                          <w:szCs w:val="18"/>
                        </w:rPr>
                        <w:t>Competition</w:t>
                      </w:r>
                      <w:r>
                        <w:rPr>
                          <w:rFonts w:ascii="Arial" w:hAnsi="Arial" w:cs="Arial"/>
                          <w:sz w:val="18"/>
                          <w:szCs w:val="18"/>
                        </w:rPr>
                        <w:t xml:space="preserve">: </w:t>
                      </w:r>
                      <w:r>
                        <w:rPr>
                          <w:rFonts w:ascii="Arial" w:eastAsiaTheme="minorEastAsia" w:hAnsi="Arial" w:cs="Arial"/>
                          <w:sz w:val="18"/>
                          <w:szCs w:val="18"/>
                          <w:lang w:eastAsia="zh-CN"/>
                        </w:rPr>
                        <w:t xml:space="preserve">While ESPN+ and Disney+ could be huge catalysts, the service will face significant competition in the streaming market from Netflix and Amazon Prime. Netflix enjoys a first-mover advantage and has a solid original programming portfolio. Amazon enjoys a huge subscriber base thanks to its Prime membership bundling.  With new entrants, Apple and Walmart, they may be late to the party and may have difficulty in signing up new subscribers.   </w:t>
                      </w:r>
                    </w:p>
                    <w:p w14:paraId="2DAB6FF2" w14:textId="036352A2" w:rsidR="00D222D1" w:rsidRPr="000629A0" w:rsidRDefault="00D222D1" w:rsidP="00B87A22">
                      <w:pPr>
                        <w:autoSpaceDE w:val="0"/>
                        <w:autoSpaceDN w:val="0"/>
                        <w:adjustRightInd w:val="0"/>
                        <w:spacing w:line="260" w:lineRule="atLeast"/>
                        <w:jc w:val="both"/>
                        <w:rPr>
                          <w:rFonts w:ascii="Arial" w:eastAsiaTheme="minorEastAsia" w:hAnsi="Arial" w:cs="Arial"/>
                          <w:color w:val="000000" w:themeColor="text1"/>
                          <w:sz w:val="18"/>
                          <w:szCs w:val="18"/>
                          <w:lang w:eastAsia="zh-CN"/>
                        </w:rPr>
                      </w:pPr>
                      <w:r>
                        <w:rPr>
                          <w:rFonts w:ascii="Arial" w:eastAsiaTheme="minorEastAsia" w:hAnsi="Arial" w:cs="Arial"/>
                          <w:b/>
                          <w:color w:val="002060"/>
                          <w:sz w:val="18"/>
                          <w:szCs w:val="18"/>
                          <w:lang w:eastAsia="zh-CN"/>
                        </w:rPr>
                        <w:t>Cord-Cutting &amp; Higher Programming Costs</w:t>
                      </w:r>
                      <w:r>
                        <w:rPr>
                          <w:rFonts w:ascii="Arial" w:eastAsiaTheme="minorEastAsia" w:hAnsi="Arial" w:cs="Arial"/>
                          <w:sz w:val="18"/>
                          <w:szCs w:val="18"/>
                          <w:lang w:eastAsia="zh-CN"/>
                        </w:rPr>
                        <w:t>:</w:t>
                      </w:r>
                      <w:r>
                        <w:rPr>
                          <w:rFonts w:ascii="Times" w:eastAsiaTheme="minorEastAsia" w:hAnsi="Times" w:cs="Times"/>
                          <w:szCs w:val="24"/>
                          <w:lang w:eastAsia="zh-CN"/>
                        </w:rPr>
                        <w:t xml:space="preserve"> </w:t>
                      </w:r>
                      <w:r>
                        <w:rPr>
                          <w:rFonts w:ascii="Arial" w:eastAsiaTheme="minorEastAsia" w:hAnsi="Arial" w:cs="Arial"/>
                          <w:color w:val="000000" w:themeColor="text1"/>
                          <w:sz w:val="18"/>
                          <w:szCs w:val="18"/>
                          <w:lang w:eastAsia="zh-CN"/>
                        </w:rPr>
                        <w:t>A fresh NBA agreement and increase in contractual rate for NFL programming are driving programming costs higher, which could hurt profitability.  Cord-cutting remains a significant concern for Disney’s cable network business, which also hurts advertising revenue growth.</w:t>
                      </w:r>
                      <w:r w:rsidRPr="000629A0">
                        <w:rPr>
                          <w:rFonts w:ascii="Arial" w:eastAsiaTheme="minorEastAsia" w:hAnsi="Arial" w:cs="Arial"/>
                          <w:color w:val="000000" w:themeColor="text1"/>
                          <w:sz w:val="18"/>
                          <w:szCs w:val="18"/>
                          <w:lang w:eastAsia="zh-CN"/>
                        </w:rPr>
                        <w:t xml:space="preserve"> </w:t>
                      </w:r>
                    </w:p>
                    <w:p w14:paraId="00FC8EE6" w14:textId="5F816219" w:rsidR="00D222D1" w:rsidRPr="000629A0" w:rsidRDefault="00D222D1" w:rsidP="002A20EB">
                      <w:pPr>
                        <w:autoSpaceDE w:val="0"/>
                        <w:autoSpaceDN w:val="0"/>
                        <w:adjustRightInd w:val="0"/>
                        <w:spacing w:after="240" w:line="260" w:lineRule="atLeast"/>
                        <w:jc w:val="both"/>
                        <w:rPr>
                          <w:rFonts w:ascii="Arial" w:eastAsiaTheme="minorEastAsia" w:hAnsi="Arial" w:cs="Arial"/>
                          <w:sz w:val="18"/>
                          <w:szCs w:val="18"/>
                          <w:lang w:eastAsia="zh-CN"/>
                        </w:rPr>
                      </w:pPr>
                      <w:r>
                        <w:rPr>
                          <w:rFonts w:ascii="Arial" w:eastAsiaTheme="minorEastAsia" w:hAnsi="Arial" w:cs="Arial"/>
                          <w:b/>
                          <w:color w:val="002060"/>
                          <w:sz w:val="18"/>
                          <w:szCs w:val="18"/>
                          <w:lang w:eastAsia="zh-CN"/>
                        </w:rPr>
                        <w:t>Tourism &amp; Consumer Confidence</w:t>
                      </w:r>
                      <w:r w:rsidRPr="000629A0">
                        <w:rPr>
                          <w:rFonts w:ascii="Arial" w:eastAsiaTheme="minorEastAsia" w:hAnsi="Arial" w:cs="Arial"/>
                          <w:b/>
                          <w:color w:val="002060"/>
                          <w:sz w:val="18"/>
                          <w:szCs w:val="18"/>
                          <w:lang w:eastAsia="zh-CN"/>
                        </w:rPr>
                        <w:t>:</w:t>
                      </w:r>
                      <w:r w:rsidRPr="000629A0">
                        <w:rPr>
                          <w:rFonts w:ascii="Arial" w:eastAsiaTheme="minorEastAsia" w:hAnsi="Arial" w:cs="Arial"/>
                          <w:color w:val="002060"/>
                          <w:sz w:val="18"/>
                          <w:szCs w:val="18"/>
                          <w:lang w:eastAsia="zh-CN"/>
                        </w:rPr>
                        <w:t xml:space="preserve"> </w:t>
                      </w:r>
                      <w:r>
                        <w:rPr>
                          <w:rFonts w:ascii="Arial" w:eastAsiaTheme="minorEastAsia" w:hAnsi="Arial" w:cs="Arial"/>
                          <w:sz w:val="18"/>
                          <w:szCs w:val="18"/>
                          <w:lang w:eastAsia="zh-CN"/>
                        </w:rPr>
                        <w:t>An economic slowdown in global consumer spending, particularly in China, could provide a headwind for Disney’s Consumer Products &amp; Interactive Media division as well as their Parks &amp; Resorts division.</w:t>
                      </w:r>
                    </w:p>
                    <w:p w14:paraId="7402AD65" w14:textId="77777777" w:rsidR="00D222D1" w:rsidRPr="002B39AD" w:rsidRDefault="00D222D1" w:rsidP="000629A0">
                      <w:pPr>
                        <w:jc w:val="both"/>
                        <w:rPr>
                          <w:rFonts w:ascii="Arial" w:hAnsi="Arial" w:cs="Arial"/>
                          <w:sz w:val="18"/>
                          <w:szCs w:val="18"/>
                        </w:rPr>
                      </w:pPr>
                    </w:p>
                  </w:txbxContent>
                </v:textbox>
              </v:shape>
            </w:pict>
          </mc:Fallback>
        </mc:AlternateContent>
      </w:r>
      <w:r w:rsidR="00D2430A">
        <w:rPr>
          <w:noProof/>
        </w:rPr>
        <w:drawing>
          <wp:inline distT="0" distB="0" distL="0" distR="0" wp14:anchorId="31677897" wp14:editId="2042B180">
            <wp:extent cx="470535" cy="4578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200px-University_of_Connecticut_seal.svg.png"/>
                    <pic:cNvPicPr/>
                  </pic:nvPicPr>
                  <pic:blipFill>
                    <a:blip r:embed="rId8">
                      <a:extLst>
                        <a:ext uri="{28A0092B-C50C-407E-A947-70E740481C1C}">
                          <a14:useLocalDpi xmlns:a14="http://schemas.microsoft.com/office/drawing/2010/main" val="0"/>
                        </a:ext>
                      </a:extLst>
                    </a:blip>
                    <a:stretch>
                      <a:fillRect/>
                    </a:stretch>
                  </pic:blipFill>
                  <pic:spPr>
                    <a:xfrm>
                      <a:off x="0" y="0"/>
                      <a:ext cx="470535" cy="457835"/>
                    </a:xfrm>
                    <a:prstGeom prst="rect">
                      <a:avLst/>
                    </a:prstGeom>
                  </pic:spPr>
                </pic:pic>
              </a:graphicData>
            </a:graphic>
          </wp:inline>
        </w:drawing>
      </w:r>
      <w:r w:rsidR="00B87A22">
        <w:rPr>
          <w:noProof/>
        </w:rPr>
        <mc:AlternateContent>
          <mc:Choice Requires="wps">
            <w:drawing>
              <wp:anchor distT="0" distB="0" distL="114300" distR="114300" simplePos="0" relativeHeight="251660288" behindDoc="0" locked="0" layoutInCell="1" allowOverlap="1" wp14:anchorId="71552453" wp14:editId="07F8D449">
                <wp:simplePos x="0" y="0"/>
                <wp:positionH relativeFrom="page">
                  <wp:posOffset>3436620</wp:posOffset>
                </wp:positionH>
                <wp:positionV relativeFrom="page">
                  <wp:posOffset>2042778</wp:posOffset>
                </wp:positionV>
                <wp:extent cx="4315171" cy="280035"/>
                <wp:effectExtent l="0" t="0" r="3175" b="508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171"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6EEF" w14:textId="77777777" w:rsidR="00D222D1" w:rsidRPr="00820658" w:rsidRDefault="00D222D1" w:rsidP="008F2318">
                            <w:pPr>
                              <w:pStyle w:val="Heading1"/>
                              <w:rPr>
                                <w:color w:val="002060"/>
                                <w:sz w:val="32"/>
                                <w:szCs w:val="32"/>
                              </w:rPr>
                            </w:pPr>
                            <w:r w:rsidRPr="00820658">
                              <w:rPr>
                                <w:color w:val="002060"/>
                                <w:sz w:val="32"/>
                                <w:szCs w:val="32"/>
                              </w:rPr>
                              <w:t>Company Overview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52453" id="_x0000_s1044" type="#_x0000_t202" style="position:absolute;margin-left:270.6pt;margin-top:160.85pt;width:339.8pt;height:22.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Hd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" filled="f" stroked="f">
                <v:textbox style="mso-fit-shape-to-text:t" inset="0,0,0,0">
                  <w:txbxContent>
                    <w:p w14:paraId="63246EEF" w14:textId="77777777" w:rsidR="00D222D1" w:rsidRPr="00820658" w:rsidRDefault="00D222D1" w:rsidP="008F2318">
                      <w:pPr>
                        <w:pStyle w:val="Heading1"/>
                        <w:rPr>
                          <w:color w:val="002060"/>
                          <w:sz w:val="32"/>
                          <w:szCs w:val="32"/>
                        </w:rPr>
                      </w:pPr>
                      <w:r w:rsidRPr="00820658">
                        <w:rPr>
                          <w:color w:val="002060"/>
                          <w:sz w:val="32"/>
                          <w:szCs w:val="32"/>
                        </w:rPr>
                        <w:t>Company Overview</w:t>
                      </w:r>
                    </w:p>
                  </w:txbxContent>
                </v:textbox>
                <w10:wrap anchorx="page" anchory="page"/>
              </v:shape>
            </w:pict>
          </mc:Fallback>
        </mc:AlternateContent>
      </w:r>
      <w:r w:rsidR="008953CC">
        <w:rPr>
          <w:noProof/>
        </w:rPr>
        <mc:AlternateContent>
          <mc:Choice Requires="wps">
            <w:drawing>
              <wp:anchor distT="0" distB="0" distL="114300" distR="114300" simplePos="0" relativeHeight="251703296" behindDoc="0" locked="0" layoutInCell="1" allowOverlap="1" wp14:anchorId="15D462D4" wp14:editId="435956EB">
                <wp:simplePos x="0" y="0"/>
                <wp:positionH relativeFrom="column">
                  <wp:posOffset>-176512</wp:posOffset>
                </wp:positionH>
                <wp:positionV relativeFrom="paragraph">
                  <wp:posOffset>5408037</wp:posOffset>
                </wp:positionV>
                <wp:extent cx="3188043" cy="1944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88043" cy="1944130"/>
                        </a:xfrm>
                        <a:prstGeom prst="rect">
                          <a:avLst/>
                        </a:prstGeom>
                        <a:noFill/>
                        <a:ln w="6350">
                          <a:noFill/>
                        </a:ln>
                      </wps:spPr>
                      <wps:txbx>
                        <w:txbxContent>
                          <w:p w14:paraId="3F34C0CD" w14:textId="11C38B55" w:rsidR="00D222D1" w:rsidRDefault="00D222D1">
                            <w:r w:rsidRPr="007840D9">
                              <w:rPr>
                                <w:noProof/>
                              </w:rPr>
                              <w:drawing>
                                <wp:inline distT="0" distB="0" distL="0" distR="0" wp14:anchorId="73674D58" wp14:editId="6313B042">
                                  <wp:extent cx="2884449" cy="1911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051" cy="1917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62D4" id="Text Box 1" o:spid="_x0000_s1045" type="#_x0000_t202" style="position:absolute;margin-left:-13.9pt;margin-top:425.85pt;width:251.05pt;height:15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" filled="f" stroked="f" strokeweight=".5pt">
                <v:textbox>
                  <w:txbxContent>
                    <w:p w14:paraId="3F34C0CD" w14:textId="11C38B55" w:rsidR="00D222D1" w:rsidRDefault="00D222D1">
                      <w:r w:rsidRPr="007840D9">
                        <w:rPr>
                          <w:noProof/>
                        </w:rPr>
                        <w:drawing>
                          <wp:inline distT="0" distB="0" distL="0" distR="0" wp14:anchorId="73674D58" wp14:editId="6313B042">
                            <wp:extent cx="2884449" cy="1911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051" cy="1917050"/>
                                    </a:xfrm>
                                    <a:prstGeom prst="rect">
                                      <a:avLst/>
                                    </a:prstGeom>
                                    <a:noFill/>
                                    <a:ln>
                                      <a:noFill/>
                                    </a:ln>
                                  </pic:spPr>
                                </pic:pic>
                              </a:graphicData>
                            </a:graphic>
                          </wp:inline>
                        </w:drawing>
                      </w:r>
                    </w:p>
                  </w:txbxContent>
                </v:textbox>
              </v:shape>
            </w:pict>
          </mc:Fallback>
        </mc:AlternateContent>
      </w:r>
      <w:r w:rsidR="00AC210A">
        <w:rPr>
          <w:noProof/>
        </w:rPr>
        <mc:AlternateContent>
          <mc:Choice Requires="wps">
            <w:drawing>
              <wp:anchor distT="0" distB="0" distL="114300" distR="114300" simplePos="0" relativeHeight="251674624" behindDoc="0" locked="0" layoutInCell="1" allowOverlap="1" wp14:anchorId="306AF5D8" wp14:editId="60E9DD83">
                <wp:simplePos x="0" y="0"/>
                <wp:positionH relativeFrom="page">
                  <wp:posOffset>240598</wp:posOffset>
                </wp:positionH>
                <wp:positionV relativeFrom="page">
                  <wp:posOffset>2021238</wp:posOffset>
                </wp:positionV>
                <wp:extent cx="7307179" cy="8021"/>
                <wp:effectExtent l="12700" t="12700" r="20955" b="17780"/>
                <wp:wrapNone/>
                <wp:docPr id="265" name="Straight Connector 265"/>
                <wp:cNvGraphicFramePr/>
                <a:graphic xmlns:a="http://schemas.openxmlformats.org/drawingml/2006/main">
                  <a:graphicData uri="http://schemas.microsoft.com/office/word/2010/wordprocessingShape">
                    <wps:wsp>
                      <wps:cNvCnPr/>
                      <wps:spPr>
                        <a:xfrm>
                          <a:off x="0" y="0"/>
                          <a:ext cx="7307179" cy="802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82100" id="Straight Connector 26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95pt,159.15pt" to="594.3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" strokecolor="#4472c4 [3204]" strokeweight="1.5pt">
                <v:stroke joinstyle="miter"/>
                <w10:wrap anchorx="page" anchory="page"/>
              </v:line>
            </w:pict>
          </mc:Fallback>
        </mc:AlternateContent>
      </w:r>
      <w:r w:rsidR="008F2318">
        <w:rPr>
          <w:noProof/>
        </w:rPr>
        <mc:AlternateContent>
          <mc:Choice Requires="wps">
            <w:drawing>
              <wp:anchor distT="0" distB="0" distL="114300" distR="114300" simplePos="0" relativeHeight="251678720" behindDoc="0" locked="0" layoutInCell="1" allowOverlap="1" wp14:anchorId="4C91669C" wp14:editId="011A5D32">
                <wp:simplePos x="0" y="0"/>
                <wp:positionH relativeFrom="column">
                  <wp:posOffset>5595688</wp:posOffset>
                </wp:positionH>
                <wp:positionV relativeFrom="paragraph">
                  <wp:posOffset>-747220</wp:posOffset>
                </wp:positionV>
                <wp:extent cx="834887" cy="556177"/>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834887" cy="556177"/>
                        </a:xfrm>
                        <a:prstGeom prst="rect">
                          <a:avLst/>
                        </a:prstGeom>
                        <a:noFill/>
                        <a:ln w="6350">
                          <a:noFill/>
                        </a:ln>
                      </wps:spPr>
                      <wps:txbx>
                        <w:txbxContent>
                          <w:p w14:paraId="4AA72377" w14:textId="77777777" w:rsidR="00D222D1" w:rsidRDefault="00D222D1" w:rsidP="008F2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669C" id="Text Box 286" o:spid="_x0000_s1046" type="#_x0000_t202" style="position:absolute;margin-left:440.6pt;margin-top:-58.85pt;width:65.75pt;height:4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" filled="f" stroked="f" strokeweight=".5pt">
                <v:textbox>
                  <w:txbxContent>
                    <w:p w14:paraId="4AA72377" w14:textId="77777777" w:rsidR="00D222D1" w:rsidRDefault="00D222D1" w:rsidP="008F2318"/>
                  </w:txbxContent>
                </v:textbox>
              </v:shape>
            </w:pict>
          </mc:Fallback>
        </mc:AlternateContent>
      </w:r>
      <w:r w:rsidR="008F2318">
        <w:rPr>
          <w:noProof/>
        </w:rPr>
        <mc:AlternateContent>
          <mc:Choice Requires="wps">
            <w:drawing>
              <wp:anchor distT="0" distB="0" distL="114300" distR="114300" simplePos="0" relativeHeight="251661312" behindDoc="0" locked="0" layoutInCell="1" allowOverlap="1" wp14:anchorId="6B75F791" wp14:editId="27A75C8E">
                <wp:simplePos x="0" y="0"/>
                <wp:positionH relativeFrom="page">
                  <wp:posOffset>2540000</wp:posOffset>
                </wp:positionH>
                <wp:positionV relativeFrom="page">
                  <wp:posOffset>3149600</wp:posOffset>
                </wp:positionV>
                <wp:extent cx="91440" cy="91440"/>
                <wp:effectExtent l="0" t="0" r="0" b="0"/>
                <wp:wrapNone/>
                <wp:docPr id="5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9C9E" w14:textId="77777777" w:rsidR="00D222D1" w:rsidRDefault="00D222D1" w:rsidP="008F231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F791" id="Text Box 144" o:spid="_x0000_s1047"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RsQIAALw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POqodGxAgAAvAUAAA4A&#10;AAAAAAAAAAAAAAAALgIAAGRycy9lMm9Eb2MueG1sUEsBAi0AFAAGAAgAAAAhANp5VT/eAAAACwEA&#10;AA8AAAAAAAAAAAAAAAAACwUAAGRycy9kb3ducmV2LnhtbFBLBQYAAAAABAAEAPMAAAAWBgAAAAA=&#10;" filled="f" stroked="f">
                <v:textbox inset="0,0,0,0">
                  <w:txbxContent>
                    <w:p w14:paraId="24209C9E" w14:textId="77777777" w:rsidR="00D222D1" w:rsidRDefault="00D222D1" w:rsidP="008F2318">
                      <w:pPr>
                        <w:pStyle w:val="BodyText"/>
                      </w:pPr>
                    </w:p>
                  </w:txbxContent>
                </v:textbox>
                <w10:wrap anchorx="page" anchory="page"/>
              </v:shape>
            </w:pict>
          </mc:Fallback>
        </mc:AlternateContent>
      </w:r>
      <w:r w:rsidR="008F2318">
        <w:rPr>
          <w:noProof/>
        </w:rPr>
        <mc:AlternateContent>
          <mc:Choice Requires="wps">
            <w:drawing>
              <wp:anchor distT="0" distB="0" distL="114300" distR="114300" simplePos="0" relativeHeight="251667456" behindDoc="0" locked="0" layoutInCell="1" allowOverlap="1" wp14:anchorId="5A9681BC" wp14:editId="5AFBF471">
                <wp:simplePos x="0" y="0"/>
                <wp:positionH relativeFrom="page">
                  <wp:posOffset>476250</wp:posOffset>
                </wp:positionH>
                <wp:positionV relativeFrom="page">
                  <wp:posOffset>1638300</wp:posOffset>
                </wp:positionV>
                <wp:extent cx="6810375" cy="0"/>
                <wp:effectExtent l="0" t="0" r="0" b="0"/>
                <wp:wrapNone/>
                <wp:docPr id="5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8A5F5" id="Line 26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XgAIAAJY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" stroked="f">
                <w10:wrap anchorx="page" anchory="page"/>
              </v:line>
            </w:pict>
          </mc:Fallback>
        </mc:AlternateContent>
      </w:r>
      <w:r w:rsidR="008F2318">
        <w:rPr>
          <w:noProof/>
        </w:rPr>
        <mc:AlternateContent>
          <mc:Choice Requires="wps">
            <w:drawing>
              <wp:anchor distT="0" distB="0" distL="114300" distR="114300" simplePos="0" relativeHeight="251663360" behindDoc="0" locked="0" layoutInCell="1" allowOverlap="1" wp14:anchorId="0EDD8984" wp14:editId="63F14718">
                <wp:simplePos x="0" y="0"/>
                <wp:positionH relativeFrom="page">
                  <wp:posOffset>2529840</wp:posOffset>
                </wp:positionH>
                <wp:positionV relativeFrom="page">
                  <wp:posOffset>6601460</wp:posOffset>
                </wp:positionV>
                <wp:extent cx="91440" cy="91440"/>
                <wp:effectExtent l="0" t="635" r="0" b="3175"/>
                <wp:wrapNone/>
                <wp:docPr id="49"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9BD1" w14:textId="77777777" w:rsidR="00D222D1" w:rsidRDefault="00D222D1" w:rsidP="008F231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D8984" id="Text Box 148" o:spid="_x0000_s1048" type="#_x0000_t202" style="position:absolute;margin-left:199.2pt;margin-top:519.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G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kmKUaC9lCjO3Yw6FoeUEyge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EkydcFG1veg&#10;XyVBYaBFGIFgtFL9wGiEcZJj/X1HFcOo+yCgB+zsmQw1GZvJoKIC1xwbjLy5Mn5G7QbFty0g+y4T&#10;8gr6pOFOxbahfBRAwS5gRDgyj+PMzqDTtbv1NHSXv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B74DcayAgAAvAUA&#10;AA4AAAAAAAAAAAAAAAAALgIAAGRycy9lMm9Eb2MueG1sUEsBAi0AFAAGAAgAAAAhAFAxm8bgAAAA&#10;DQEAAA8AAAAAAAAAAAAAAAAADAUAAGRycy9kb3ducmV2LnhtbFBLBQYAAAAABAAEAPMAAAAZBgAA&#10;AAA=&#10;" filled="f" stroked="f">
                <v:textbox inset="0,0,0,0">
                  <w:txbxContent>
                    <w:p w14:paraId="32B39BD1" w14:textId="77777777" w:rsidR="00D222D1" w:rsidRDefault="00D222D1" w:rsidP="008F2318">
                      <w:pPr>
                        <w:pStyle w:val="BodyText"/>
                      </w:pPr>
                    </w:p>
                  </w:txbxContent>
                </v:textbox>
                <w10:wrap anchorx="page" anchory="page"/>
              </v:shape>
            </w:pict>
          </mc:Fallback>
        </mc:AlternateContent>
      </w:r>
      <w:r w:rsidR="008F2318">
        <w:rPr>
          <w:noProof/>
        </w:rPr>
        <w:br w:type="page"/>
      </w:r>
    </w:p>
    <w:p w14:paraId="65DFC459" w14:textId="77777777" w:rsidR="00426AE4" w:rsidRPr="00B96ECA" w:rsidRDefault="00426AE4">
      <w:pPr>
        <w:rPr>
          <w:rFonts w:ascii="Arial" w:hAnsi="Arial" w:cs="Arial"/>
          <w:noProof/>
          <w:sz w:val="22"/>
          <w:szCs w:val="22"/>
        </w:rPr>
      </w:pPr>
    </w:p>
    <w:p w14:paraId="35F1D5DB" w14:textId="0A7D7017" w:rsidR="00426AE4" w:rsidRPr="00B96ECA" w:rsidRDefault="00426AE4">
      <w:pPr>
        <w:rPr>
          <w:rFonts w:ascii="Arial" w:hAnsi="Arial" w:cs="Arial"/>
          <w:b/>
          <w:noProof/>
          <w:color w:val="002060"/>
          <w:sz w:val="32"/>
          <w:szCs w:val="32"/>
        </w:rPr>
      </w:pPr>
      <w:r w:rsidRPr="00B96ECA">
        <w:rPr>
          <w:rFonts w:ascii="Arial" w:hAnsi="Arial" w:cs="Arial"/>
          <w:b/>
          <w:noProof/>
          <w:color w:val="002060"/>
          <w:sz w:val="32"/>
          <w:szCs w:val="32"/>
        </w:rPr>
        <w:t>Business Description</w:t>
      </w:r>
    </w:p>
    <w:p w14:paraId="20E9DD61" w14:textId="1169095A" w:rsidR="00C34C0B" w:rsidRPr="00B96ECA" w:rsidRDefault="00C34C0B">
      <w:pPr>
        <w:rPr>
          <w:rFonts w:ascii="Arial" w:hAnsi="Arial" w:cs="Arial"/>
          <w:noProof/>
          <w:sz w:val="22"/>
          <w:szCs w:val="22"/>
        </w:rPr>
      </w:pPr>
    </w:p>
    <w:p w14:paraId="5AE45978" w14:textId="08156639" w:rsidR="00FD1ED7" w:rsidRPr="00B96ECA" w:rsidRDefault="007C7757"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color w:val="3E3E3E"/>
          <w:sz w:val="22"/>
          <w:szCs w:val="22"/>
          <w:lang w:eastAsia="zh-CN"/>
        </w:rPr>
        <w:t xml:space="preserve">The Walt Disney Company is a global entertainment company based in </w:t>
      </w:r>
      <w:r w:rsidR="00C34C0B" w:rsidRPr="00B96ECA">
        <w:rPr>
          <w:rFonts w:ascii="Arial" w:eastAsiaTheme="minorEastAsia" w:hAnsi="Arial" w:cs="Arial"/>
          <w:color w:val="3E3E3E"/>
          <w:sz w:val="22"/>
          <w:szCs w:val="22"/>
          <w:lang w:eastAsia="zh-CN"/>
        </w:rPr>
        <w:t>Burbank, CA</w:t>
      </w:r>
      <w:r w:rsidRPr="00B96ECA">
        <w:rPr>
          <w:rFonts w:ascii="Arial" w:eastAsiaTheme="minorEastAsia" w:hAnsi="Arial" w:cs="Arial"/>
          <w:color w:val="3E3E3E"/>
          <w:sz w:val="22"/>
          <w:szCs w:val="22"/>
          <w:lang w:eastAsia="zh-CN"/>
        </w:rPr>
        <w:t>.</w:t>
      </w:r>
      <w:r w:rsidR="00FD1ED7" w:rsidRPr="00B96ECA">
        <w:rPr>
          <w:rFonts w:ascii="Arial" w:eastAsiaTheme="minorEastAsia" w:hAnsi="Arial" w:cs="Arial"/>
          <w:color w:val="3E3E3E"/>
          <w:sz w:val="22"/>
          <w:szCs w:val="22"/>
          <w:lang w:eastAsia="zh-CN"/>
        </w:rPr>
        <w:t xml:space="preserve"> </w:t>
      </w:r>
      <w:r w:rsidR="00FD1ED7" w:rsidRPr="00B96ECA">
        <w:rPr>
          <w:rFonts w:ascii="Arial" w:eastAsiaTheme="minorEastAsia" w:hAnsi="Arial" w:cs="Arial"/>
          <w:color w:val="auto"/>
          <w:sz w:val="22"/>
          <w:szCs w:val="22"/>
          <w:lang w:eastAsia="zh-CN"/>
        </w:rPr>
        <w:t>The company owns and leverages well-known brands, ranging from Mickey Mouse and 'Frozen' to ESPN and ABC. Disney acquired the animated movie producer Pixar Animation Studios in 2006, comic book and movie producer Marvel Entertainment in 2010, 'Star Wars' originator, Lucasfilm, in 2012, and a 75% interest in streaming video technology platform BAMTech (now Disney Streaming Services) in 2017</w:t>
      </w:r>
      <w:r w:rsidR="00B96ECA">
        <w:rPr>
          <w:rFonts w:ascii="Arial" w:eastAsiaTheme="minorEastAsia" w:hAnsi="Arial" w:cs="Arial"/>
          <w:color w:val="auto"/>
          <w:sz w:val="22"/>
          <w:szCs w:val="22"/>
          <w:lang w:eastAsia="zh-CN"/>
        </w:rPr>
        <w:t xml:space="preserve">, and </w:t>
      </w:r>
      <w:r w:rsidR="00B96ECA" w:rsidRPr="00B96ECA">
        <w:rPr>
          <w:rFonts w:ascii="Arial" w:eastAsiaTheme="minorEastAsia" w:hAnsi="Arial" w:cs="Arial"/>
          <w:color w:val="auto"/>
          <w:sz w:val="22"/>
          <w:szCs w:val="22"/>
          <w:lang w:eastAsia="zh-CN"/>
        </w:rPr>
        <w:t>acquired</w:t>
      </w:r>
      <w:r w:rsidR="00FD1ED7" w:rsidRPr="00B96ECA">
        <w:rPr>
          <w:rFonts w:ascii="Arial" w:eastAsiaTheme="minorEastAsia" w:hAnsi="Arial" w:cs="Arial"/>
          <w:color w:val="auto"/>
          <w:sz w:val="22"/>
          <w:szCs w:val="22"/>
          <w:lang w:eastAsia="zh-CN"/>
        </w:rPr>
        <w:t xml:space="preserve"> the majority of </w:t>
      </w:r>
      <w:r w:rsidR="00B96ECA" w:rsidRPr="00B96ECA">
        <w:rPr>
          <w:rFonts w:ascii="Arial" w:eastAsiaTheme="minorEastAsia" w:hAnsi="Arial" w:cs="Arial"/>
          <w:color w:val="auto"/>
          <w:sz w:val="22"/>
          <w:szCs w:val="22"/>
          <w:lang w:eastAsia="zh-CN"/>
        </w:rPr>
        <w:t>21</w:t>
      </w:r>
      <w:r w:rsidR="00B96ECA" w:rsidRPr="00B96ECA">
        <w:rPr>
          <w:rFonts w:ascii="Arial" w:eastAsiaTheme="minorEastAsia" w:hAnsi="Arial" w:cs="Arial"/>
          <w:color w:val="auto"/>
          <w:sz w:val="22"/>
          <w:szCs w:val="22"/>
          <w:vertAlign w:val="superscript"/>
          <w:lang w:eastAsia="zh-CN"/>
        </w:rPr>
        <w:t>st</w:t>
      </w:r>
      <w:r w:rsidR="00B96ECA" w:rsidRPr="00B96ECA">
        <w:rPr>
          <w:rFonts w:ascii="Arial" w:eastAsiaTheme="minorEastAsia" w:hAnsi="Arial" w:cs="Arial"/>
          <w:color w:val="auto"/>
          <w:sz w:val="22"/>
          <w:szCs w:val="22"/>
          <w:lang w:eastAsia="zh-CN"/>
        </w:rPr>
        <w:t xml:space="preserve">  Century Fox Assets on March 20, 2019 in a deal worth $71 Billion. </w:t>
      </w:r>
      <w:r w:rsidR="00FD1ED7" w:rsidRPr="00B96ECA">
        <w:rPr>
          <w:rFonts w:ascii="Arial" w:eastAsiaTheme="minorEastAsia" w:hAnsi="Arial" w:cs="Arial"/>
          <w:color w:val="auto"/>
          <w:sz w:val="22"/>
          <w:szCs w:val="22"/>
          <w:lang w:eastAsia="zh-CN"/>
        </w:rPr>
        <w:t>Disney derives 24% of its revenue from outside of North America and 12% of its revenue from Europe.</w:t>
      </w:r>
      <w:r w:rsidRPr="00B96ECA">
        <w:rPr>
          <w:rFonts w:ascii="Arial" w:eastAsiaTheme="minorEastAsia" w:hAnsi="Arial" w:cs="Arial"/>
          <w:color w:val="3E3E3E"/>
          <w:sz w:val="22"/>
          <w:szCs w:val="22"/>
          <w:lang w:eastAsia="zh-CN"/>
        </w:rPr>
        <w:t xml:space="preserve">  </w:t>
      </w:r>
      <w:r w:rsidR="00C34C0B" w:rsidRPr="00B96ECA">
        <w:rPr>
          <w:rFonts w:ascii="Arial" w:eastAsiaTheme="minorEastAsia" w:hAnsi="Arial" w:cs="Arial"/>
          <w:color w:val="3E3E3E"/>
          <w:sz w:val="22"/>
          <w:szCs w:val="22"/>
          <w:lang w:eastAsia="zh-CN"/>
        </w:rPr>
        <w:t xml:space="preserve">Revenues were $59.43 billion in fiscal 2018. </w:t>
      </w:r>
    </w:p>
    <w:p w14:paraId="661B3165" w14:textId="264DE5FC" w:rsidR="00FD1ED7" w:rsidRPr="00B96ECA" w:rsidRDefault="00FD1ED7" w:rsidP="00C34C0B">
      <w:pPr>
        <w:autoSpaceDE w:val="0"/>
        <w:autoSpaceDN w:val="0"/>
        <w:adjustRightInd w:val="0"/>
        <w:rPr>
          <w:rFonts w:ascii="Arial" w:eastAsiaTheme="minorEastAsia" w:hAnsi="Arial" w:cs="Arial"/>
          <w:color w:val="3E3E3E"/>
          <w:sz w:val="22"/>
          <w:szCs w:val="22"/>
          <w:lang w:eastAsia="zh-CN"/>
        </w:rPr>
      </w:pPr>
    </w:p>
    <w:p w14:paraId="0AB5DF0F" w14:textId="77777777" w:rsidR="00D5135E" w:rsidRDefault="00B96ECA"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hAnsi="Arial" w:cs="Arial"/>
          <w:b/>
          <w:noProof/>
          <w:sz w:val="22"/>
          <w:szCs w:val="22"/>
        </w:rPr>
        <w:drawing>
          <wp:anchor distT="0" distB="0" distL="114300" distR="114300" simplePos="0" relativeHeight="251747328" behindDoc="1" locked="0" layoutInCell="1" allowOverlap="1" wp14:anchorId="1ACEC934" wp14:editId="1ACCCC4B">
            <wp:simplePos x="0" y="0"/>
            <wp:positionH relativeFrom="margin">
              <wp:align>right</wp:align>
            </wp:positionH>
            <wp:positionV relativeFrom="paragraph">
              <wp:posOffset>82550</wp:posOffset>
            </wp:positionV>
            <wp:extent cx="3004820" cy="1238250"/>
            <wp:effectExtent l="0" t="0" r="5080" b="0"/>
            <wp:wrapTight wrapText="bothSides">
              <wp:wrapPolygon edited="0">
                <wp:start x="0" y="0"/>
                <wp:lineTo x="0" y="21268"/>
                <wp:lineTo x="21500" y="21268"/>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4820" cy="1238250"/>
                    </a:xfrm>
                    <a:prstGeom prst="rect">
                      <a:avLst/>
                    </a:prstGeom>
                  </pic:spPr>
                </pic:pic>
              </a:graphicData>
            </a:graphic>
            <wp14:sizeRelH relativeFrom="margin">
              <wp14:pctWidth>0</wp14:pctWidth>
            </wp14:sizeRelH>
            <wp14:sizeRelV relativeFrom="margin">
              <wp14:pctHeight>0</wp14:pctHeight>
            </wp14:sizeRelV>
          </wp:anchor>
        </w:drawing>
      </w:r>
      <w:r w:rsidR="00FD1ED7" w:rsidRPr="00B96ECA">
        <w:rPr>
          <w:rFonts w:ascii="Arial" w:eastAsiaTheme="minorEastAsia" w:hAnsi="Arial" w:cs="Arial"/>
          <w:b/>
          <w:color w:val="3E3E3E"/>
          <w:sz w:val="22"/>
          <w:szCs w:val="22"/>
          <w:lang w:eastAsia="zh-CN"/>
        </w:rPr>
        <w:t>Media Networks</w:t>
      </w:r>
      <w:r>
        <w:rPr>
          <w:rFonts w:ascii="Arial" w:eastAsiaTheme="minorEastAsia" w:hAnsi="Arial" w:cs="Arial"/>
          <w:b/>
          <w:color w:val="3E3E3E"/>
          <w:sz w:val="22"/>
          <w:szCs w:val="22"/>
          <w:lang w:eastAsia="zh-CN"/>
        </w:rPr>
        <w:t xml:space="preserve"> (</w:t>
      </w:r>
      <w:r w:rsidR="00D5135E">
        <w:rPr>
          <w:rFonts w:ascii="Arial" w:eastAsiaTheme="minorEastAsia" w:hAnsi="Arial" w:cs="Arial"/>
          <w:b/>
          <w:color w:val="3E3E3E"/>
          <w:sz w:val="22"/>
          <w:szCs w:val="22"/>
          <w:lang w:eastAsia="zh-CN"/>
        </w:rPr>
        <w:t>41</w:t>
      </w:r>
      <w:r>
        <w:rPr>
          <w:rFonts w:ascii="Arial" w:eastAsiaTheme="minorEastAsia" w:hAnsi="Arial" w:cs="Arial"/>
          <w:b/>
          <w:color w:val="3E3E3E"/>
          <w:sz w:val="22"/>
          <w:szCs w:val="22"/>
          <w:lang w:eastAsia="zh-CN"/>
        </w:rPr>
        <w:t>.</w:t>
      </w:r>
      <w:r w:rsidR="00D5135E">
        <w:rPr>
          <w:rFonts w:ascii="Arial" w:eastAsiaTheme="minorEastAsia" w:hAnsi="Arial" w:cs="Arial"/>
          <w:b/>
          <w:color w:val="3E3E3E"/>
          <w:sz w:val="22"/>
          <w:szCs w:val="22"/>
          <w:lang w:eastAsia="zh-CN"/>
        </w:rPr>
        <w:t>2</w:t>
      </w:r>
      <w:r>
        <w:rPr>
          <w:rFonts w:ascii="Arial" w:eastAsiaTheme="minorEastAsia" w:hAnsi="Arial" w:cs="Arial"/>
          <w:b/>
          <w:color w:val="3E3E3E"/>
          <w:sz w:val="22"/>
          <w:szCs w:val="22"/>
          <w:lang w:eastAsia="zh-CN"/>
        </w:rPr>
        <w:t>% of Total Revenue)</w:t>
      </w:r>
      <w:r w:rsidR="00FD1ED7" w:rsidRPr="00B96ECA">
        <w:rPr>
          <w:rFonts w:ascii="Arial" w:eastAsiaTheme="minorEastAsia" w:hAnsi="Arial" w:cs="Arial"/>
          <w:color w:val="3E3E3E"/>
          <w:sz w:val="22"/>
          <w:szCs w:val="22"/>
          <w:lang w:eastAsia="zh-CN"/>
        </w:rPr>
        <w:t xml:space="preserve"> is the primary unit of The Walt Disney Company that contains the company’s vast array of television networks, cable channels, associated production and distribution companies, and owned and operated television stations across two divisions – Walt Disney Television and ESPN.</w:t>
      </w:r>
    </w:p>
    <w:p w14:paraId="7E29B981" w14:textId="25640F90" w:rsidR="00C34C0B" w:rsidRPr="00B96ECA" w:rsidRDefault="00FD1ED7"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color w:val="3E3E3E"/>
          <w:sz w:val="22"/>
          <w:szCs w:val="22"/>
          <w:lang w:eastAsia="zh-CN"/>
        </w:rPr>
        <w:t xml:space="preserve"> </w:t>
      </w:r>
    </w:p>
    <w:p w14:paraId="0CADFCC5" w14:textId="659BE794" w:rsidR="00B96ECA" w:rsidRDefault="00B52EAA"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b/>
          <w:noProof/>
          <w:color w:val="3E3E3E"/>
          <w:sz w:val="22"/>
          <w:szCs w:val="22"/>
          <w:lang w:eastAsia="zh-CN"/>
        </w:rPr>
        <w:drawing>
          <wp:anchor distT="0" distB="0" distL="114300" distR="114300" simplePos="0" relativeHeight="251749376" behindDoc="1" locked="0" layoutInCell="1" allowOverlap="1" wp14:anchorId="6E00A78D" wp14:editId="0E1F0DEB">
            <wp:simplePos x="0" y="0"/>
            <wp:positionH relativeFrom="margin">
              <wp:align>left</wp:align>
            </wp:positionH>
            <wp:positionV relativeFrom="paragraph">
              <wp:posOffset>142875</wp:posOffset>
            </wp:positionV>
            <wp:extent cx="3155950" cy="2618105"/>
            <wp:effectExtent l="0" t="0" r="6350" b="0"/>
            <wp:wrapTight wrapText="bothSides">
              <wp:wrapPolygon edited="0">
                <wp:start x="0" y="0"/>
                <wp:lineTo x="0" y="21375"/>
                <wp:lineTo x="21513" y="21375"/>
                <wp:lineTo x="215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5950" cy="2618105"/>
                    </a:xfrm>
                    <a:prstGeom prst="rect">
                      <a:avLst/>
                    </a:prstGeom>
                  </pic:spPr>
                </pic:pic>
              </a:graphicData>
            </a:graphic>
            <wp14:sizeRelH relativeFrom="margin">
              <wp14:pctWidth>0</wp14:pctWidth>
            </wp14:sizeRelH>
            <wp14:sizeRelV relativeFrom="margin">
              <wp14:pctHeight>0</wp14:pctHeight>
            </wp14:sizeRelV>
          </wp:anchor>
        </w:drawing>
      </w:r>
    </w:p>
    <w:p w14:paraId="08F54357" w14:textId="77777777" w:rsidR="00B52EAA" w:rsidRDefault="00B52EAA" w:rsidP="00B96ECA">
      <w:pPr>
        <w:autoSpaceDE w:val="0"/>
        <w:autoSpaceDN w:val="0"/>
        <w:adjustRightInd w:val="0"/>
        <w:jc w:val="both"/>
        <w:rPr>
          <w:rFonts w:ascii="Arial" w:eastAsiaTheme="minorEastAsia" w:hAnsi="Arial" w:cs="Arial"/>
          <w:b/>
          <w:color w:val="3E3E3E"/>
          <w:sz w:val="22"/>
          <w:szCs w:val="22"/>
          <w:lang w:eastAsia="zh-CN"/>
        </w:rPr>
      </w:pPr>
    </w:p>
    <w:p w14:paraId="1EE3CA29" w14:textId="77777777" w:rsidR="00B52EAA" w:rsidRDefault="00B52EAA" w:rsidP="00B96ECA">
      <w:pPr>
        <w:autoSpaceDE w:val="0"/>
        <w:autoSpaceDN w:val="0"/>
        <w:adjustRightInd w:val="0"/>
        <w:jc w:val="both"/>
        <w:rPr>
          <w:rFonts w:ascii="Arial" w:eastAsiaTheme="minorEastAsia" w:hAnsi="Arial" w:cs="Arial"/>
          <w:b/>
          <w:color w:val="3E3E3E"/>
          <w:sz w:val="22"/>
          <w:szCs w:val="22"/>
          <w:lang w:eastAsia="zh-CN"/>
        </w:rPr>
      </w:pPr>
    </w:p>
    <w:p w14:paraId="65AF37BC" w14:textId="0872369E" w:rsidR="00B52EAA" w:rsidRDefault="00B96ECA" w:rsidP="00B96ECA">
      <w:pPr>
        <w:autoSpaceDE w:val="0"/>
        <w:autoSpaceDN w:val="0"/>
        <w:adjustRightInd w:val="0"/>
        <w:jc w:val="both"/>
        <w:rPr>
          <w:rFonts w:ascii="Arial" w:eastAsiaTheme="minorEastAsia" w:hAnsi="Arial" w:cs="Arial"/>
          <w:b/>
          <w:color w:val="3E3E3E"/>
          <w:sz w:val="22"/>
          <w:szCs w:val="22"/>
          <w:lang w:eastAsia="zh-CN"/>
        </w:rPr>
      </w:pPr>
      <w:r>
        <w:rPr>
          <w:rFonts w:ascii="Arial" w:eastAsiaTheme="minorEastAsia" w:hAnsi="Arial" w:cs="Arial"/>
          <w:b/>
          <w:color w:val="3E3E3E"/>
          <w:sz w:val="22"/>
          <w:szCs w:val="22"/>
          <w:lang w:eastAsia="zh-CN"/>
        </w:rPr>
        <w:t>Studio Entertainment (1</w:t>
      </w:r>
      <w:r w:rsidR="00D5135E">
        <w:rPr>
          <w:rFonts w:ascii="Arial" w:eastAsiaTheme="minorEastAsia" w:hAnsi="Arial" w:cs="Arial"/>
          <w:b/>
          <w:color w:val="3E3E3E"/>
          <w:sz w:val="22"/>
          <w:szCs w:val="22"/>
          <w:lang w:eastAsia="zh-CN"/>
        </w:rPr>
        <w:t>6</w:t>
      </w:r>
      <w:r>
        <w:rPr>
          <w:rFonts w:ascii="Arial" w:eastAsiaTheme="minorEastAsia" w:hAnsi="Arial" w:cs="Arial"/>
          <w:b/>
          <w:color w:val="3E3E3E"/>
          <w:sz w:val="22"/>
          <w:szCs w:val="22"/>
          <w:lang w:eastAsia="zh-CN"/>
        </w:rPr>
        <w:t>.</w:t>
      </w:r>
      <w:r w:rsidR="00D5135E">
        <w:rPr>
          <w:rFonts w:ascii="Arial" w:eastAsiaTheme="minorEastAsia" w:hAnsi="Arial" w:cs="Arial"/>
          <w:b/>
          <w:color w:val="3E3E3E"/>
          <w:sz w:val="22"/>
          <w:szCs w:val="22"/>
          <w:lang w:eastAsia="zh-CN"/>
        </w:rPr>
        <w:t>8</w:t>
      </w:r>
      <w:r>
        <w:rPr>
          <w:rFonts w:ascii="Arial" w:eastAsiaTheme="minorEastAsia" w:hAnsi="Arial" w:cs="Arial"/>
          <w:b/>
          <w:color w:val="3E3E3E"/>
          <w:sz w:val="22"/>
          <w:szCs w:val="22"/>
          <w:lang w:eastAsia="zh-CN"/>
        </w:rPr>
        <w:t>% of Total Revenue)</w:t>
      </w:r>
    </w:p>
    <w:p w14:paraId="21BE75FD" w14:textId="5865ACD6" w:rsidR="00C34C0B" w:rsidRDefault="00FD1ED7"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color w:val="3E3E3E"/>
          <w:sz w:val="22"/>
          <w:szCs w:val="22"/>
          <w:lang w:eastAsia="zh-CN"/>
        </w:rPr>
        <w:t>For over 90 years, The Walt Disney Studios has been the foundation on which The Walt Disney Company was built. Today, the Studio brings quality movies, music and stage plays to consumers throughout the  world.</w:t>
      </w:r>
      <w:r w:rsidR="00B52EAA">
        <w:rPr>
          <w:rFonts w:ascii="Arial" w:eastAsiaTheme="minorEastAsia" w:hAnsi="Arial" w:cs="Arial"/>
          <w:color w:val="3E3E3E"/>
          <w:sz w:val="22"/>
          <w:szCs w:val="22"/>
          <w:lang w:eastAsia="zh-CN"/>
        </w:rPr>
        <w:t xml:space="preserve"> The </w:t>
      </w:r>
      <w:r w:rsidR="00C34C0B" w:rsidRPr="00B96ECA">
        <w:rPr>
          <w:rFonts w:ascii="Arial" w:eastAsiaTheme="minorEastAsia" w:hAnsi="Arial" w:cs="Arial"/>
          <w:color w:val="3E3E3E"/>
          <w:sz w:val="22"/>
          <w:szCs w:val="22"/>
          <w:lang w:eastAsia="zh-CN"/>
        </w:rPr>
        <w:t>Studio Entertainment</w:t>
      </w:r>
      <w:r w:rsidR="00B52EAA">
        <w:rPr>
          <w:rFonts w:ascii="Arial" w:eastAsiaTheme="minorEastAsia" w:hAnsi="Arial" w:cs="Arial"/>
          <w:color w:val="3E3E3E"/>
          <w:sz w:val="22"/>
          <w:szCs w:val="22"/>
          <w:lang w:eastAsia="zh-CN"/>
        </w:rPr>
        <w:t xml:space="preserve"> </w:t>
      </w:r>
      <w:r w:rsidR="00C34C0B" w:rsidRPr="00B96ECA">
        <w:rPr>
          <w:rFonts w:ascii="Arial" w:eastAsiaTheme="minorEastAsia" w:hAnsi="Arial" w:cs="Arial"/>
          <w:color w:val="3E3E3E"/>
          <w:sz w:val="22"/>
          <w:szCs w:val="22"/>
          <w:lang w:eastAsia="zh-CN"/>
        </w:rPr>
        <w:t xml:space="preserve">segment produces animated and </w:t>
      </w:r>
      <w:r w:rsidR="00B52EAA" w:rsidRPr="00B96ECA">
        <w:rPr>
          <w:rFonts w:ascii="Arial" w:eastAsiaTheme="minorEastAsia" w:hAnsi="Arial" w:cs="Arial"/>
          <w:color w:val="3E3E3E"/>
          <w:sz w:val="22"/>
          <w:szCs w:val="22"/>
          <w:lang w:eastAsia="zh-CN"/>
        </w:rPr>
        <w:t>live action</w:t>
      </w:r>
      <w:r w:rsidR="00C34C0B" w:rsidRPr="00B96ECA">
        <w:rPr>
          <w:rFonts w:ascii="Arial" w:eastAsiaTheme="minorEastAsia" w:hAnsi="Arial" w:cs="Arial"/>
          <w:color w:val="3E3E3E"/>
          <w:sz w:val="22"/>
          <w:szCs w:val="22"/>
          <w:lang w:eastAsia="zh-CN"/>
        </w:rPr>
        <w:t xml:space="preserve"> motion pictures, direct-to-video programming, musical recordings, and live stage plays. The library of films is distributed under 5 banners namely Walt Disney Pictures, Touchstone Pictures, Pixar, Marvel,</w:t>
      </w:r>
      <w:r w:rsidR="00B52EAA">
        <w:rPr>
          <w:rFonts w:ascii="Arial" w:eastAsiaTheme="minorEastAsia" w:hAnsi="Arial" w:cs="Arial"/>
          <w:color w:val="3E3E3E"/>
          <w:sz w:val="22"/>
          <w:szCs w:val="22"/>
          <w:lang w:eastAsia="zh-CN"/>
        </w:rPr>
        <w:t xml:space="preserve"> </w:t>
      </w:r>
      <w:r w:rsidR="00C34C0B" w:rsidRPr="00B96ECA">
        <w:rPr>
          <w:rFonts w:ascii="Arial" w:eastAsiaTheme="minorEastAsia" w:hAnsi="Arial" w:cs="Arial"/>
          <w:color w:val="3E3E3E"/>
          <w:sz w:val="22"/>
          <w:szCs w:val="22"/>
          <w:lang w:eastAsia="zh-CN"/>
        </w:rPr>
        <w:t>Lucasfilms</w:t>
      </w:r>
      <w:r w:rsidR="00B52EAA">
        <w:rPr>
          <w:rFonts w:ascii="Arial" w:eastAsiaTheme="minorEastAsia" w:hAnsi="Arial" w:cs="Arial"/>
          <w:color w:val="3E3E3E"/>
          <w:sz w:val="22"/>
          <w:szCs w:val="22"/>
          <w:lang w:eastAsia="zh-CN"/>
        </w:rPr>
        <w:t xml:space="preserve"> and now 20</w:t>
      </w:r>
      <w:r w:rsidR="00B52EAA" w:rsidRPr="00B52EAA">
        <w:rPr>
          <w:rFonts w:ascii="Arial" w:eastAsiaTheme="minorEastAsia" w:hAnsi="Arial" w:cs="Arial"/>
          <w:color w:val="3E3E3E"/>
          <w:sz w:val="22"/>
          <w:szCs w:val="22"/>
          <w:vertAlign w:val="superscript"/>
          <w:lang w:eastAsia="zh-CN"/>
        </w:rPr>
        <w:t>th</w:t>
      </w:r>
      <w:r w:rsidR="00B52EAA">
        <w:rPr>
          <w:rFonts w:ascii="Arial" w:eastAsiaTheme="minorEastAsia" w:hAnsi="Arial" w:cs="Arial"/>
          <w:color w:val="3E3E3E"/>
          <w:sz w:val="22"/>
          <w:szCs w:val="22"/>
          <w:lang w:eastAsia="zh-CN"/>
        </w:rPr>
        <w:t xml:space="preserve"> and 21</w:t>
      </w:r>
      <w:r w:rsidR="00B52EAA" w:rsidRPr="00B52EAA">
        <w:rPr>
          <w:rFonts w:ascii="Arial" w:eastAsiaTheme="minorEastAsia" w:hAnsi="Arial" w:cs="Arial"/>
          <w:color w:val="3E3E3E"/>
          <w:sz w:val="22"/>
          <w:szCs w:val="22"/>
          <w:vertAlign w:val="superscript"/>
          <w:lang w:eastAsia="zh-CN"/>
        </w:rPr>
        <w:t>st</w:t>
      </w:r>
      <w:r w:rsidR="00B52EAA">
        <w:rPr>
          <w:rFonts w:ascii="Arial" w:eastAsiaTheme="minorEastAsia" w:hAnsi="Arial" w:cs="Arial"/>
          <w:color w:val="3E3E3E"/>
          <w:sz w:val="22"/>
          <w:szCs w:val="22"/>
          <w:lang w:eastAsia="zh-CN"/>
        </w:rPr>
        <w:t xml:space="preserve"> Century Fox.  Just this quarter alone, between Disney and Fox, they received 37 Golden Globe nominations including ‘Best Picture’ for </w:t>
      </w:r>
      <w:r w:rsidR="00B52EAA" w:rsidRPr="00B52EAA">
        <w:rPr>
          <w:rFonts w:ascii="Arial" w:eastAsiaTheme="minorEastAsia" w:hAnsi="Arial" w:cs="Arial"/>
          <w:i/>
          <w:color w:val="3E3E3E"/>
          <w:sz w:val="22"/>
          <w:szCs w:val="22"/>
          <w:lang w:eastAsia="zh-CN"/>
        </w:rPr>
        <w:t>Black Panther</w:t>
      </w:r>
      <w:r w:rsidR="00420BFB">
        <w:rPr>
          <w:rFonts w:ascii="Arial" w:eastAsiaTheme="minorEastAsia" w:hAnsi="Arial" w:cs="Arial"/>
          <w:color w:val="3E3E3E"/>
          <w:sz w:val="22"/>
          <w:szCs w:val="22"/>
          <w:lang w:eastAsia="zh-CN"/>
        </w:rPr>
        <w:t xml:space="preserve"> and </w:t>
      </w:r>
      <w:r w:rsidR="00420BFB" w:rsidRPr="00420BFB">
        <w:rPr>
          <w:rFonts w:ascii="Arial" w:eastAsiaTheme="minorEastAsia" w:hAnsi="Arial" w:cs="Arial"/>
          <w:i/>
          <w:color w:val="3E3E3E"/>
          <w:sz w:val="22"/>
          <w:szCs w:val="22"/>
          <w:lang w:eastAsia="zh-CN"/>
        </w:rPr>
        <w:t>Mary Poppins Returns</w:t>
      </w:r>
      <w:r w:rsidR="00420BFB">
        <w:rPr>
          <w:rFonts w:ascii="Arial" w:eastAsiaTheme="minorEastAsia" w:hAnsi="Arial" w:cs="Arial"/>
          <w:color w:val="3E3E3E"/>
          <w:sz w:val="22"/>
          <w:szCs w:val="22"/>
          <w:lang w:eastAsia="zh-CN"/>
        </w:rPr>
        <w:t>.</w:t>
      </w:r>
      <w:r w:rsidR="00B52EAA">
        <w:rPr>
          <w:rFonts w:ascii="Arial" w:eastAsiaTheme="minorEastAsia" w:hAnsi="Arial" w:cs="Arial"/>
          <w:color w:val="3E3E3E"/>
          <w:sz w:val="22"/>
          <w:szCs w:val="22"/>
          <w:lang w:eastAsia="zh-CN"/>
        </w:rPr>
        <w:t xml:space="preserve"> </w:t>
      </w:r>
    </w:p>
    <w:p w14:paraId="4FA47DFC" w14:textId="77777777" w:rsidR="00D5135E" w:rsidRDefault="00D5135E" w:rsidP="00B96ECA">
      <w:pPr>
        <w:autoSpaceDE w:val="0"/>
        <w:autoSpaceDN w:val="0"/>
        <w:adjustRightInd w:val="0"/>
        <w:jc w:val="both"/>
        <w:rPr>
          <w:rFonts w:ascii="Arial" w:eastAsiaTheme="minorEastAsia" w:hAnsi="Arial" w:cs="Arial"/>
          <w:color w:val="3E3E3E"/>
          <w:sz w:val="22"/>
          <w:szCs w:val="22"/>
          <w:lang w:eastAsia="zh-CN"/>
        </w:rPr>
      </w:pPr>
    </w:p>
    <w:p w14:paraId="003EA70A" w14:textId="77777777" w:rsidR="00420BFB" w:rsidRPr="00B96ECA" w:rsidRDefault="00420BFB" w:rsidP="00B96ECA">
      <w:pPr>
        <w:autoSpaceDE w:val="0"/>
        <w:autoSpaceDN w:val="0"/>
        <w:adjustRightInd w:val="0"/>
        <w:jc w:val="both"/>
        <w:rPr>
          <w:rFonts w:ascii="Arial" w:eastAsiaTheme="minorEastAsia" w:hAnsi="Arial" w:cs="Arial"/>
          <w:color w:val="3E3E3E"/>
          <w:sz w:val="22"/>
          <w:szCs w:val="22"/>
          <w:lang w:eastAsia="zh-CN"/>
        </w:rPr>
      </w:pPr>
    </w:p>
    <w:p w14:paraId="631F61C0" w14:textId="6E0E917E" w:rsidR="00FD1ED7" w:rsidRPr="00B96ECA" w:rsidRDefault="00420BFB"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noProof/>
          <w:color w:val="3E3E3E"/>
          <w:sz w:val="22"/>
          <w:szCs w:val="22"/>
          <w:lang w:eastAsia="zh-CN"/>
        </w:rPr>
        <w:drawing>
          <wp:anchor distT="0" distB="0" distL="114300" distR="114300" simplePos="0" relativeHeight="251748352" behindDoc="1" locked="0" layoutInCell="1" allowOverlap="1" wp14:anchorId="26C67BA6" wp14:editId="0881445F">
            <wp:simplePos x="0" y="0"/>
            <wp:positionH relativeFrom="margin">
              <wp:align>right</wp:align>
            </wp:positionH>
            <wp:positionV relativeFrom="paragraph">
              <wp:posOffset>8255</wp:posOffset>
            </wp:positionV>
            <wp:extent cx="3086735" cy="3219450"/>
            <wp:effectExtent l="0" t="0" r="0" b="0"/>
            <wp:wrapTight wrapText="bothSides">
              <wp:wrapPolygon edited="0">
                <wp:start x="0" y="0"/>
                <wp:lineTo x="0" y="21472"/>
                <wp:lineTo x="21462" y="21472"/>
                <wp:lineTo x="214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6735" cy="32194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color w:val="3E3E3E"/>
          <w:sz w:val="22"/>
          <w:szCs w:val="22"/>
          <w:lang w:eastAsia="zh-CN"/>
        </w:rPr>
        <w:t>Parks, Experience and Products (</w:t>
      </w:r>
      <w:r w:rsidR="00D5135E">
        <w:rPr>
          <w:rFonts w:ascii="Arial" w:eastAsiaTheme="minorEastAsia" w:hAnsi="Arial" w:cs="Arial"/>
          <w:b/>
          <w:color w:val="3E3E3E"/>
          <w:sz w:val="22"/>
          <w:szCs w:val="22"/>
          <w:lang w:eastAsia="zh-CN"/>
        </w:rPr>
        <w:t>3</w:t>
      </w:r>
      <w:r>
        <w:rPr>
          <w:rFonts w:ascii="Arial" w:eastAsiaTheme="minorEastAsia" w:hAnsi="Arial" w:cs="Arial"/>
          <w:b/>
          <w:color w:val="3E3E3E"/>
          <w:sz w:val="22"/>
          <w:szCs w:val="22"/>
          <w:lang w:eastAsia="zh-CN"/>
        </w:rPr>
        <w:t>4.</w:t>
      </w:r>
      <w:r w:rsidR="00D5135E">
        <w:rPr>
          <w:rFonts w:ascii="Arial" w:eastAsiaTheme="minorEastAsia" w:hAnsi="Arial" w:cs="Arial"/>
          <w:b/>
          <w:color w:val="3E3E3E"/>
          <w:sz w:val="22"/>
          <w:szCs w:val="22"/>
          <w:lang w:eastAsia="zh-CN"/>
        </w:rPr>
        <w:t>1</w:t>
      </w:r>
      <w:r>
        <w:rPr>
          <w:rFonts w:ascii="Arial" w:eastAsiaTheme="minorEastAsia" w:hAnsi="Arial" w:cs="Arial"/>
          <w:b/>
          <w:color w:val="3E3E3E"/>
          <w:sz w:val="22"/>
          <w:szCs w:val="22"/>
          <w:lang w:eastAsia="zh-CN"/>
        </w:rPr>
        <w:t xml:space="preserve">% of Total Revenue) </w:t>
      </w:r>
      <w:r w:rsidR="00FD1ED7" w:rsidRPr="00B96ECA">
        <w:rPr>
          <w:rFonts w:ascii="Arial" w:eastAsiaTheme="minorEastAsia" w:hAnsi="Arial" w:cs="Arial"/>
          <w:color w:val="3E3E3E"/>
          <w:sz w:val="22"/>
          <w:szCs w:val="22"/>
          <w:lang w:eastAsia="zh-CN"/>
        </w:rPr>
        <w:t xml:space="preserve">is the global hub that brings Disney’s stories, characters, and franchises to life through theme parks and resorts, cruise and vacation experiences, and consumer products—everything from toys to apparel, and books to video games. </w:t>
      </w:r>
    </w:p>
    <w:p w14:paraId="66588664" w14:textId="169232D9" w:rsidR="00C34C0B" w:rsidRDefault="00C34C0B"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color w:val="3E3E3E"/>
          <w:sz w:val="22"/>
          <w:szCs w:val="22"/>
          <w:lang w:eastAsia="zh-CN"/>
        </w:rPr>
        <w:t>Parks, Experiences &amp; Products segment is a combination of global consumer products business with Parks and Resorts. Parks and Resorts owns and operates the Disney World Resort in Florida, the Disneyland Resort in California, the Disney Vacation Club, the Disney Cruise Line, and Adventures by Disney. The company also has ownership interests in Disneyland Paris, in Hong Kong Disneyland Resort and in Shanghai Disney Resort, and licenses the operations of the Tokyo Disney Resort in Japan.</w:t>
      </w:r>
      <w:r w:rsidR="00420BFB">
        <w:rPr>
          <w:rFonts w:ascii="Arial" w:eastAsiaTheme="minorEastAsia" w:hAnsi="Arial" w:cs="Arial"/>
          <w:color w:val="3E3E3E"/>
          <w:sz w:val="22"/>
          <w:szCs w:val="22"/>
          <w:lang w:eastAsia="zh-CN"/>
        </w:rPr>
        <w:t xml:space="preserve"> </w:t>
      </w:r>
      <w:r w:rsidRPr="00B96ECA">
        <w:rPr>
          <w:rFonts w:ascii="Arial" w:eastAsiaTheme="minorEastAsia" w:hAnsi="Arial" w:cs="Arial"/>
          <w:color w:val="3E3E3E"/>
          <w:sz w:val="22"/>
          <w:szCs w:val="22"/>
          <w:lang w:eastAsia="zh-CN"/>
        </w:rPr>
        <w:t>Consumer products business engages with licensees, manufacturers, publishers and retailers to design, develop, publish, promote and sell a wide variety of products based on existing and new Disney characters and other intellectual property via its Merchandise Licensing, Publishing and Retail businesses throughout the world.</w:t>
      </w:r>
    </w:p>
    <w:p w14:paraId="4BB85EF2" w14:textId="77777777" w:rsidR="00D5135E" w:rsidRPr="00B96ECA" w:rsidRDefault="00D5135E" w:rsidP="00B96ECA">
      <w:pPr>
        <w:autoSpaceDE w:val="0"/>
        <w:autoSpaceDN w:val="0"/>
        <w:adjustRightInd w:val="0"/>
        <w:jc w:val="both"/>
        <w:rPr>
          <w:rFonts w:ascii="Arial" w:eastAsiaTheme="minorEastAsia" w:hAnsi="Arial" w:cs="Arial"/>
          <w:color w:val="3E3E3E"/>
          <w:sz w:val="22"/>
          <w:szCs w:val="22"/>
          <w:lang w:eastAsia="zh-CN"/>
        </w:rPr>
      </w:pPr>
    </w:p>
    <w:p w14:paraId="2C07D141" w14:textId="577AA17E" w:rsidR="00FD1ED7" w:rsidRPr="00B96ECA" w:rsidRDefault="00D5135E" w:rsidP="00B96ECA">
      <w:p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b/>
          <w:color w:val="3E3E3E"/>
          <w:sz w:val="22"/>
          <w:szCs w:val="22"/>
          <w:lang w:eastAsia="zh-CN"/>
        </w:rPr>
        <w:t>Direct-To-Consumer and International (7.8% of Total Revenue)</w:t>
      </w:r>
    </w:p>
    <w:p w14:paraId="42F36D3A" w14:textId="73BC5571" w:rsidR="00FD1ED7" w:rsidRPr="00B96ECA" w:rsidRDefault="00C83682" w:rsidP="00B96ECA">
      <w:pPr>
        <w:autoSpaceDE w:val="0"/>
        <w:autoSpaceDN w:val="0"/>
        <w:adjustRightInd w:val="0"/>
        <w:jc w:val="both"/>
        <w:rPr>
          <w:rFonts w:ascii="Arial" w:eastAsiaTheme="minorEastAsia" w:hAnsi="Arial" w:cs="Arial"/>
          <w:color w:val="3E3E3E"/>
          <w:sz w:val="22"/>
          <w:szCs w:val="22"/>
          <w:lang w:eastAsia="zh-CN"/>
        </w:rPr>
      </w:pPr>
      <w:r>
        <w:rPr>
          <w:noProof/>
        </w:rPr>
        <w:drawing>
          <wp:anchor distT="0" distB="0" distL="114300" distR="114300" simplePos="0" relativeHeight="251750400" behindDoc="1" locked="0" layoutInCell="1" allowOverlap="1" wp14:anchorId="3F841214" wp14:editId="1F9FC7D4">
            <wp:simplePos x="0" y="0"/>
            <wp:positionH relativeFrom="margin">
              <wp:align>right</wp:align>
            </wp:positionH>
            <wp:positionV relativeFrom="paragraph">
              <wp:posOffset>145415</wp:posOffset>
            </wp:positionV>
            <wp:extent cx="4141470" cy="1066800"/>
            <wp:effectExtent l="0" t="0" r="0" b="0"/>
            <wp:wrapTight wrapText="bothSides">
              <wp:wrapPolygon edited="0">
                <wp:start x="0" y="0"/>
                <wp:lineTo x="0" y="21214"/>
                <wp:lineTo x="21461" y="21214"/>
                <wp:lineTo x="2146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41470" cy="1066800"/>
                    </a:xfrm>
                    <a:prstGeom prst="rect">
                      <a:avLst/>
                    </a:prstGeom>
                  </pic:spPr>
                </pic:pic>
              </a:graphicData>
            </a:graphic>
            <wp14:sizeRelH relativeFrom="margin">
              <wp14:pctWidth>0</wp14:pctWidth>
            </wp14:sizeRelH>
            <wp14:sizeRelV relativeFrom="margin">
              <wp14:pctHeight>0</wp14:pctHeight>
            </wp14:sizeRelV>
          </wp:anchor>
        </w:drawing>
      </w:r>
      <w:r w:rsidR="00FD1ED7" w:rsidRPr="00B96ECA">
        <w:rPr>
          <w:rFonts w:ascii="Arial" w:eastAsiaTheme="minorEastAsia" w:hAnsi="Arial" w:cs="Arial"/>
          <w:color w:val="3E3E3E"/>
          <w:sz w:val="22"/>
          <w:szCs w:val="22"/>
          <w:lang w:eastAsia="zh-CN"/>
        </w:rPr>
        <w:t xml:space="preserve">Comprised of the Company’s international business units and various direct-to-consumer streaming services, Direct-to-Consumer and International (DTCI) aligns technology, global content sales and advertising sales into a single business segment to create and deliver personalized entertainment experiences to consumers around the world.  </w:t>
      </w:r>
    </w:p>
    <w:p w14:paraId="6D28A97B" w14:textId="07AD77B9" w:rsidR="00C34C0B" w:rsidRPr="00B96ECA" w:rsidRDefault="00C34C0B" w:rsidP="00B96ECA">
      <w:pPr>
        <w:autoSpaceDE w:val="0"/>
        <w:autoSpaceDN w:val="0"/>
        <w:adjustRightInd w:val="0"/>
        <w:jc w:val="both"/>
        <w:rPr>
          <w:rFonts w:ascii="Arial" w:eastAsiaTheme="minorEastAsia" w:hAnsi="Arial" w:cs="Arial"/>
          <w:color w:val="3E3E3E"/>
          <w:sz w:val="22"/>
          <w:szCs w:val="22"/>
          <w:lang w:eastAsia="zh-CN"/>
        </w:rPr>
      </w:pPr>
      <w:r w:rsidRPr="00B96ECA">
        <w:rPr>
          <w:rFonts w:ascii="Arial" w:eastAsiaTheme="minorEastAsia" w:hAnsi="Arial" w:cs="Arial"/>
          <w:color w:val="3E3E3E"/>
          <w:sz w:val="22"/>
          <w:szCs w:val="22"/>
          <w:lang w:eastAsia="zh-CN"/>
        </w:rPr>
        <w:t>Direct-to-Consumer &amp; International segment comprises Disney’s direct-to-consumer (DTC) streaming services</w:t>
      </w:r>
      <w:r w:rsidR="00C83682">
        <w:rPr>
          <w:rFonts w:ascii="Arial" w:eastAsiaTheme="minorEastAsia" w:hAnsi="Arial" w:cs="Arial"/>
          <w:color w:val="3E3E3E"/>
          <w:sz w:val="22"/>
          <w:szCs w:val="22"/>
          <w:lang w:eastAsia="zh-CN"/>
        </w:rPr>
        <w:t xml:space="preserve"> (Disney+, ESPN+, Hulu and Hotstar)</w:t>
      </w:r>
      <w:r w:rsidRPr="00B96ECA">
        <w:rPr>
          <w:rFonts w:ascii="Arial" w:eastAsiaTheme="minorEastAsia" w:hAnsi="Arial" w:cs="Arial"/>
          <w:color w:val="3E3E3E"/>
          <w:sz w:val="22"/>
          <w:szCs w:val="22"/>
          <w:lang w:eastAsia="zh-CN"/>
        </w:rPr>
        <w:t>, international media operations and global advertising sales and ad technology for Disney media properties including Freeform, ESPN, ABC and Disney Channels.</w:t>
      </w:r>
      <w:r w:rsidR="00C83682" w:rsidRPr="00C83682">
        <w:rPr>
          <w:noProof/>
        </w:rPr>
        <w:t xml:space="preserve"> </w:t>
      </w:r>
    </w:p>
    <w:p w14:paraId="796F6103" w14:textId="77777777" w:rsidR="00C34C0B" w:rsidRPr="00B96ECA" w:rsidRDefault="00C34C0B" w:rsidP="00B96ECA">
      <w:pPr>
        <w:autoSpaceDE w:val="0"/>
        <w:autoSpaceDN w:val="0"/>
        <w:adjustRightInd w:val="0"/>
        <w:jc w:val="both"/>
        <w:rPr>
          <w:rFonts w:ascii="Arial" w:eastAsiaTheme="minorEastAsia" w:hAnsi="Arial" w:cs="Arial"/>
          <w:color w:val="3E3E3E"/>
          <w:sz w:val="22"/>
          <w:szCs w:val="22"/>
          <w:lang w:eastAsia="zh-CN"/>
        </w:rPr>
      </w:pPr>
    </w:p>
    <w:p w14:paraId="22C52DF8" w14:textId="77777777" w:rsidR="00EF1AE2" w:rsidRPr="00D5135E" w:rsidRDefault="00EF1AE2" w:rsidP="00D5135E">
      <w:pPr>
        <w:autoSpaceDE w:val="0"/>
        <w:autoSpaceDN w:val="0"/>
        <w:adjustRightInd w:val="0"/>
        <w:jc w:val="both"/>
        <w:rPr>
          <w:rFonts w:ascii="Arial" w:eastAsiaTheme="minorEastAsia" w:hAnsi="Arial" w:cs="Arial"/>
          <w:b/>
          <w:color w:val="3E3E3E"/>
          <w:sz w:val="22"/>
          <w:szCs w:val="22"/>
          <w:lang w:eastAsia="zh-CN"/>
        </w:rPr>
      </w:pPr>
      <w:r w:rsidRPr="00D5135E">
        <w:rPr>
          <w:rFonts w:ascii="Arial" w:eastAsiaTheme="minorEastAsia" w:hAnsi="Arial" w:cs="Arial"/>
          <w:b/>
          <w:color w:val="3E3E3E"/>
          <w:sz w:val="22"/>
          <w:szCs w:val="22"/>
          <w:lang w:eastAsia="zh-CN"/>
        </w:rPr>
        <w:t>RECENT DEVELOPMENTS</w:t>
      </w:r>
    </w:p>
    <w:p w14:paraId="01814123" w14:textId="0BEB5A99" w:rsidR="00EF1AE2" w:rsidRDefault="00EF1AE2" w:rsidP="00C83682">
      <w:pPr>
        <w:autoSpaceDE w:val="0"/>
        <w:autoSpaceDN w:val="0"/>
        <w:adjustRightInd w:val="0"/>
        <w:jc w:val="both"/>
        <w:rPr>
          <w:rFonts w:ascii="Arial" w:eastAsiaTheme="minorEastAsia" w:hAnsi="Arial" w:cs="Arial"/>
          <w:color w:val="3E3E3E"/>
          <w:sz w:val="22"/>
          <w:szCs w:val="22"/>
          <w:lang w:eastAsia="zh-CN"/>
        </w:rPr>
      </w:pPr>
      <w:r w:rsidRPr="00C83682">
        <w:rPr>
          <w:rFonts w:ascii="Arial" w:eastAsiaTheme="minorEastAsia" w:hAnsi="Arial" w:cs="Arial"/>
          <w:color w:val="3E3E3E"/>
          <w:sz w:val="22"/>
          <w:szCs w:val="22"/>
          <w:lang w:eastAsia="zh-CN"/>
        </w:rPr>
        <w:t>Disney held an Investor Day on April 11</w:t>
      </w:r>
      <w:r w:rsidR="00C83682">
        <w:rPr>
          <w:rFonts w:ascii="Arial" w:eastAsiaTheme="minorEastAsia" w:hAnsi="Arial" w:cs="Arial"/>
          <w:color w:val="3E3E3E"/>
          <w:sz w:val="22"/>
          <w:szCs w:val="22"/>
          <w:lang w:eastAsia="zh-CN"/>
        </w:rPr>
        <w:t xml:space="preserve"> that</w:t>
      </w:r>
      <w:r w:rsidRPr="00C83682">
        <w:rPr>
          <w:rFonts w:ascii="Arial" w:eastAsiaTheme="minorEastAsia" w:hAnsi="Arial" w:cs="Arial"/>
          <w:color w:val="3E3E3E"/>
          <w:sz w:val="22"/>
          <w:szCs w:val="22"/>
          <w:lang w:eastAsia="zh-CN"/>
        </w:rPr>
        <w:t xml:space="preserve"> was all about the company's direct-to-consumer (DTC) distribution plans. Management has repeatedly stressed that DTC is the company's highest priority. While competition from a surging Netflix makes DTC a must-have defensive strategy for Disney to remain relevant in the media marketplace, DTC could also become a driver of significant future growth. However, as management laid out at Investor Day, the costs to capturing market share in the growing video streaming business will be high</w:t>
      </w:r>
      <w:r w:rsidR="00C83682">
        <w:rPr>
          <w:rFonts w:ascii="Arial" w:eastAsiaTheme="minorEastAsia" w:hAnsi="Arial" w:cs="Arial"/>
          <w:color w:val="3E3E3E"/>
          <w:sz w:val="22"/>
          <w:szCs w:val="22"/>
          <w:lang w:eastAsia="zh-CN"/>
        </w:rPr>
        <w:t>.</w:t>
      </w:r>
    </w:p>
    <w:p w14:paraId="5EFF4B43" w14:textId="77777777" w:rsidR="00C83682" w:rsidRPr="00C83682" w:rsidRDefault="00C83682" w:rsidP="00C83682">
      <w:pPr>
        <w:autoSpaceDE w:val="0"/>
        <w:autoSpaceDN w:val="0"/>
        <w:adjustRightInd w:val="0"/>
        <w:jc w:val="both"/>
        <w:rPr>
          <w:rFonts w:ascii="Arial" w:eastAsiaTheme="minorEastAsia" w:hAnsi="Arial" w:cs="Arial"/>
          <w:color w:val="3E3E3E"/>
          <w:sz w:val="22"/>
          <w:szCs w:val="22"/>
          <w:lang w:eastAsia="zh-CN"/>
        </w:rPr>
      </w:pPr>
    </w:p>
    <w:p w14:paraId="56AC9E7A" w14:textId="2DD42812" w:rsidR="00EF1AE2" w:rsidRDefault="00EF1AE2" w:rsidP="00C83682">
      <w:pPr>
        <w:autoSpaceDE w:val="0"/>
        <w:autoSpaceDN w:val="0"/>
        <w:adjustRightInd w:val="0"/>
        <w:jc w:val="both"/>
        <w:rPr>
          <w:rFonts w:ascii="Arial" w:eastAsiaTheme="minorEastAsia" w:hAnsi="Arial" w:cs="Arial"/>
          <w:color w:val="3E3E3E"/>
          <w:sz w:val="22"/>
          <w:szCs w:val="22"/>
          <w:lang w:eastAsia="zh-CN"/>
        </w:rPr>
      </w:pPr>
      <w:r w:rsidRPr="00C83682">
        <w:rPr>
          <w:rFonts w:ascii="Arial" w:eastAsiaTheme="minorEastAsia" w:hAnsi="Arial" w:cs="Arial"/>
          <w:color w:val="3E3E3E"/>
          <w:sz w:val="22"/>
          <w:szCs w:val="22"/>
          <w:lang w:eastAsia="zh-CN"/>
        </w:rPr>
        <w:t xml:space="preserve">Disney expects to launch its Disney+ streaming video service as the 'cornerstone' of the company's DTC strategy in the U.S. on November 12, 2019. Disney+ will join Disney's other two streaming services, the majority owned Hulu, and ESPN+ which launched in April 2018. Management made quite clear that it will be investing heavily in all three streaming services to produce and globally distribute the kind of </w:t>
      </w:r>
      <w:r w:rsidR="00C83682" w:rsidRPr="00C83682">
        <w:rPr>
          <w:rFonts w:ascii="Arial" w:eastAsiaTheme="minorEastAsia" w:hAnsi="Arial" w:cs="Arial"/>
          <w:color w:val="3E3E3E"/>
          <w:sz w:val="22"/>
          <w:szCs w:val="22"/>
          <w:lang w:eastAsia="zh-CN"/>
        </w:rPr>
        <w:t>high-quality</w:t>
      </w:r>
      <w:r w:rsidRPr="00C83682">
        <w:rPr>
          <w:rFonts w:ascii="Arial" w:eastAsiaTheme="minorEastAsia" w:hAnsi="Arial" w:cs="Arial"/>
          <w:color w:val="3E3E3E"/>
          <w:sz w:val="22"/>
          <w:szCs w:val="22"/>
          <w:lang w:eastAsia="zh-CN"/>
        </w:rPr>
        <w:t xml:space="preserve"> video entertainment that could lure subscribers to these services.</w:t>
      </w:r>
    </w:p>
    <w:p w14:paraId="3F1200D2" w14:textId="77777777" w:rsidR="00C83682" w:rsidRPr="00C83682" w:rsidRDefault="00C83682" w:rsidP="00C83682">
      <w:pPr>
        <w:autoSpaceDE w:val="0"/>
        <w:autoSpaceDN w:val="0"/>
        <w:adjustRightInd w:val="0"/>
        <w:jc w:val="both"/>
        <w:rPr>
          <w:rFonts w:ascii="Arial" w:eastAsiaTheme="minorEastAsia" w:hAnsi="Arial" w:cs="Arial"/>
          <w:color w:val="3E3E3E"/>
          <w:sz w:val="22"/>
          <w:szCs w:val="22"/>
          <w:lang w:eastAsia="zh-CN"/>
        </w:rPr>
      </w:pPr>
    </w:p>
    <w:p w14:paraId="73B39481" w14:textId="65E8E101" w:rsidR="00EF1AE2" w:rsidRDefault="003C45E4" w:rsidP="00C83682">
      <w:p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color w:val="3E3E3E"/>
          <w:sz w:val="22"/>
          <w:szCs w:val="22"/>
          <w:lang w:eastAsia="zh-CN"/>
        </w:rPr>
        <w:t>The company</w:t>
      </w:r>
      <w:r w:rsidR="00EF1AE2" w:rsidRPr="00C83682">
        <w:rPr>
          <w:rFonts w:ascii="Arial" w:eastAsiaTheme="minorEastAsia" w:hAnsi="Arial" w:cs="Arial"/>
          <w:color w:val="3E3E3E"/>
          <w:sz w:val="22"/>
          <w:szCs w:val="22"/>
          <w:lang w:eastAsia="zh-CN"/>
        </w:rPr>
        <w:t xml:space="preserve"> is targeting between 60 million and 90 million Disney+ subscribers by the end of FY24 (September 2024) with the mix 1/3 domestic U.S. and 2/3 international. The Disney+ international roll out is expected over the coming years. Disney plans to invest about $1 billion in original content for Disney+ in FY20, ramping to about $2.5 billion by FY24. Licensed content expense is expected to be around $1.5 billion in FY20, ramping to $2.5 billion in FY24 though these license expenses will be intra-company. Total operating expenses for Disney+ are expected to be less than $1 billion in FY20, ramping as the service adds subscribers. Management forecasts Disney+ operating expenses to peak from FY20 through FY22 and forecasts profitability by FY24.</w:t>
      </w:r>
    </w:p>
    <w:p w14:paraId="191B47A9" w14:textId="77777777" w:rsidR="003C45E4" w:rsidRPr="00C83682" w:rsidRDefault="003C45E4" w:rsidP="00C83682">
      <w:pPr>
        <w:autoSpaceDE w:val="0"/>
        <w:autoSpaceDN w:val="0"/>
        <w:adjustRightInd w:val="0"/>
        <w:jc w:val="both"/>
        <w:rPr>
          <w:rFonts w:ascii="Arial" w:eastAsiaTheme="minorEastAsia" w:hAnsi="Arial" w:cs="Arial"/>
          <w:color w:val="3E3E3E"/>
          <w:sz w:val="22"/>
          <w:szCs w:val="22"/>
          <w:lang w:eastAsia="zh-CN"/>
        </w:rPr>
      </w:pPr>
    </w:p>
    <w:p w14:paraId="79644624" w14:textId="77777777" w:rsidR="003C45E4" w:rsidRDefault="00EF1AE2" w:rsidP="00C83682">
      <w:pPr>
        <w:autoSpaceDE w:val="0"/>
        <w:autoSpaceDN w:val="0"/>
        <w:adjustRightInd w:val="0"/>
        <w:jc w:val="both"/>
        <w:rPr>
          <w:rFonts w:ascii="Arial" w:eastAsiaTheme="minorEastAsia" w:hAnsi="Arial" w:cs="Arial"/>
          <w:color w:val="3E3E3E"/>
          <w:sz w:val="22"/>
          <w:szCs w:val="22"/>
          <w:lang w:eastAsia="zh-CN"/>
        </w:rPr>
      </w:pPr>
      <w:r w:rsidRPr="00C83682">
        <w:rPr>
          <w:rFonts w:ascii="Arial" w:eastAsiaTheme="minorEastAsia" w:hAnsi="Arial" w:cs="Arial"/>
          <w:color w:val="3E3E3E"/>
          <w:sz w:val="22"/>
          <w:szCs w:val="22"/>
          <w:lang w:eastAsia="zh-CN"/>
        </w:rPr>
        <w:t xml:space="preserve">Disney+ will have a price point of $5.83 per month for an annual subscription, or $6.99 </w:t>
      </w:r>
      <w:r w:rsidR="003C45E4">
        <w:rPr>
          <w:rFonts w:ascii="Arial" w:eastAsiaTheme="minorEastAsia" w:hAnsi="Arial" w:cs="Arial"/>
          <w:color w:val="3E3E3E"/>
          <w:sz w:val="22"/>
          <w:szCs w:val="22"/>
          <w:lang w:eastAsia="zh-CN"/>
        </w:rPr>
        <w:t>for a</w:t>
      </w:r>
      <w:r w:rsidRPr="00C83682">
        <w:rPr>
          <w:rFonts w:ascii="Arial" w:eastAsiaTheme="minorEastAsia" w:hAnsi="Arial" w:cs="Arial"/>
          <w:color w:val="3E3E3E"/>
          <w:sz w:val="22"/>
          <w:szCs w:val="22"/>
          <w:lang w:eastAsia="zh-CN"/>
        </w:rPr>
        <w:t xml:space="preserve"> month-to-month subscription. This compares favorably to the Netflix $8.99 'Basic' monthly subscription and even more favorably to $12.99 'Standard' subscription. An Amazon Prime membership costs $8.25 per month and video streaming is essentially an add-on to that company's Prime free shipping service or $8.99 per month as an Amazon Prime Video stand-alone service.</w:t>
      </w:r>
      <w:r w:rsidR="003C45E4">
        <w:rPr>
          <w:rFonts w:ascii="Arial" w:eastAsiaTheme="minorEastAsia" w:hAnsi="Arial" w:cs="Arial"/>
          <w:color w:val="3E3E3E"/>
          <w:sz w:val="22"/>
          <w:szCs w:val="22"/>
          <w:lang w:eastAsia="zh-CN"/>
        </w:rPr>
        <w:t xml:space="preserve"> </w:t>
      </w:r>
      <w:r w:rsidRPr="00C83682">
        <w:rPr>
          <w:rFonts w:ascii="Arial" w:eastAsiaTheme="minorEastAsia" w:hAnsi="Arial" w:cs="Arial"/>
          <w:color w:val="3E3E3E"/>
          <w:sz w:val="22"/>
          <w:szCs w:val="22"/>
          <w:lang w:eastAsia="zh-CN"/>
        </w:rPr>
        <w:t>Disney+ will have the advantage of both new and library exclusive premium content from its Disney, Star Wars, Marvel, Pixar, and National Geographic studios.</w:t>
      </w:r>
    </w:p>
    <w:p w14:paraId="3AFB93A6" w14:textId="763564AD" w:rsidR="003C45E4" w:rsidRDefault="00EF1AE2" w:rsidP="00C83682">
      <w:pPr>
        <w:autoSpaceDE w:val="0"/>
        <w:autoSpaceDN w:val="0"/>
        <w:adjustRightInd w:val="0"/>
        <w:jc w:val="both"/>
        <w:rPr>
          <w:rFonts w:ascii="Arial" w:eastAsiaTheme="minorEastAsia" w:hAnsi="Arial" w:cs="Arial"/>
          <w:color w:val="3E3E3E"/>
          <w:sz w:val="22"/>
          <w:szCs w:val="22"/>
          <w:lang w:eastAsia="zh-CN"/>
        </w:rPr>
      </w:pPr>
      <w:r w:rsidRPr="00C83682">
        <w:rPr>
          <w:rFonts w:ascii="Arial" w:eastAsiaTheme="minorEastAsia" w:hAnsi="Arial" w:cs="Arial"/>
          <w:color w:val="3E3E3E"/>
          <w:sz w:val="22"/>
          <w:szCs w:val="22"/>
          <w:lang w:eastAsia="zh-CN"/>
        </w:rPr>
        <w:t xml:space="preserve"> </w:t>
      </w:r>
    </w:p>
    <w:p w14:paraId="5ECFB312" w14:textId="5D75ED9D" w:rsidR="003C45E4" w:rsidRDefault="003C45E4" w:rsidP="00C83682">
      <w:p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color w:val="3E3E3E"/>
          <w:sz w:val="22"/>
          <w:szCs w:val="22"/>
          <w:lang w:eastAsia="zh-CN"/>
        </w:rPr>
        <w:t>They are</w:t>
      </w:r>
      <w:r w:rsidR="00EF1AE2" w:rsidRPr="00C83682">
        <w:rPr>
          <w:rFonts w:ascii="Arial" w:eastAsiaTheme="minorEastAsia" w:hAnsi="Arial" w:cs="Arial"/>
          <w:color w:val="3E3E3E"/>
          <w:sz w:val="22"/>
          <w:szCs w:val="22"/>
          <w:lang w:eastAsia="zh-CN"/>
        </w:rPr>
        <w:t xml:space="preserve"> also planning a discounted bundle price for all three of its streaming services which could make for an even more compelling offer as Disney's ESPN+ service provides exclusive sports viewing, something that neither Netflix nor Prime Video do.</w:t>
      </w:r>
      <w:r>
        <w:rPr>
          <w:rFonts w:ascii="Arial" w:eastAsiaTheme="minorEastAsia" w:hAnsi="Arial" w:cs="Arial"/>
          <w:color w:val="3E3E3E"/>
          <w:sz w:val="22"/>
          <w:szCs w:val="22"/>
          <w:lang w:eastAsia="zh-CN"/>
        </w:rPr>
        <w:t xml:space="preserve"> </w:t>
      </w:r>
      <w:r w:rsidR="00EF1AE2" w:rsidRPr="00C83682">
        <w:rPr>
          <w:rFonts w:ascii="Arial" w:eastAsiaTheme="minorEastAsia" w:hAnsi="Arial" w:cs="Arial"/>
          <w:color w:val="3E3E3E"/>
          <w:sz w:val="22"/>
          <w:szCs w:val="22"/>
          <w:lang w:eastAsia="zh-CN"/>
        </w:rPr>
        <w:t xml:space="preserve">ESPN+ with 2 million subscribers already, can expect operating losses of $650 million in FY19 and FY20 and to break into profitability in FY23. Management projects that Hulu with 25 million paid subscribers will grow its subscriber base to 40 million to 60 million in FY24. Peak operating losses of $1.5 billion are expected from Hulu in the current FY19 with profitability in FY23 or FY24. </w:t>
      </w:r>
    </w:p>
    <w:p w14:paraId="16AF204A" w14:textId="77777777" w:rsidR="003C45E4" w:rsidRDefault="003C45E4" w:rsidP="00C83682">
      <w:pPr>
        <w:autoSpaceDE w:val="0"/>
        <w:autoSpaceDN w:val="0"/>
        <w:adjustRightInd w:val="0"/>
        <w:jc w:val="both"/>
        <w:rPr>
          <w:rFonts w:ascii="Arial" w:eastAsiaTheme="minorEastAsia" w:hAnsi="Arial" w:cs="Arial"/>
          <w:color w:val="3E3E3E"/>
          <w:sz w:val="22"/>
          <w:szCs w:val="22"/>
          <w:lang w:eastAsia="zh-CN"/>
        </w:rPr>
      </w:pPr>
    </w:p>
    <w:p w14:paraId="40B024A0" w14:textId="03C9414A" w:rsidR="00EF1AE2" w:rsidRPr="00C83682" w:rsidRDefault="00EF1AE2" w:rsidP="003C45E4">
      <w:pPr>
        <w:autoSpaceDE w:val="0"/>
        <w:autoSpaceDN w:val="0"/>
        <w:adjustRightInd w:val="0"/>
        <w:jc w:val="both"/>
        <w:rPr>
          <w:rFonts w:ascii="Arial" w:eastAsiaTheme="minorEastAsia" w:hAnsi="Arial" w:cs="Arial"/>
          <w:color w:val="3E3E3E"/>
          <w:sz w:val="22"/>
          <w:szCs w:val="22"/>
          <w:lang w:eastAsia="zh-CN"/>
        </w:rPr>
      </w:pPr>
      <w:r w:rsidRPr="00C83682">
        <w:rPr>
          <w:rFonts w:ascii="Arial" w:eastAsiaTheme="minorEastAsia" w:hAnsi="Arial" w:cs="Arial"/>
          <w:color w:val="3E3E3E"/>
          <w:sz w:val="22"/>
          <w:szCs w:val="22"/>
          <w:lang w:eastAsia="zh-CN"/>
        </w:rPr>
        <w:t>On April 15, AT&amp;T announced that it had sold its 9.5% interest in Hulu (originally purchased by Time Warner) back to Hulu for $1.43 billion. This sale values all of Hulu at $15 billion.</w:t>
      </w:r>
      <w:r w:rsidR="003C45E4">
        <w:rPr>
          <w:rFonts w:ascii="Arial" w:eastAsiaTheme="minorEastAsia" w:hAnsi="Arial" w:cs="Arial"/>
          <w:color w:val="3E3E3E"/>
          <w:sz w:val="22"/>
          <w:szCs w:val="22"/>
          <w:lang w:eastAsia="zh-CN"/>
        </w:rPr>
        <w:t xml:space="preserve"> </w:t>
      </w:r>
      <w:r w:rsidRPr="00C83682">
        <w:rPr>
          <w:rFonts w:ascii="Arial" w:eastAsiaTheme="minorEastAsia" w:hAnsi="Arial" w:cs="Arial"/>
          <w:color w:val="3E3E3E"/>
          <w:sz w:val="22"/>
          <w:szCs w:val="22"/>
          <w:lang w:eastAsia="zh-CN"/>
        </w:rPr>
        <w:t>The remaining owners of Hulu, Disney at 60% and Comcast at 30% are to negotiate how to divide AT&amp;T's interest though we think this is only preparatory to a sale of Comcast's interest to Disney also since Comcast already has no management interest in Hulu. Disney CEO Bob Iger</w:t>
      </w:r>
      <w:r w:rsidR="003C45E4">
        <w:rPr>
          <w:rFonts w:ascii="Arial" w:eastAsiaTheme="minorEastAsia" w:hAnsi="Arial" w:cs="Arial"/>
          <w:color w:val="3E3E3E"/>
          <w:sz w:val="22"/>
          <w:szCs w:val="22"/>
          <w:lang w:eastAsia="zh-CN"/>
        </w:rPr>
        <w:t>, who confirmed his tenure will end in December 2021,</w:t>
      </w:r>
      <w:r w:rsidRPr="00C83682">
        <w:rPr>
          <w:rFonts w:ascii="Arial" w:eastAsiaTheme="minorEastAsia" w:hAnsi="Arial" w:cs="Arial"/>
          <w:color w:val="3E3E3E"/>
          <w:sz w:val="22"/>
          <w:szCs w:val="22"/>
          <w:lang w:eastAsia="zh-CN"/>
        </w:rPr>
        <w:t xml:space="preserve"> has expressed an interest in acquiring all of Hulu. </w:t>
      </w:r>
      <w:r w:rsidR="003C45E4">
        <w:rPr>
          <w:rFonts w:ascii="Arial" w:eastAsiaTheme="minorEastAsia" w:hAnsi="Arial" w:cs="Arial"/>
          <w:color w:val="3E3E3E"/>
          <w:sz w:val="22"/>
          <w:szCs w:val="22"/>
          <w:lang w:eastAsia="zh-CN"/>
        </w:rPr>
        <w:t>I</w:t>
      </w:r>
      <w:r w:rsidRPr="00C83682">
        <w:rPr>
          <w:rFonts w:ascii="Arial" w:eastAsiaTheme="minorEastAsia" w:hAnsi="Arial" w:cs="Arial"/>
          <w:color w:val="3E3E3E"/>
          <w:sz w:val="22"/>
          <w:szCs w:val="22"/>
          <w:lang w:eastAsia="zh-CN"/>
        </w:rPr>
        <w:t xml:space="preserve">t </w:t>
      </w:r>
      <w:r w:rsidR="003C45E4">
        <w:rPr>
          <w:rFonts w:ascii="Arial" w:eastAsiaTheme="minorEastAsia" w:hAnsi="Arial" w:cs="Arial"/>
          <w:color w:val="3E3E3E"/>
          <w:sz w:val="22"/>
          <w:szCs w:val="22"/>
          <w:lang w:eastAsia="zh-CN"/>
        </w:rPr>
        <w:t>appears</w:t>
      </w:r>
      <w:r w:rsidRPr="00C83682">
        <w:rPr>
          <w:rFonts w:ascii="Arial" w:eastAsiaTheme="minorEastAsia" w:hAnsi="Arial" w:cs="Arial"/>
          <w:color w:val="3E3E3E"/>
          <w:sz w:val="22"/>
          <w:szCs w:val="22"/>
          <w:lang w:eastAsia="zh-CN"/>
        </w:rPr>
        <w:t xml:space="preserve"> that DTCI Chairman Keven Mayer is the heir apparent. However, much will depend upon the success of Disney's DTCI initiative and the traction that Disney+, Hulu, and ESPN+ are able to generate in the media marketplace.</w:t>
      </w:r>
    </w:p>
    <w:p w14:paraId="4C919E7B" w14:textId="77777777" w:rsidR="00DF6C2C" w:rsidRPr="007935E0" w:rsidRDefault="00DF6C2C" w:rsidP="00DF6C2C">
      <w:pPr>
        <w:rPr>
          <w:rFonts w:ascii="Arial" w:hAnsi="Arial" w:cs="Arial"/>
          <w:noProof/>
          <w:sz w:val="16"/>
          <w:szCs w:val="16"/>
        </w:rPr>
      </w:pPr>
    </w:p>
    <w:p w14:paraId="70044F5B" w14:textId="3500BD07" w:rsidR="00DF6C2C" w:rsidRPr="00FB0D64" w:rsidRDefault="00DF6C2C" w:rsidP="00DF6C2C">
      <w:pPr>
        <w:rPr>
          <w:rFonts w:ascii="Arial" w:hAnsi="Arial" w:cs="Arial"/>
          <w:b/>
          <w:noProof/>
          <w:color w:val="002060"/>
          <w:sz w:val="32"/>
          <w:szCs w:val="32"/>
        </w:rPr>
      </w:pPr>
      <w:r w:rsidRPr="00FB0D64">
        <w:rPr>
          <w:rFonts w:ascii="Arial" w:hAnsi="Arial" w:cs="Arial"/>
          <w:b/>
          <w:noProof/>
          <w:color w:val="002060"/>
          <w:sz w:val="32"/>
          <w:szCs w:val="32"/>
        </w:rPr>
        <w:t xml:space="preserve">Industry </w:t>
      </w:r>
      <w:r w:rsidR="00F32814">
        <w:rPr>
          <w:rFonts w:ascii="Arial" w:hAnsi="Arial" w:cs="Arial"/>
          <w:b/>
          <w:noProof/>
          <w:color w:val="002060"/>
          <w:sz w:val="32"/>
          <w:szCs w:val="32"/>
        </w:rPr>
        <w:t>Overview</w:t>
      </w:r>
      <w:r w:rsidRPr="00FB0D64">
        <w:rPr>
          <w:rFonts w:ascii="Arial" w:hAnsi="Arial" w:cs="Arial"/>
          <w:b/>
          <w:noProof/>
          <w:color w:val="002060"/>
          <w:sz w:val="32"/>
          <w:szCs w:val="32"/>
        </w:rPr>
        <w:t>:</w:t>
      </w:r>
      <w:r w:rsidR="00EF1AE2" w:rsidRPr="00FB0D64">
        <w:rPr>
          <w:rFonts w:ascii="Arial" w:hAnsi="Arial" w:cs="Arial"/>
          <w:b/>
          <w:noProof/>
          <w:color w:val="002060"/>
          <w:sz w:val="32"/>
          <w:szCs w:val="32"/>
        </w:rPr>
        <w:t xml:space="preserve"> Communication Services</w:t>
      </w:r>
    </w:p>
    <w:p w14:paraId="706545C6" w14:textId="147AF696" w:rsidR="00DF6C2C" w:rsidRPr="007935E0" w:rsidRDefault="00DF6C2C" w:rsidP="00DF6C2C">
      <w:pPr>
        <w:rPr>
          <w:rFonts w:ascii="Arial" w:hAnsi="Arial" w:cs="Arial"/>
          <w:noProof/>
          <w:sz w:val="16"/>
          <w:szCs w:val="16"/>
        </w:rPr>
      </w:pPr>
    </w:p>
    <w:p w14:paraId="6A29613B" w14:textId="06618B1A" w:rsidR="00DF6C2C" w:rsidRPr="009F5CA4" w:rsidRDefault="00EF1AE2" w:rsidP="009F5CA4">
      <w:pPr>
        <w:autoSpaceDE w:val="0"/>
        <w:autoSpaceDN w:val="0"/>
        <w:adjustRightInd w:val="0"/>
        <w:jc w:val="both"/>
        <w:rPr>
          <w:rFonts w:ascii="Arial" w:eastAsiaTheme="minorEastAsia" w:hAnsi="Arial" w:cs="Arial"/>
          <w:color w:val="auto"/>
          <w:sz w:val="22"/>
          <w:szCs w:val="22"/>
          <w:lang w:eastAsia="zh-CN"/>
        </w:rPr>
      </w:pPr>
      <w:r w:rsidRPr="009F5CA4">
        <w:rPr>
          <w:noProof/>
          <w:sz w:val="22"/>
          <w:szCs w:val="22"/>
        </w:rPr>
        <w:drawing>
          <wp:anchor distT="0" distB="0" distL="114300" distR="114300" simplePos="0" relativeHeight="251742208" behindDoc="0" locked="0" layoutInCell="1" allowOverlap="1" wp14:anchorId="625F4088" wp14:editId="5CCC0788">
            <wp:simplePos x="0" y="0"/>
            <wp:positionH relativeFrom="margin">
              <wp:align>right</wp:align>
            </wp:positionH>
            <wp:positionV relativeFrom="paragraph">
              <wp:posOffset>8255</wp:posOffset>
            </wp:positionV>
            <wp:extent cx="3524250" cy="1720850"/>
            <wp:effectExtent l="0" t="0" r="0" b="0"/>
            <wp:wrapSquare wrapText="bothSides"/>
            <wp:docPr id="357" name="Chart 357">
              <a:extLst xmlns:a="http://schemas.openxmlformats.org/drawingml/2006/main">
                <a:ext uri="{FF2B5EF4-FFF2-40B4-BE49-F238E27FC236}">
                  <a16:creationId xmlns:a16="http://schemas.microsoft.com/office/drawing/2014/main" id="{599998B2-2A88-4318-9F1F-019D77AE2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F6C2C" w:rsidRPr="009F5CA4">
        <w:rPr>
          <w:rFonts w:ascii="Arial" w:eastAsiaTheme="minorEastAsia" w:hAnsi="Arial" w:cs="Arial"/>
          <w:color w:val="auto"/>
          <w:sz w:val="22"/>
          <w:szCs w:val="22"/>
          <w:lang w:eastAsia="zh-CN"/>
        </w:rPr>
        <w:t>The Communication Services sector, developed by MSCI and S&amp;P Dow Jones, launched on 9/24/18.</w:t>
      </w:r>
      <w:r w:rsidR="009F5CA4">
        <w:rPr>
          <w:rFonts w:ascii="Arial" w:eastAsiaTheme="minorEastAsia" w:hAnsi="Arial" w:cs="Arial"/>
          <w:color w:val="auto"/>
          <w:sz w:val="22"/>
          <w:szCs w:val="22"/>
          <w:lang w:eastAsia="zh-CN"/>
        </w:rPr>
        <w:t xml:space="preserve"> T</w:t>
      </w:r>
      <w:r w:rsidR="00DF6C2C" w:rsidRPr="009F5CA4">
        <w:rPr>
          <w:rFonts w:ascii="Arial" w:eastAsiaTheme="minorEastAsia" w:hAnsi="Arial" w:cs="Arial"/>
          <w:color w:val="auto"/>
          <w:sz w:val="22"/>
          <w:szCs w:val="22"/>
          <w:lang w:eastAsia="zh-CN"/>
        </w:rPr>
        <w:t>he new sector delineation applies to all indices maintained by MSCI and S&amp;P Dow Jones, including the S&amp;P 500,</w:t>
      </w:r>
      <w:r w:rsidR="009F5CA4">
        <w:rPr>
          <w:rFonts w:ascii="Arial" w:eastAsiaTheme="minorEastAsia" w:hAnsi="Arial" w:cs="Arial"/>
          <w:color w:val="auto"/>
          <w:sz w:val="22"/>
          <w:szCs w:val="22"/>
          <w:lang w:eastAsia="zh-CN"/>
        </w:rPr>
        <w:t xml:space="preserve"> </w:t>
      </w:r>
      <w:r w:rsidR="00DF6C2C" w:rsidRPr="009F5CA4">
        <w:rPr>
          <w:rFonts w:ascii="Arial" w:eastAsiaTheme="minorEastAsia" w:hAnsi="Arial" w:cs="Arial"/>
          <w:color w:val="auto"/>
          <w:sz w:val="22"/>
          <w:szCs w:val="22"/>
          <w:lang w:eastAsia="zh-CN"/>
        </w:rPr>
        <w:t xml:space="preserve">as well as various domestic and global indices maintained by MSCI. The Communication Services sector </w:t>
      </w:r>
      <w:r w:rsidR="009F5CA4">
        <w:rPr>
          <w:rFonts w:ascii="Arial" w:eastAsiaTheme="minorEastAsia" w:hAnsi="Arial" w:cs="Arial"/>
          <w:color w:val="auto"/>
          <w:sz w:val="22"/>
          <w:szCs w:val="22"/>
          <w:lang w:eastAsia="zh-CN"/>
        </w:rPr>
        <w:t>a</w:t>
      </w:r>
      <w:r w:rsidR="00DF6C2C" w:rsidRPr="009F5CA4">
        <w:rPr>
          <w:rFonts w:ascii="Arial" w:eastAsiaTheme="minorEastAsia" w:hAnsi="Arial" w:cs="Arial"/>
          <w:color w:val="auto"/>
          <w:sz w:val="22"/>
          <w:szCs w:val="22"/>
          <w:lang w:eastAsia="zh-CN"/>
        </w:rPr>
        <w:t xml:space="preserve">ccounts for 10.2% of the S&amp;P 500, compared to 2.8% for Telecom in its final reading before the changeover. </w:t>
      </w:r>
    </w:p>
    <w:p w14:paraId="5083FF5B" w14:textId="17EEBF2E" w:rsidR="00DF6C2C" w:rsidRPr="009F5CA4" w:rsidRDefault="00DF6C2C" w:rsidP="009F5CA4">
      <w:pPr>
        <w:autoSpaceDE w:val="0"/>
        <w:autoSpaceDN w:val="0"/>
        <w:adjustRightInd w:val="0"/>
        <w:jc w:val="both"/>
        <w:rPr>
          <w:rFonts w:ascii="Arial" w:eastAsiaTheme="minorEastAsia" w:hAnsi="Arial" w:cs="Arial"/>
          <w:color w:val="auto"/>
          <w:sz w:val="22"/>
          <w:szCs w:val="22"/>
          <w:lang w:eastAsia="zh-CN"/>
        </w:rPr>
      </w:pPr>
    </w:p>
    <w:p w14:paraId="72E8279D" w14:textId="4072DFE4" w:rsidR="00DF6C2C" w:rsidRPr="009F5CA4" w:rsidRDefault="00EF1AE2" w:rsidP="009F5CA4">
      <w:pPr>
        <w:autoSpaceDE w:val="0"/>
        <w:autoSpaceDN w:val="0"/>
        <w:adjustRightInd w:val="0"/>
        <w:jc w:val="both"/>
        <w:rPr>
          <w:rFonts w:ascii="Arial" w:eastAsiaTheme="minorEastAsia" w:hAnsi="Arial" w:cs="Arial"/>
          <w:color w:val="auto"/>
          <w:sz w:val="22"/>
          <w:szCs w:val="22"/>
          <w:lang w:eastAsia="zh-CN"/>
        </w:rPr>
      </w:pPr>
      <w:r w:rsidRPr="009F5CA4">
        <w:rPr>
          <w:noProof/>
          <w:sz w:val="22"/>
          <w:szCs w:val="22"/>
        </w:rPr>
        <w:drawing>
          <wp:anchor distT="0" distB="0" distL="114300" distR="114300" simplePos="0" relativeHeight="251743232" behindDoc="0" locked="0" layoutInCell="1" allowOverlap="1" wp14:anchorId="7458AA7C" wp14:editId="59C8D1E3">
            <wp:simplePos x="0" y="0"/>
            <wp:positionH relativeFrom="margin">
              <wp:align>right</wp:align>
            </wp:positionH>
            <wp:positionV relativeFrom="paragraph">
              <wp:posOffset>161290</wp:posOffset>
            </wp:positionV>
            <wp:extent cx="3517900" cy="1930400"/>
            <wp:effectExtent l="0" t="0" r="6350" b="0"/>
            <wp:wrapSquare wrapText="bothSides"/>
            <wp:docPr id="358" name="Chart 358">
              <a:extLst xmlns:a="http://schemas.openxmlformats.org/drawingml/2006/main">
                <a:ext uri="{FF2B5EF4-FFF2-40B4-BE49-F238E27FC236}">
                  <a16:creationId xmlns:a16="http://schemas.microsoft.com/office/drawing/2014/main" id="{E6D09655-45C2-4008-AA23-E4A1DFCD9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F6C2C" w:rsidRPr="009F5CA4">
        <w:rPr>
          <w:rFonts w:ascii="Arial" w:eastAsiaTheme="minorEastAsia" w:hAnsi="Arial" w:cs="Arial"/>
          <w:color w:val="auto"/>
          <w:sz w:val="22"/>
          <w:szCs w:val="22"/>
          <w:lang w:eastAsia="zh-CN"/>
        </w:rPr>
        <w:t>The new sector includes two major subsectors: Media &amp; Entertainment (80% of sector weight) and Telecommunications Services (20% of sector weight). Media &amp; Entertainment includes Media (advertising, broadcasting, cable &amp; satellite, and publishing); Entertainment (movies &amp; entertainment, and interactive home entertainment); and Interactive Media &amp; Services, which includes search &amp; social media platforms. Telecom Services includes Diversified Telecom (alternative and integrated) and Wireless Telecom Services.</w:t>
      </w:r>
    </w:p>
    <w:p w14:paraId="4F449EE8" w14:textId="77777777" w:rsidR="00DF6C2C" w:rsidRPr="009F5CA4" w:rsidRDefault="00DF6C2C" w:rsidP="009F5CA4">
      <w:pPr>
        <w:autoSpaceDE w:val="0"/>
        <w:autoSpaceDN w:val="0"/>
        <w:adjustRightInd w:val="0"/>
        <w:jc w:val="both"/>
        <w:rPr>
          <w:rFonts w:ascii="Arial" w:eastAsiaTheme="minorEastAsia" w:hAnsi="Arial" w:cs="Arial"/>
          <w:color w:val="auto"/>
          <w:sz w:val="22"/>
          <w:szCs w:val="22"/>
          <w:lang w:eastAsia="zh-CN"/>
        </w:rPr>
      </w:pPr>
    </w:p>
    <w:p w14:paraId="16910147" w14:textId="7C3C7262" w:rsidR="00DF6C2C" w:rsidRPr="009F5CA4" w:rsidRDefault="00DF6C2C" w:rsidP="007C7757">
      <w:pPr>
        <w:autoSpaceDE w:val="0"/>
        <w:autoSpaceDN w:val="0"/>
        <w:adjustRightInd w:val="0"/>
        <w:spacing w:after="120"/>
        <w:jc w:val="both"/>
        <w:rPr>
          <w:rFonts w:ascii="Arial" w:eastAsiaTheme="minorEastAsia" w:hAnsi="Arial" w:cs="Arial"/>
          <w:color w:val="auto"/>
          <w:sz w:val="22"/>
          <w:szCs w:val="22"/>
          <w:lang w:eastAsia="zh-CN"/>
        </w:rPr>
      </w:pPr>
      <w:r w:rsidRPr="009F5CA4">
        <w:rPr>
          <w:rFonts w:ascii="Arial" w:eastAsiaTheme="minorEastAsia" w:hAnsi="Arial" w:cs="Arial"/>
          <w:color w:val="auto"/>
          <w:sz w:val="22"/>
          <w:szCs w:val="22"/>
          <w:lang w:eastAsia="zh-CN"/>
        </w:rPr>
        <w:t xml:space="preserve">Given the lack of historical performance data for the new sector, S&amp;P Dow Jones Indices performed pro forma back-testing over a 10-year period to determine the general characteristics of the new sector. The style mix is approximately one-third "value" and two-thirds "growth," while the Telecom sector was 100% value. The adjusted pro forma beta is approximately 1.1, compared to 0.7 for Telecom. The 10-year annualized total return for the sector on a hypothetical back-tested basis is 15.8%, compared to </w:t>
      </w:r>
      <w:r w:rsidR="009F5CA4">
        <w:rPr>
          <w:rFonts w:ascii="Arial" w:eastAsiaTheme="minorEastAsia" w:hAnsi="Arial" w:cs="Arial"/>
          <w:color w:val="auto"/>
          <w:sz w:val="22"/>
          <w:szCs w:val="22"/>
          <w:lang w:eastAsia="zh-CN"/>
        </w:rPr>
        <w:t>Telecom’s</w:t>
      </w:r>
      <w:r w:rsidRPr="009F5CA4">
        <w:rPr>
          <w:rFonts w:ascii="Arial" w:eastAsiaTheme="minorEastAsia" w:hAnsi="Arial" w:cs="Arial"/>
          <w:color w:val="auto"/>
          <w:sz w:val="22"/>
          <w:szCs w:val="22"/>
          <w:lang w:eastAsia="zh-CN"/>
        </w:rPr>
        <w:t xml:space="preserve"> actual </w:t>
      </w:r>
      <w:r w:rsidR="009F5CA4">
        <w:rPr>
          <w:rFonts w:ascii="Arial" w:eastAsiaTheme="minorEastAsia" w:hAnsi="Arial" w:cs="Arial"/>
          <w:color w:val="auto"/>
          <w:sz w:val="22"/>
          <w:szCs w:val="22"/>
          <w:lang w:eastAsia="zh-CN"/>
        </w:rPr>
        <w:t xml:space="preserve">of </w:t>
      </w:r>
      <w:r w:rsidRPr="009F5CA4">
        <w:rPr>
          <w:rFonts w:ascii="Arial" w:eastAsiaTheme="minorEastAsia" w:hAnsi="Arial" w:cs="Arial"/>
          <w:color w:val="auto"/>
          <w:sz w:val="22"/>
          <w:szCs w:val="22"/>
          <w:lang w:eastAsia="zh-CN"/>
        </w:rPr>
        <w:t xml:space="preserve">3.5%. </w:t>
      </w:r>
    </w:p>
    <w:p w14:paraId="59CA66F9" w14:textId="3B14DFE6" w:rsidR="00812AED" w:rsidRDefault="00DF6C2C">
      <w:pPr>
        <w:rPr>
          <w:noProof/>
        </w:rPr>
      </w:pPr>
      <w:r>
        <w:rPr>
          <w:noProof/>
        </w:rPr>
        <w:drawing>
          <wp:inline distT="0" distB="0" distL="0" distR="0" wp14:anchorId="63C96D01" wp14:editId="5F093897">
            <wp:extent cx="6591300" cy="12981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85184" cy="1336304"/>
                    </a:xfrm>
                    <a:prstGeom prst="rect">
                      <a:avLst/>
                    </a:prstGeom>
                  </pic:spPr>
                </pic:pic>
              </a:graphicData>
            </a:graphic>
          </wp:inline>
        </w:drawing>
      </w:r>
    </w:p>
    <w:p w14:paraId="72C2473C" w14:textId="77777777" w:rsidR="00D01D00" w:rsidRPr="007C7757" w:rsidRDefault="00D01D00">
      <w:pPr>
        <w:rPr>
          <w:rFonts w:ascii="Arial" w:hAnsi="Arial" w:cs="Arial"/>
          <w:noProof/>
          <w:sz w:val="10"/>
          <w:szCs w:val="10"/>
        </w:rPr>
      </w:pPr>
    </w:p>
    <w:p w14:paraId="2ADE3D18" w14:textId="14BB7BEC" w:rsidR="00D01D00" w:rsidRPr="009F5CA4" w:rsidRDefault="00D01D00" w:rsidP="007C7757">
      <w:pPr>
        <w:spacing w:after="120"/>
        <w:rPr>
          <w:rFonts w:ascii="Arial" w:hAnsi="Arial" w:cs="Arial"/>
          <w:noProof/>
          <w:sz w:val="22"/>
          <w:szCs w:val="22"/>
        </w:rPr>
      </w:pPr>
      <w:r w:rsidRPr="009F5CA4">
        <w:rPr>
          <w:rFonts w:ascii="Arial" w:hAnsi="Arial" w:cs="Arial"/>
          <w:noProof/>
          <w:sz w:val="22"/>
          <w:szCs w:val="22"/>
        </w:rPr>
        <w:t xml:space="preserve">The chart </w:t>
      </w:r>
      <w:r w:rsidR="009F5CA4">
        <w:rPr>
          <w:rFonts w:ascii="Arial" w:hAnsi="Arial" w:cs="Arial"/>
          <w:noProof/>
          <w:sz w:val="22"/>
          <w:szCs w:val="22"/>
        </w:rPr>
        <w:t xml:space="preserve">below </w:t>
      </w:r>
      <w:r w:rsidRPr="009F5CA4">
        <w:rPr>
          <w:rFonts w:ascii="Arial" w:hAnsi="Arial" w:cs="Arial"/>
          <w:noProof/>
          <w:sz w:val="22"/>
          <w:szCs w:val="22"/>
        </w:rPr>
        <w:t xml:space="preserve">shows </w:t>
      </w:r>
      <w:r w:rsidR="009F5CA4">
        <w:rPr>
          <w:rFonts w:ascii="Arial" w:hAnsi="Arial" w:cs="Arial"/>
          <w:noProof/>
          <w:sz w:val="22"/>
          <w:szCs w:val="22"/>
        </w:rPr>
        <w:t>one</w:t>
      </w:r>
      <w:r w:rsidRPr="009F5CA4">
        <w:rPr>
          <w:rFonts w:ascii="Arial" w:hAnsi="Arial" w:cs="Arial"/>
          <w:noProof/>
          <w:sz w:val="22"/>
          <w:szCs w:val="22"/>
        </w:rPr>
        <w:t xml:space="preserve"> year performance of Disney versus S&amp;P 500 Index (SPX) and the Communication Services ETF (XLC).  Disney has outperformed both indices over the past year by a significant margin.</w:t>
      </w:r>
    </w:p>
    <w:p w14:paraId="75EAF710" w14:textId="169D0411" w:rsidR="00812AED" w:rsidRDefault="00EF1AE2" w:rsidP="007C7757">
      <w:pPr>
        <w:jc w:val="center"/>
        <w:rPr>
          <w:noProof/>
        </w:rPr>
      </w:pPr>
      <w:r>
        <w:rPr>
          <w:noProof/>
        </w:rPr>
        <w:drawing>
          <wp:inline distT="0" distB="0" distL="0" distR="0" wp14:anchorId="20B1B514" wp14:editId="72226B33">
            <wp:extent cx="655942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11524" cy="2611380"/>
                    </a:xfrm>
                    <a:prstGeom prst="rect">
                      <a:avLst/>
                    </a:prstGeom>
                  </pic:spPr>
                </pic:pic>
              </a:graphicData>
            </a:graphic>
          </wp:inline>
        </w:drawing>
      </w:r>
    </w:p>
    <w:p w14:paraId="0C326B8A" w14:textId="77777777" w:rsidR="007C7757" w:rsidRPr="002750D0" w:rsidRDefault="007C7757" w:rsidP="00812AED">
      <w:pPr>
        <w:rPr>
          <w:rFonts w:ascii="Arial" w:hAnsi="Arial" w:cs="Arial"/>
          <w:b/>
          <w:noProof/>
          <w:color w:val="002060"/>
          <w:sz w:val="22"/>
          <w:szCs w:val="22"/>
        </w:rPr>
      </w:pPr>
    </w:p>
    <w:p w14:paraId="169BA411" w14:textId="0941C799" w:rsidR="00812AED" w:rsidRPr="00FB0D64" w:rsidRDefault="00812AED" w:rsidP="00812AED">
      <w:pPr>
        <w:rPr>
          <w:rFonts w:ascii="Arial" w:hAnsi="Arial" w:cs="Arial"/>
          <w:b/>
          <w:noProof/>
          <w:color w:val="002060"/>
          <w:sz w:val="32"/>
          <w:szCs w:val="32"/>
        </w:rPr>
      </w:pPr>
      <w:r w:rsidRPr="00FB0D64">
        <w:rPr>
          <w:rFonts w:ascii="Arial" w:hAnsi="Arial" w:cs="Arial"/>
          <w:b/>
          <w:noProof/>
          <w:color w:val="002060"/>
          <w:sz w:val="32"/>
          <w:szCs w:val="32"/>
        </w:rPr>
        <w:t>Investment Thesis</w:t>
      </w:r>
    </w:p>
    <w:p w14:paraId="6BF1DFDD" w14:textId="2FB79B3E" w:rsidR="00812AED" w:rsidRPr="002750D0" w:rsidRDefault="00812AED" w:rsidP="00812AED">
      <w:pPr>
        <w:rPr>
          <w:rFonts w:ascii="Arial" w:hAnsi="Arial" w:cs="Arial"/>
          <w:noProof/>
          <w:sz w:val="22"/>
          <w:szCs w:val="22"/>
        </w:rPr>
      </w:pPr>
    </w:p>
    <w:p w14:paraId="39260A43" w14:textId="0A5765B8" w:rsidR="00812AED" w:rsidRPr="002750D0" w:rsidRDefault="00812AED" w:rsidP="002750D0">
      <w:pPr>
        <w:autoSpaceDE w:val="0"/>
        <w:autoSpaceDN w:val="0"/>
        <w:adjustRightInd w:val="0"/>
        <w:jc w:val="both"/>
        <w:rPr>
          <w:rFonts w:ascii="Arial" w:eastAsiaTheme="minorEastAsia" w:hAnsi="Arial" w:cs="Arial"/>
          <w:b/>
          <w:color w:val="3E3E3E"/>
          <w:sz w:val="22"/>
          <w:szCs w:val="22"/>
          <w:lang w:eastAsia="zh-CN"/>
        </w:rPr>
      </w:pPr>
      <w:r w:rsidRPr="002750D0">
        <w:rPr>
          <w:rFonts w:ascii="Arial" w:eastAsiaTheme="minorEastAsia" w:hAnsi="Arial" w:cs="Arial"/>
          <w:b/>
          <w:color w:val="3E3E3E"/>
          <w:sz w:val="22"/>
          <w:szCs w:val="22"/>
          <w:lang w:eastAsia="zh-CN"/>
        </w:rPr>
        <w:t>C</w:t>
      </w:r>
      <w:r w:rsidR="002750D0">
        <w:rPr>
          <w:rFonts w:ascii="Arial" w:eastAsiaTheme="minorEastAsia" w:hAnsi="Arial" w:cs="Arial"/>
          <w:b/>
          <w:color w:val="3E3E3E"/>
          <w:sz w:val="22"/>
          <w:szCs w:val="22"/>
          <w:lang w:eastAsia="zh-CN"/>
        </w:rPr>
        <w:t>ATALYSTS</w:t>
      </w:r>
    </w:p>
    <w:p w14:paraId="59359A86" w14:textId="2D41D823" w:rsidR="002750D0" w:rsidRDefault="000155C2" w:rsidP="002750D0">
      <w:pPr>
        <w:autoSpaceDE w:val="0"/>
        <w:autoSpaceDN w:val="0"/>
        <w:adjustRightInd w:val="0"/>
        <w:jc w:val="both"/>
        <w:rPr>
          <w:rFonts w:ascii="Arial" w:eastAsiaTheme="minorEastAsia" w:hAnsi="Arial" w:cs="Arial"/>
          <w:color w:val="3E3E3E"/>
          <w:sz w:val="22"/>
          <w:szCs w:val="22"/>
          <w:lang w:eastAsia="zh-CN"/>
        </w:rPr>
      </w:pPr>
      <w:r w:rsidRPr="002750D0">
        <w:rPr>
          <w:noProof/>
          <w:sz w:val="22"/>
          <w:szCs w:val="22"/>
        </w:rPr>
        <w:drawing>
          <wp:anchor distT="0" distB="0" distL="114300" distR="114300" simplePos="0" relativeHeight="251745280" behindDoc="0" locked="0" layoutInCell="1" allowOverlap="1" wp14:anchorId="627D1895" wp14:editId="6D83885A">
            <wp:simplePos x="0" y="0"/>
            <wp:positionH relativeFrom="margin">
              <wp:align>right</wp:align>
            </wp:positionH>
            <wp:positionV relativeFrom="paragraph">
              <wp:posOffset>52070</wp:posOffset>
            </wp:positionV>
            <wp:extent cx="2112645" cy="22479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12645" cy="22479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color w:val="3E3E3E"/>
          <w:sz w:val="22"/>
          <w:szCs w:val="22"/>
          <w:lang w:eastAsia="zh-CN"/>
        </w:rPr>
        <w:t>The basis of our investment thesis is based on our belief that the below catalysts will drive future growth in the company and will generate returns above the cost of capital.  There is also strong sentiment in the short, mid and long-term horizons as evidenced by Recognia based on its algorithm that tracks investor optimism and activity in the stock.</w:t>
      </w:r>
    </w:p>
    <w:p w14:paraId="1985E7B2" w14:textId="53F686EF" w:rsidR="002750D0" w:rsidRPr="002750D0" w:rsidRDefault="002750D0" w:rsidP="002750D0">
      <w:pPr>
        <w:pStyle w:val="ListParagraph"/>
        <w:numPr>
          <w:ilvl w:val="0"/>
          <w:numId w:val="2"/>
        </w:numPr>
        <w:autoSpaceDE w:val="0"/>
        <w:autoSpaceDN w:val="0"/>
        <w:adjustRightInd w:val="0"/>
        <w:jc w:val="both"/>
        <w:rPr>
          <w:rFonts w:ascii="Arial" w:eastAsiaTheme="minorEastAsia" w:hAnsi="Arial" w:cs="Arial"/>
          <w:color w:val="3E3E3E"/>
          <w:sz w:val="22"/>
          <w:szCs w:val="22"/>
          <w:lang w:eastAsia="zh-CN"/>
        </w:rPr>
      </w:pPr>
      <w:r w:rsidRPr="002750D0">
        <w:rPr>
          <w:rFonts w:ascii="Arial" w:eastAsiaTheme="minorEastAsia" w:hAnsi="Arial" w:cs="Arial"/>
          <w:b/>
          <w:color w:val="002060"/>
          <w:sz w:val="22"/>
          <w:szCs w:val="22"/>
          <w:lang w:eastAsia="zh-CN"/>
        </w:rPr>
        <w:t>21</w:t>
      </w:r>
      <w:r w:rsidRPr="002750D0">
        <w:rPr>
          <w:rFonts w:ascii="Arial" w:eastAsiaTheme="minorEastAsia" w:hAnsi="Arial" w:cs="Arial"/>
          <w:b/>
          <w:color w:val="002060"/>
          <w:sz w:val="22"/>
          <w:szCs w:val="22"/>
          <w:vertAlign w:val="superscript"/>
          <w:lang w:eastAsia="zh-CN"/>
        </w:rPr>
        <w:t>st</w:t>
      </w:r>
      <w:r w:rsidRPr="002750D0">
        <w:rPr>
          <w:rFonts w:ascii="Arial" w:eastAsiaTheme="minorEastAsia" w:hAnsi="Arial" w:cs="Arial"/>
          <w:b/>
          <w:color w:val="002060"/>
          <w:sz w:val="22"/>
          <w:szCs w:val="22"/>
          <w:lang w:eastAsia="zh-CN"/>
        </w:rPr>
        <w:t xml:space="preserve"> Century Fox Acquisition</w:t>
      </w:r>
    </w:p>
    <w:p w14:paraId="5B4D46FA" w14:textId="39F65CB5" w:rsidR="002750D0" w:rsidRPr="002750D0" w:rsidRDefault="000155C2" w:rsidP="002750D0">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Pr>
          <w:noProof/>
        </w:rPr>
        <w:drawing>
          <wp:anchor distT="0" distB="0" distL="114300" distR="114300" simplePos="0" relativeHeight="251751424" behindDoc="1" locked="0" layoutInCell="1" allowOverlap="1" wp14:anchorId="247A801E" wp14:editId="451E1D28">
            <wp:simplePos x="0" y="0"/>
            <wp:positionH relativeFrom="margin">
              <wp:align>right</wp:align>
            </wp:positionH>
            <wp:positionV relativeFrom="paragraph">
              <wp:posOffset>1527175</wp:posOffset>
            </wp:positionV>
            <wp:extent cx="2336800" cy="1386840"/>
            <wp:effectExtent l="0" t="0" r="6350" b="3810"/>
            <wp:wrapTight wrapText="bothSides">
              <wp:wrapPolygon edited="0">
                <wp:start x="0" y="0"/>
                <wp:lineTo x="0" y="21363"/>
                <wp:lineTo x="21483" y="21363"/>
                <wp:lineTo x="21483"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800" cy="1386840"/>
                    </a:xfrm>
                    <a:prstGeom prst="rect">
                      <a:avLst/>
                    </a:prstGeom>
                    <a:noFill/>
                    <a:ln>
                      <a:noFill/>
                    </a:ln>
                  </pic:spPr>
                </pic:pic>
              </a:graphicData>
            </a:graphic>
          </wp:anchor>
        </w:drawing>
      </w:r>
      <w:r w:rsidR="002750D0" w:rsidRPr="002750D0">
        <w:rPr>
          <w:rFonts w:ascii="Arial" w:eastAsiaTheme="minorEastAsia" w:hAnsi="Arial" w:cs="Arial"/>
          <w:color w:val="3E3E3E"/>
          <w:sz w:val="22"/>
          <w:szCs w:val="22"/>
          <w:lang w:eastAsia="zh-CN"/>
        </w:rPr>
        <w:t>Disney completed the acquisition of Twenty-First Century Fox</w:t>
      </w:r>
      <w:r w:rsidR="002750D0">
        <w:rPr>
          <w:rFonts w:ascii="Arial" w:eastAsiaTheme="minorEastAsia" w:hAnsi="Arial" w:cs="Arial"/>
          <w:color w:val="3E3E3E"/>
          <w:sz w:val="22"/>
          <w:szCs w:val="22"/>
          <w:lang w:eastAsia="zh-CN"/>
        </w:rPr>
        <w:t xml:space="preserve"> on March 20, 2019</w:t>
      </w:r>
      <w:r w:rsidR="002750D0" w:rsidRPr="002750D0">
        <w:rPr>
          <w:rFonts w:ascii="Arial" w:eastAsiaTheme="minorEastAsia" w:hAnsi="Arial" w:cs="Arial"/>
          <w:color w:val="3E3E3E"/>
          <w:sz w:val="22"/>
          <w:szCs w:val="22"/>
          <w:lang w:eastAsia="zh-CN"/>
        </w:rPr>
        <w:t>. The majority of Fox’s</w:t>
      </w:r>
      <w:r w:rsidR="002750D0" w:rsidRPr="002750D0">
        <w:rPr>
          <w:noProof/>
          <w:sz w:val="22"/>
          <w:szCs w:val="22"/>
        </w:rPr>
        <w:t xml:space="preserve"> </w:t>
      </w:r>
      <w:r w:rsidR="002750D0" w:rsidRPr="002750D0">
        <w:rPr>
          <w:rFonts w:ascii="Arial" w:eastAsiaTheme="minorEastAsia" w:hAnsi="Arial" w:cs="Arial"/>
          <w:color w:val="3E3E3E"/>
          <w:sz w:val="22"/>
          <w:szCs w:val="22"/>
          <w:lang w:eastAsia="zh-CN"/>
        </w:rPr>
        <w:t>assets acquired contribute</w:t>
      </w:r>
      <w:r w:rsidR="002750D0">
        <w:rPr>
          <w:rFonts w:ascii="Arial" w:eastAsiaTheme="minorEastAsia" w:hAnsi="Arial" w:cs="Arial"/>
          <w:color w:val="3E3E3E"/>
          <w:sz w:val="22"/>
          <w:szCs w:val="22"/>
          <w:lang w:eastAsia="zh-CN"/>
        </w:rPr>
        <w:t xml:space="preserve"> greatly</w:t>
      </w:r>
      <w:r w:rsidR="002750D0" w:rsidRPr="002750D0">
        <w:rPr>
          <w:rFonts w:ascii="Arial" w:eastAsiaTheme="minorEastAsia" w:hAnsi="Arial" w:cs="Arial"/>
          <w:color w:val="3E3E3E"/>
          <w:sz w:val="22"/>
          <w:szCs w:val="22"/>
          <w:lang w:eastAsia="zh-CN"/>
        </w:rPr>
        <w:t xml:space="preserve"> to Disney’s </w:t>
      </w:r>
      <w:r w:rsidR="002750D0">
        <w:rPr>
          <w:rFonts w:ascii="Arial" w:eastAsiaTheme="minorEastAsia" w:hAnsi="Arial" w:cs="Arial"/>
          <w:color w:val="3E3E3E"/>
          <w:sz w:val="22"/>
          <w:szCs w:val="22"/>
          <w:lang w:eastAsia="zh-CN"/>
        </w:rPr>
        <w:t xml:space="preserve">overall </w:t>
      </w:r>
      <w:r w:rsidR="002750D0" w:rsidRPr="002750D0">
        <w:rPr>
          <w:rFonts w:ascii="Arial" w:eastAsiaTheme="minorEastAsia" w:hAnsi="Arial" w:cs="Arial"/>
          <w:color w:val="3E3E3E"/>
          <w:sz w:val="22"/>
          <w:szCs w:val="22"/>
          <w:lang w:eastAsia="zh-CN"/>
        </w:rPr>
        <w:t>content portfolio. Fox’s television business is expected to help the company strengthen its TV slate globally, which has been facing some issues in terms of distribution or subscribers. Disney’s international footprint will increase substantially post acquisition. Notably, Fox Networks International</w:t>
      </w:r>
      <w:r w:rsidR="002750D0">
        <w:rPr>
          <w:rFonts w:ascii="Arial" w:eastAsiaTheme="minorEastAsia" w:hAnsi="Arial" w:cs="Arial"/>
          <w:color w:val="3E3E3E"/>
          <w:sz w:val="22"/>
          <w:szCs w:val="22"/>
          <w:lang w:eastAsia="zh-CN"/>
        </w:rPr>
        <w:t xml:space="preserve"> </w:t>
      </w:r>
      <w:r w:rsidR="002750D0" w:rsidRPr="002750D0">
        <w:rPr>
          <w:rFonts w:ascii="Arial" w:eastAsiaTheme="minorEastAsia" w:hAnsi="Arial" w:cs="Arial"/>
          <w:color w:val="3E3E3E"/>
          <w:sz w:val="22"/>
          <w:szCs w:val="22"/>
          <w:lang w:eastAsia="zh-CN"/>
        </w:rPr>
        <w:t xml:space="preserve">operates above 350 channels in 170 countries, while Star India has 69 channels </w:t>
      </w:r>
      <w:r w:rsidR="00DD53C4">
        <w:rPr>
          <w:rFonts w:ascii="Arial" w:eastAsiaTheme="minorEastAsia" w:hAnsi="Arial" w:cs="Arial"/>
          <w:color w:val="3E3E3E"/>
          <w:sz w:val="22"/>
          <w:szCs w:val="22"/>
          <w:lang w:eastAsia="zh-CN"/>
        </w:rPr>
        <w:t>with</w:t>
      </w:r>
      <w:r w:rsidR="002750D0" w:rsidRPr="002750D0">
        <w:rPr>
          <w:rFonts w:ascii="Arial" w:eastAsiaTheme="minorEastAsia" w:hAnsi="Arial" w:cs="Arial"/>
          <w:color w:val="3E3E3E"/>
          <w:sz w:val="22"/>
          <w:szCs w:val="22"/>
          <w:lang w:eastAsia="zh-CN"/>
        </w:rPr>
        <w:t xml:space="preserve"> 720</w:t>
      </w:r>
      <w:r w:rsidR="00DD53C4">
        <w:rPr>
          <w:rFonts w:ascii="Arial" w:eastAsiaTheme="minorEastAsia" w:hAnsi="Arial" w:cs="Arial"/>
          <w:color w:val="3E3E3E"/>
          <w:sz w:val="22"/>
          <w:szCs w:val="22"/>
          <w:lang w:eastAsia="zh-CN"/>
        </w:rPr>
        <w:t xml:space="preserve"> million</w:t>
      </w:r>
      <w:r w:rsidR="002750D0" w:rsidRPr="002750D0">
        <w:rPr>
          <w:rFonts w:ascii="Arial" w:eastAsiaTheme="minorEastAsia" w:hAnsi="Arial" w:cs="Arial"/>
          <w:color w:val="3E3E3E"/>
          <w:sz w:val="22"/>
          <w:szCs w:val="22"/>
          <w:lang w:eastAsia="zh-CN"/>
        </w:rPr>
        <w:t xml:space="preserve"> viewers per month.</w:t>
      </w:r>
    </w:p>
    <w:p w14:paraId="10AC25FA" w14:textId="1BFDC572" w:rsidR="002750D0" w:rsidRPr="00DD53C4" w:rsidRDefault="002750D0" w:rsidP="002750D0">
      <w:pPr>
        <w:pStyle w:val="ListParagraph"/>
        <w:numPr>
          <w:ilvl w:val="0"/>
          <w:numId w:val="2"/>
        </w:numPr>
        <w:autoSpaceDE w:val="0"/>
        <w:autoSpaceDN w:val="0"/>
        <w:adjustRightInd w:val="0"/>
        <w:jc w:val="both"/>
        <w:rPr>
          <w:rFonts w:ascii="Arial" w:eastAsiaTheme="minorEastAsia" w:hAnsi="Arial" w:cs="Arial"/>
          <w:color w:val="3E3E3E"/>
          <w:sz w:val="22"/>
          <w:szCs w:val="22"/>
          <w:lang w:eastAsia="zh-CN"/>
        </w:rPr>
      </w:pPr>
      <w:r w:rsidRPr="002750D0">
        <w:rPr>
          <w:rFonts w:ascii="Arial" w:eastAsiaTheme="minorEastAsia" w:hAnsi="Arial" w:cs="Arial"/>
          <w:b/>
          <w:color w:val="002060"/>
          <w:sz w:val="22"/>
          <w:szCs w:val="22"/>
          <w:lang w:eastAsia="zh-CN"/>
        </w:rPr>
        <w:t>Impressive Slate of Big Budget Movies</w:t>
      </w:r>
    </w:p>
    <w:p w14:paraId="6E868BDE" w14:textId="6A963ABD" w:rsidR="00DD53C4" w:rsidRPr="002750D0" w:rsidRDefault="00DD53C4" w:rsidP="00DD53C4">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sidRPr="002750D0">
        <w:rPr>
          <w:rFonts w:ascii="Arial" w:eastAsiaTheme="minorEastAsia" w:hAnsi="Arial" w:cs="Arial"/>
          <w:color w:val="3E3E3E"/>
          <w:sz w:val="22"/>
          <w:szCs w:val="22"/>
          <w:lang w:eastAsia="zh-CN"/>
        </w:rPr>
        <w:t>Disney’s Studio Entertainment segment has an impressive line-up of big budget</w:t>
      </w:r>
      <w:r>
        <w:rPr>
          <w:rFonts w:ascii="Arial" w:eastAsiaTheme="minorEastAsia" w:hAnsi="Arial" w:cs="Arial"/>
          <w:color w:val="3E3E3E"/>
          <w:sz w:val="22"/>
          <w:szCs w:val="22"/>
          <w:lang w:eastAsia="zh-CN"/>
        </w:rPr>
        <w:t xml:space="preserve"> </w:t>
      </w:r>
      <w:r w:rsidRPr="002750D0">
        <w:rPr>
          <w:rFonts w:ascii="Arial" w:eastAsiaTheme="minorEastAsia" w:hAnsi="Arial" w:cs="Arial"/>
          <w:color w:val="3E3E3E"/>
          <w:sz w:val="22"/>
          <w:szCs w:val="22"/>
          <w:lang w:eastAsia="zh-CN"/>
        </w:rPr>
        <w:t>movies slated to be released over the next 18 months. Movies expected to release in</w:t>
      </w:r>
      <w:r>
        <w:rPr>
          <w:rFonts w:ascii="Arial" w:eastAsiaTheme="minorEastAsia" w:hAnsi="Arial" w:cs="Arial"/>
          <w:color w:val="3E3E3E"/>
          <w:sz w:val="22"/>
          <w:szCs w:val="22"/>
          <w:lang w:eastAsia="zh-CN"/>
        </w:rPr>
        <w:t xml:space="preserve"> </w:t>
      </w:r>
      <w:r w:rsidRPr="002750D0">
        <w:rPr>
          <w:rFonts w:ascii="Arial" w:eastAsiaTheme="minorEastAsia" w:hAnsi="Arial" w:cs="Arial"/>
          <w:color w:val="3E3E3E"/>
          <w:sz w:val="22"/>
          <w:szCs w:val="22"/>
          <w:lang w:eastAsia="zh-CN"/>
        </w:rPr>
        <w:t xml:space="preserve">second-quarter fiscal 2019 include </w:t>
      </w:r>
      <w:r w:rsidRPr="002750D0">
        <w:rPr>
          <w:rFonts w:ascii="Arial" w:eastAsiaTheme="minorEastAsia" w:hAnsi="Arial" w:cs="Arial"/>
          <w:i/>
          <w:iCs/>
          <w:color w:val="3E3E3E"/>
          <w:sz w:val="22"/>
          <w:szCs w:val="22"/>
          <w:lang w:eastAsia="zh-CN"/>
        </w:rPr>
        <w:t xml:space="preserve">Captain Marvel </w:t>
      </w:r>
      <w:r w:rsidRPr="002750D0">
        <w:rPr>
          <w:rFonts w:ascii="Arial" w:eastAsiaTheme="minorEastAsia" w:hAnsi="Arial" w:cs="Arial"/>
          <w:color w:val="3E3E3E"/>
          <w:sz w:val="22"/>
          <w:szCs w:val="22"/>
          <w:lang w:eastAsia="zh-CN"/>
        </w:rPr>
        <w:t xml:space="preserve">and </w:t>
      </w:r>
      <w:r w:rsidRPr="002750D0">
        <w:rPr>
          <w:rFonts w:ascii="Arial" w:eastAsiaTheme="minorEastAsia" w:hAnsi="Arial" w:cs="Arial"/>
          <w:i/>
          <w:iCs/>
          <w:color w:val="3E3E3E"/>
          <w:sz w:val="22"/>
          <w:szCs w:val="22"/>
          <w:lang w:eastAsia="zh-CN"/>
        </w:rPr>
        <w:t>Dumbo</w:t>
      </w:r>
      <w:r w:rsidRPr="002750D0">
        <w:rPr>
          <w:rFonts w:ascii="Arial" w:eastAsiaTheme="minorEastAsia" w:hAnsi="Arial" w:cs="Arial"/>
          <w:color w:val="3E3E3E"/>
          <w:sz w:val="22"/>
          <w:szCs w:val="22"/>
          <w:lang w:eastAsia="zh-CN"/>
        </w:rPr>
        <w:t xml:space="preserve">. Additionally, future releases include </w:t>
      </w:r>
      <w:r w:rsidRPr="002750D0">
        <w:rPr>
          <w:rFonts w:ascii="Arial" w:eastAsiaTheme="minorEastAsia" w:hAnsi="Arial" w:cs="Arial"/>
          <w:i/>
          <w:iCs/>
          <w:color w:val="3E3E3E"/>
          <w:sz w:val="22"/>
          <w:szCs w:val="22"/>
          <w:lang w:eastAsia="zh-CN"/>
        </w:rPr>
        <w:t>Avengers 4, Aladdin, Toy Story</w:t>
      </w:r>
      <w:r>
        <w:rPr>
          <w:rFonts w:ascii="Arial" w:eastAsiaTheme="minorEastAsia" w:hAnsi="Arial" w:cs="Arial"/>
          <w:i/>
          <w:iCs/>
          <w:color w:val="3E3E3E"/>
          <w:sz w:val="22"/>
          <w:szCs w:val="22"/>
          <w:lang w:eastAsia="zh-CN"/>
        </w:rPr>
        <w:t xml:space="preserve"> </w:t>
      </w:r>
      <w:r w:rsidRPr="002750D0">
        <w:rPr>
          <w:rFonts w:ascii="Arial" w:eastAsiaTheme="minorEastAsia" w:hAnsi="Arial" w:cs="Arial"/>
          <w:i/>
          <w:iCs/>
          <w:color w:val="3E3E3E"/>
          <w:sz w:val="22"/>
          <w:szCs w:val="22"/>
          <w:lang w:eastAsia="zh-CN"/>
        </w:rPr>
        <w:t>4</w:t>
      </w:r>
      <w:r w:rsidRPr="002750D0">
        <w:rPr>
          <w:rFonts w:ascii="Arial" w:eastAsiaTheme="minorEastAsia" w:hAnsi="Arial" w:cs="Arial"/>
          <w:color w:val="3E3E3E"/>
          <w:sz w:val="22"/>
          <w:szCs w:val="22"/>
          <w:lang w:eastAsia="zh-CN"/>
        </w:rPr>
        <w:t xml:space="preserve">, </w:t>
      </w:r>
      <w:r w:rsidRPr="002750D0">
        <w:rPr>
          <w:rFonts w:ascii="Arial" w:eastAsiaTheme="minorEastAsia" w:hAnsi="Arial" w:cs="Arial"/>
          <w:i/>
          <w:iCs/>
          <w:color w:val="3E3E3E"/>
          <w:sz w:val="22"/>
          <w:szCs w:val="22"/>
          <w:lang w:eastAsia="zh-CN"/>
        </w:rPr>
        <w:t>The Lion King</w:t>
      </w:r>
      <w:r w:rsidRPr="002750D0">
        <w:rPr>
          <w:rFonts w:ascii="Arial" w:eastAsiaTheme="minorEastAsia" w:hAnsi="Arial" w:cs="Arial"/>
          <w:color w:val="3E3E3E"/>
          <w:sz w:val="22"/>
          <w:szCs w:val="22"/>
          <w:lang w:eastAsia="zh-CN"/>
        </w:rPr>
        <w:t xml:space="preserve">, </w:t>
      </w:r>
      <w:r w:rsidRPr="002750D0">
        <w:rPr>
          <w:rFonts w:ascii="Arial" w:eastAsiaTheme="minorEastAsia" w:hAnsi="Arial" w:cs="Arial"/>
          <w:i/>
          <w:iCs/>
          <w:color w:val="3E3E3E"/>
          <w:sz w:val="22"/>
          <w:szCs w:val="22"/>
          <w:lang w:eastAsia="zh-CN"/>
        </w:rPr>
        <w:t>Frozen 2</w:t>
      </w:r>
      <w:r w:rsidRPr="002750D0">
        <w:rPr>
          <w:rFonts w:ascii="Arial" w:eastAsiaTheme="minorEastAsia" w:hAnsi="Arial" w:cs="Arial"/>
          <w:color w:val="3E3E3E"/>
          <w:sz w:val="22"/>
          <w:szCs w:val="22"/>
          <w:lang w:eastAsia="zh-CN"/>
        </w:rPr>
        <w:t xml:space="preserve">, and </w:t>
      </w:r>
      <w:r w:rsidRPr="002750D0">
        <w:rPr>
          <w:rFonts w:ascii="Arial" w:eastAsiaTheme="minorEastAsia" w:hAnsi="Arial" w:cs="Arial"/>
          <w:i/>
          <w:iCs/>
          <w:color w:val="3E3E3E"/>
          <w:sz w:val="22"/>
          <w:szCs w:val="22"/>
          <w:lang w:eastAsia="zh-CN"/>
        </w:rPr>
        <w:t>Star Wars: Episode IX</w:t>
      </w:r>
      <w:r>
        <w:rPr>
          <w:rFonts w:ascii="Arial" w:eastAsiaTheme="minorEastAsia" w:hAnsi="Arial" w:cs="Arial"/>
          <w:i/>
          <w:iCs/>
          <w:color w:val="3E3E3E"/>
          <w:sz w:val="22"/>
          <w:szCs w:val="22"/>
          <w:lang w:eastAsia="zh-CN"/>
        </w:rPr>
        <w:t>: The Rise of Skywalker</w:t>
      </w:r>
      <w:r w:rsidRPr="002750D0">
        <w:rPr>
          <w:rFonts w:ascii="Arial" w:eastAsiaTheme="minorEastAsia" w:hAnsi="Arial" w:cs="Arial"/>
          <w:color w:val="3E3E3E"/>
          <w:sz w:val="22"/>
          <w:szCs w:val="22"/>
          <w:lang w:eastAsia="zh-CN"/>
        </w:rPr>
        <w:t>.</w:t>
      </w:r>
      <w:r w:rsidR="000155C2" w:rsidRPr="000155C2">
        <w:t xml:space="preserve"> </w:t>
      </w:r>
    </w:p>
    <w:p w14:paraId="3A5C1B9F" w14:textId="77777777" w:rsidR="00DD53C4" w:rsidRPr="00DD53C4" w:rsidRDefault="002750D0" w:rsidP="002750D0">
      <w:pPr>
        <w:pStyle w:val="ListParagraph"/>
        <w:numPr>
          <w:ilvl w:val="0"/>
          <w:numId w:val="2"/>
        </w:numPr>
        <w:autoSpaceDE w:val="0"/>
        <w:autoSpaceDN w:val="0"/>
        <w:adjustRightInd w:val="0"/>
        <w:jc w:val="both"/>
        <w:rPr>
          <w:rFonts w:ascii="Arial" w:eastAsiaTheme="minorEastAsia" w:hAnsi="Arial" w:cs="Arial"/>
          <w:color w:val="3E3E3E"/>
          <w:sz w:val="22"/>
          <w:szCs w:val="22"/>
          <w:lang w:eastAsia="zh-CN"/>
        </w:rPr>
      </w:pPr>
      <w:r w:rsidRPr="002750D0">
        <w:rPr>
          <w:rFonts w:ascii="Arial" w:eastAsiaTheme="minorEastAsia" w:hAnsi="Arial" w:cs="Arial"/>
          <w:b/>
          <w:color w:val="002060"/>
          <w:sz w:val="22"/>
          <w:szCs w:val="22"/>
          <w:lang w:eastAsia="zh-CN"/>
        </w:rPr>
        <w:t>Direct-to-Consumer Media Streaming Services</w:t>
      </w:r>
    </w:p>
    <w:p w14:paraId="396E6E3F" w14:textId="3C965FDA" w:rsidR="00DD53C4" w:rsidRDefault="00DD53C4" w:rsidP="00E14908">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sidRPr="00DD53C4">
        <w:rPr>
          <w:rFonts w:ascii="Arial" w:eastAsiaTheme="minorEastAsia" w:hAnsi="Arial" w:cs="Arial"/>
          <w:color w:val="3E3E3E"/>
          <w:sz w:val="22"/>
          <w:szCs w:val="22"/>
          <w:lang w:eastAsia="zh-CN"/>
        </w:rPr>
        <w:t xml:space="preserve">On November 12, 2019, Disney+ is launching in the United States and is expected </w:t>
      </w:r>
      <w:r w:rsidR="00812AED" w:rsidRPr="00DD53C4">
        <w:rPr>
          <w:rFonts w:ascii="Arial" w:eastAsiaTheme="minorEastAsia" w:hAnsi="Arial" w:cs="Arial"/>
          <w:color w:val="3E3E3E"/>
          <w:sz w:val="22"/>
          <w:szCs w:val="22"/>
          <w:lang w:eastAsia="zh-CN"/>
        </w:rPr>
        <w:t xml:space="preserve">to be launched in European markets </w:t>
      </w:r>
      <w:r w:rsidRPr="00DD53C4">
        <w:rPr>
          <w:rFonts w:ascii="Arial" w:eastAsiaTheme="minorEastAsia" w:hAnsi="Arial" w:cs="Arial"/>
          <w:color w:val="3E3E3E"/>
          <w:sz w:val="22"/>
          <w:szCs w:val="22"/>
          <w:lang w:eastAsia="zh-CN"/>
        </w:rPr>
        <w:t>soon afterwards</w:t>
      </w:r>
      <w:r w:rsidR="00812AED" w:rsidRPr="00DD53C4">
        <w:rPr>
          <w:rFonts w:ascii="Arial" w:eastAsiaTheme="minorEastAsia" w:hAnsi="Arial" w:cs="Arial"/>
          <w:color w:val="3E3E3E"/>
          <w:sz w:val="22"/>
          <w:szCs w:val="22"/>
          <w:lang w:eastAsia="zh-CN"/>
        </w:rPr>
        <w:t>. The</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termination of distribution agreement with Netflix will enable it to offer rich content exclusively from Disney, Pixar, Marvel, Star Wars,</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National Geographic and Lucasfilm. Additionally, users will have access to the company’s film and television library</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content, including all the theatrical releases starting with the 2019 slate. Apart from original content investments in Disney+, Disney</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is buying content from other providers such as CBS TV Studios to ramp up its content portfolio. Moreover, the company will continue</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to buy content from third-party providers to cater to consumer demand.</w:t>
      </w:r>
    </w:p>
    <w:p w14:paraId="6010E313" w14:textId="17024F60" w:rsidR="00DD53C4" w:rsidRDefault="00812AED" w:rsidP="00E14908">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sidRPr="00DD53C4">
        <w:rPr>
          <w:rFonts w:ascii="Arial" w:eastAsiaTheme="minorEastAsia" w:hAnsi="Arial" w:cs="Arial"/>
          <w:color w:val="3E3E3E"/>
          <w:sz w:val="22"/>
          <w:szCs w:val="22"/>
          <w:lang w:eastAsia="zh-CN"/>
        </w:rPr>
        <w:t>Disney already launched ESPN+ that is offering tournaments like Major League Baseball, National Hockey League, Major League</w:t>
      </w:r>
      <w:r w:rsidR="002750D0" w:rsidRPr="00DD53C4">
        <w:rPr>
          <w:rFonts w:ascii="Arial" w:eastAsiaTheme="minorEastAsia" w:hAnsi="Arial" w:cs="Arial"/>
          <w:color w:val="3E3E3E"/>
          <w:sz w:val="22"/>
          <w:szCs w:val="22"/>
          <w:lang w:eastAsia="zh-CN"/>
        </w:rPr>
        <w:t xml:space="preserve"> </w:t>
      </w:r>
      <w:r w:rsidRPr="00DD53C4">
        <w:rPr>
          <w:rFonts w:ascii="Arial" w:eastAsiaTheme="minorEastAsia" w:hAnsi="Arial" w:cs="Arial"/>
          <w:color w:val="3E3E3E"/>
          <w:sz w:val="22"/>
          <w:szCs w:val="22"/>
          <w:lang w:eastAsia="zh-CN"/>
        </w:rPr>
        <w:t>Soccer, Grand Slam tennis, Italy's Serie A soccer and thousands of college sports for $4.99 per month. ESPN+ currently has 2</w:t>
      </w:r>
      <w:r w:rsidR="002750D0" w:rsidRPr="00DD53C4">
        <w:rPr>
          <w:rFonts w:ascii="Arial" w:eastAsiaTheme="minorEastAsia" w:hAnsi="Arial" w:cs="Arial"/>
          <w:color w:val="3E3E3E"/>
          <w:sz w:val="22"/>
          <w:szCs w:val="22"/>
          <w:lang w:eastAsia="zh-CN"/>
        </w:rPr>
        <w:t xml:space="preserve"> </w:t>
      </w:r>
      <w:r w:rsidRPr="00DD53C4">
        <w:rPr>
          <w:rFonts w:ascii="Arial" w:eastAsiaTheme="minorEastAsia" w:hAnsi="Arial" w:cs="Arial"/>
          <w:color w:val="3E3E3E"/>
          <w:sz w:val="22"/>
          <w:szCs w:val="22"/>
          <w:lang w:eastAsia="zh-CN"/>
        </w:rPr>
        <w:t>million paid subscribers. Notably, Disney’s deal to air UFC fights on the ESPN platform, both linear and over-the-top (OTT) helped it</w:t>
      </w:r>
      <w:r w:rsidR="002750D0" w:rsidRPr="00DD53C4">
        <w:rPr>
          <w:rFonts w:ascii="Arial" w:eastAsiaTheme="minorEastAsia" w:hAnsi="Arial" w:cs="Arial"/>
          <w:color w:val="3E3E3E"/>
          <w:sz w:val="22"/>
          <w:szCs w:val="22"/>
          <w:lang w:eastAsia="zh-CN"/>
        </w:rPr>
        <w:t xml:space="preserve"> </w:t>
      </w:r>
      <w:r w:rsidRPr="00DD53C4">
        <w:rPr>
          <w:rFonts w:ascii="Arial" w:eastAsiaTheme="minorEastAsia" w:hAnsi="Arial" w:cs="Arial"/>
          <w:color w:val="3E3E3E"/>
          <w:sz w:val="22"/>
          <w:szCs w:val="22"/>
          <w:lang w:eastAsia="zh-CN"/>
        </w:rPr>
        <w:t>gain 600K users.</w:t>
      </w:r>
    </w:p>
    <w:p w14:paraId="34AB2942" w14:textId="70A74BF7" w:rsidR="00DD53C4" w:rsidRPr="00DD53C4" w:rsidRDefault="00DD53C4" w:rsidP="00DD53C4">
      <w:pPr>
        <w:pStyle w:val="ListParagraph"/>
        <w:numPr>
          <w:ilvl w:val="0"/>
          <w:numId w:val="2"/>
        </w:num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b/>
          <w:color w:val="002060"/>
          <w:sz w:val="22"/>
          <w:szCs w:val="22"/>
          <w:lang w:eastAsia="zh-CN"/>
        </w:rPr>
        <w:t>Robust Visitor Growth Rates at the Parks</w:t>
      </w:r>
    </w:p>
    <w:p w14:paraId="2C564FD5" w14:textId="5D1A2423" w:rsidR="00812AED" w:rsidRPr="00DD53C4" w:rsidRDefault="0010433A" w:rsidP="00E14908">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Pr>
          <w:noProof/>
        </w:rPr>
        <w:drawing>
          <wp:anchor distT="0" distB="0" distL="114300" distR="114300" simplePos="0" relativeHeight="251752448" behindDoc="1" locked="0" layoutInCell="1" allowOverlap="1" wp14:anchorId="35E9B472" wp14:editId="3D3B12FB">
            <wp:simplePos x="0" y="0"/>
            <wp:positionH relativeFrom="margin">
              <wp:align>right</wp:align>
            </wp:positionH>
            <wp:positionV relativeFrom="paragraph">
              <wp:posOffset>111125</wp:posOffset>
            </wp:positionV>
            <wp:extent cx="3382645" cy="2012950"/>
            <wp:effectExtent l="0" t="0" r="8255" b="6350"/>
            <wp:wrapTight wrapText="bothSides">
              <wp:wrapPolygon edited="0">
                <wp:start x="0" y="0"/>
                <wp:lineTo x="0" y="21464"/>
                <wp:lineTo x="21531" y="21464"/>
                <wp:lineTo x="21531"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82645" cy="2012950"/>
                    </a:xfrm>
                    <a:prstGeom prst="rect">
                      <a:avLst/>
                    </a:prstGeom>
                  </pic:spPr>
                </pic:pic>
              </a:graphicData>
            </a:graphic>
            <wp14:sizeRelH relativeFrom="margin">
              <wp14:pctWidth>0</wp14:pctWidth>
            </wp14:sizeRelH>
            <wp14:sizeRelV relativeFrom="margin">
              <wp14:pctHeight>0</wp14:pctHeight>
            </wp14:sizeRelV>
          </wp:anchor>
        </w:drawing>
      </w:r>
      <w:r w:rsidR="00812AED" w:rsidRPr="00DD53C4">
        <w:rPr>
          <w:rFonts w:ascii="Arial" w:eastAsiaTheme="minorEastAsia" w:hAnsi="Arial" w:cs="Arial"/>
          <w:color w:val="3E3E3E"/>
          <w:sz w:val="22"/>
          <w:szCs w:val="22"/>
          <w:lang w:eastAsia="zh-CN"/>
        </w:rPr>
        <w:t>Parks &amp; Resorts are primarily benefiting from the company’s strategy of better-load balancing of attendance throughout the year,</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which is driving up attendance rate. Moreover, the company’s continuing investment is reaping benefits. The segment continues to</w:t>
      </w:r>
      <w:r w:rsidR="002750D0" w:rsidRPr="00DD53C4">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show robust performances domestically owing to rise in customer spending, higher ticket prices and average daily hotel room rates.</w:t>
      </w:r>
      <w:r w:rsidR="002750D0" w:rsidRPr="00DD53C4">
        <w:rPr>
          <w:rFonts w:ascii="Arial" w:eastAsiaTheme="minorEastAsia" w:hAnsi="Arial" w:cs="Arial"/>
          <w:color w:val="3E3E3E"/>
          <w:sz w:val="22"/>
          <w:szCs w:val="22"/>
          <w:lang w:eastAsia="zh-CN"/>
        </w:rPr>
        <w:t xml:space="preserve"> </w:t>
      </w:r>
      <w:r w:rsidR="00DD53C4">
        <w:rPr>
          <w:rFonts w:ascii="Arial" w:eastAsiaTheme="minorEastAsia" w:hAnsi="Arial" w:cs="Arial"/>
          <w:color w:val="3E3E3E"/>
          <w:sz w:val="22"/>
          <w:szCs w:val="22"/>
          <w:lang w:eastAsia="zh-CN"/>
        </w:rPr>
        <w:t>W</w:t>
      </w:r>
      <w:r w:rsidR="00812AED" w:rsidRPr="00DD53C4">
        <w:rPr>
          <w:rFonts w:ascii="Arial" w:eastAsiaTheme="minorEastAsia" w:hAnsi="Arial" w:cs="Arial"/>
          <w:color w:val="3E3E3E"/>
          <w:sz w:val="22"/>
          <w:szCs w:val="22"/>
          <w:lang w:eastAsia="zh-CN"/>
        </w:rPr>
        <w:t xml:space="preserve">ith Star Wars Lands in Disneyland expected to be open in </w:t>
      </w:r>
      <w:r w:rsidR="000155C2">
        <w:rPr>
          <w:rFonts w:ascii="Arial" w:eastAsiaTheme="minorEastAsia" w:hAnsi="Arial" w:cs="Arial"/>
          <w:color w:val="3E3E3E"/>
          <w:sz w:val="22"/>
          <w:szCs w:val="22"/>
          <w:lang w:eastAsia="zh-CN"/>
        </w:rPr>
        <w:t xml:space="preserve">the summer of </w:t>
      </w:r>
      <w:r w:rsidR="00812AED" w:rsidRPr="00DD53C4">
        <w:rPr>
          <w:rFonts w:ascii="Arial" w:eastAsiaTheme="minorEastAsia" w:hAnsi="Arial" w:cs="Arial"/>
          <w:color w:val="3E3E3E"/>
          <w:sz w:val="22"/>
          <w:szCs w:val="22"/>
          <w:lang w:eastAsia="zh-CN"/>
        </w:rPr>
        <w:t>2019</w:t>
      </w:r>
      <w:r w:rsidR="000155C2">
        <w:rPr>
          <w:rFonts w:ascii="Arial" w:eastAsiaTheme="minorEastAsia" w:hAnsi="Arial" w:cs="Arial"/>
          <w:color w:val="3E3E3E"/>
          <w:sz w:val="22"/>
          <w:szCs w:val="22"/>
          <w:lang w:eastAsia="zh-CN"/>
        </w:rPr>
        <w:t xml:space="preserve">, </w:t>
      </w:r>
      <w:r w:rsidR="00812AED" w:rsidRPr="00DD53C4">
        <w:rPr>
          <w:rFonts w:ascii="Arial" w:eastAsiaTheme="minorEastAsia" w:hAnsi="Arial" w:cs="Arial"/>
          <w:color w:val="3E3E3E"/>
          <w:sz w:val="22"/>
          <w:szCs w:val="22"/>
          <w:lang w:eastAsia="zh-CN"/>
        </w:rPr>
        <w:t>we believe this new addition will continue to boost</w:t>
      </w:r>
      <w:r w:rsidR="002750D0" w:rsidRPr="00DD53C4">
        <w:rPr>
          <w:rFonts w:ascii="Arial" w:eastAsiaTheme="minorEastAsia" w:hAnsi="Arial" w:cs="Arial"/>
          <w:color w:val="3E3E3E"/>
          <w:sz w:val="22"/>
          <w:szCs w:val="22"/>
          <w:lang w:eastAsia="zh-CN"/>
        </w:rPr>
        <w:t xml:space="preserve"> </w:t>
      </w:r>
      <w:r w:rsidR="000155C2">
        <w:rPr>
          <w:rFonts w:ascii="Arial" w:eastAsiaTheme="minorEastAsia" w:hAnsi="Arial" w:cs="Arial"/>
          <w:color w:val="3E3E3E"/>
          <w:sz w:val="22"/>
          <w:szCs w:val="22"/>
          <w:lang w:eastAsia="zh-CN"/>
        </w:rPr>
        <w:t xml:space="preserve">the </w:t>
      </w:r>
      <w:r w:rsidR="00812AED" w:rsidRPr="00DD53C4">
        <w:rPr>
          <w:rFonts w:ascii="Arial" w:eastAsiaTheme="minorEastAsia" w:hAnsi="Arial" w:cs="Arial"/>
          <w:color w:val="3E3E3E"/>
          <w:sz w:val="22"/>
          <w:szCs w:val="22"/>
          <w:lang w:eastAsia="zh-CN"/>
        </w:rPr>
        <w:t>attendance rate.</w:t>
      </w:r>
      <w:r w:rsidRPr="0010433A">
        <w:rPr>
          <w:noProof/>
        </w:rPr>
        <w:t xml:space="preserve"> </w:t>
      </w:r>
    </w:p>
    <w:p w14:paraId="0995EC4F" w14:textId="77777777" w:rsidR="00812AED" w:rsidRPr="0010433A" w:rsidRDefault="00812AED" w:rsidP="00812AED">
      <w:pPr>
        <w:rPr>
          <w:rFonts w:ascii="Arial" w:hAnsi="Arial" w:cs="Arial"/>
          <w:noProof/>
          <w:sz w:val="22"/>
          <w:szCs w:val="22"/>
        </w:rPr>
      </w:pPr>
    </w:p>
    <w:p w14:paraId="4C1E9C0E" w14:textId="7C38A030" w:rsidR="00812AED" w:rsidRPr="00FE6C28" w:rsidRDefault="00812AED" w:rsidP="0010433A">
      <w:pPr>
        <w:rPr>
          <w:rFonts w:ascii="Arial" w:hAnsi="Arial" w:cs="Arial"/>
          <w:b/>
          <w:noProof/>
          <w:sz w:val="22"/>
          <w:szCs w:val="22"/>
        </w:rPr>
      </w:pPr>
      <w:r w:rsidRPr="00FE6C28">
        <w:rPr>
          <w:rFonts w:ascii="Arial" w:hAnsi="Arial" w:cs="Arial"/>
          <w:b/>
          <w:noProof/>
          <w:sz w:val="22"/>
          <w:szCs w:val="22"/>
        </w:rPr>
        <w:t>R</w:t>
      </w:r>
      <w:r w:rsidR="002750D0" w:rsidRPr="00FE6C28">
        <w:rPr>
          <w:rFonts w:ascii="Arial" w:hAnsi="Arial" w:cs="Arial"/>
          <w:b/>
          <w:noProof/>
          <w:sz w:val="22"/>
          <w:szCs w:val="22"/>
        </w:rPr>
        <w:t>ISKS</w:t>
      </w:r>
    </w:p>
    <w:p w14:paraId="61214161" w14:textId="3656D5B8" w:rsidR="00812AED" w:rsidRPr="00FE6C28" w:rsidRDefault="00812AED" w:rsidP="00812AED">
      <w:pPr>
        <w:rPr>
          <w:rFonts w:ascii="Arial" w:hAnsi="Arial" w:cs="Arial"/>
          <w:noProof/>
          <w:sz w:val="22"/>
          <w:szCs w:val="22"/>
        </w:rPr>
      </w:pPr>
    </w:p>
    <w:p w14:paraId="0F6CC4BF" w14:textId="23C3A569" w:rsidR="0010433A" w:rsidRDefault="0010433A" w:rsidP="0010433A">
      <w:p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color w:val="3E3E3E"/>
          <w:sz w:val="22"/>
          <w:szCs w:val="22"/>
          <w:lang w:eastAsia="zh-CN"/>
        </w:rPr>
        <w:t>With any investment, there are risks associated with the business which need to be evaluated and addressed.  Below we identified what could hinder our outlook for the prospects of the company.</w:t>
      </w:r>
    </w:p>
    <w:p w14:paraId="68A2EFF0" w14:textId="77777777" w:rsidR="0010433A" w:rsidRPr="0010433A" w:rsidRDefault="0010433A" w:rsidP="0010433A">
      <w:pPr>
        <w:pStyle w:val="ListParagraph"/>
        <w:numPr>
          <w:ilvl w:val="0"/>
          <w:numId w:val="2"/>
        </w:numPr>
        <w:autoSpaceDE w:val="0"/>
        <w:autoSpaceDN w:val="0"/>
        <w:adjustRightInd w:val="0"/>
        <w:jc w:val="both"/>
        <w:rPr>
          <w:rFonts w:ascii="Arial" w:eastAsiaTheme="minorEastAsia" w:hAnsi="Arial" w:cs="Arial"/>
          <w:b/>
          <w:color w:val="002060"/>
          <w:sz w:val="22"/>
          <w:szCs w:val="22"/>
          <w:lang w:eastAsia="zh-CN"/>
        </w:rPr>
      </w:pPr>
      <w:r w:rsidRPr="0010433A">
        <w:rPr>
          <w:rFonts w:ascii="Arial" w:eastAsiaTheme="minorEastAsia" w:hAnsi="Arial" w:cs="Arial"/>
          <w:b/>
          <w:color w:val="002060"/>
          <w:sz w:val="22"/>
          <w:szCs w:val="22"/>
          <w:lang w:eastAsia="zh-CN"/>
        </w:rPr>
        <w:t>Direct-to-Consumer Streaming Competition</w:t>
      </w:r>
    </w:p>
    <w:p w14:paraId="42CC830F" w14:textId="5FAFAF82" w:rsidR="0010433A" w:rsidRDefault="00A865AD" w:rsidP="0010433A">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Pr>
          <w:noProof/>
        </w:rPr>
        <w:drawing>
          <wp:anchor distT="0" distB="0" distL="114300" distR="114300" simplePos="0" relativeHeight="251754496" behindDoc="0" locked="0" layoutInCell="1" allowOverlap="1" wp14:anchorId="64B22CF8" wp14:editId="71ED0463">
            <wp:simplePos x="0" y="0"/>
            <wp:positionH relativeFrom="margin">
              <wp:align>right</wp:align>
            </wp:positionH>
            <wp:positionV relativeFrom="paragraph">
              <wp:posOffset>438150</wp:posOffset>
            </wp:positionV>
            <wp:extent cx="2584450" cy="14541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84450" cy="1454150"/>
                    </a:xfrm>
                    <a:prstGeom prst="rect">
                      <a:avLst/>
                    </a:prstGeom>
                  </pic:spPr>
                </pic:pic>
              </a:graphicData>
            </a:graphic>
          </wp:anchor>
        </w:drawing>
      </w:r>
      <w:r w:rsidR="00FE6C28">
        <w:rPr>
          <w:rFonts w:ascii="Arial" w:eastAsiaTheme="minorEastAsia" w:hAnsi="Arial" w:cs="Arial"/>
          <w:color w:val="3E3E3E"/>
          <w:sz w:val="22"/>
          <w:szCs w:val="22"/>
          <w:lang w:eastAsia="zh-CN"/>
        </w:rPr>
        <w:t>Heavy investment in streaming services will hurt profitability for the next two to three years</w:t>
      </w:r>
      <w:r w:rsidR="0010433A" w:rsidRPr="002750D0">
        <w:rPr>
          <w:rFonts w:ascii="Arial" w:eastAsiaTheme="minorEastAsia" w:hAnsi="Arial" w:cs="Arial"/>
          <w:color w:val="3E3E3E"/>
          <w:sz w:val="22"/>
          <w:szCs w:val="22"/>
          <w:lang w:eastAsia="zh-CN"/>
        </w:rPr>
        <w:t>.</w:t>
      </w:r>
      <w:r w:rsidR="00E14908">
        <w:rPr>
          <w:rFonts w:ascii="Arial" w:eastAsiaTheme="minorEastAsia" w:hAnsi="Arial" w:cs="Arial"/>
          <w:color w:val="3E3E3E"/>
          <w:sz w:val="22"/>
          <w:szCs w:val="22"/>
          <w:lang w:eastAsia="zh-CN"/>
        </w:rPr>
        <w:t xml:space="preserve"> Management noted that second-quarter 2019 operating income will have a negative impact of $200 million due to investments in ESPN+ and Disney+.  </w:t>
      </w:r>
      <w:r w:rsidR="006E435C">
        <w:rPr>
          <w:rFonts w:ascii="Arial" w:eastAsiaTheme="minorEastAsia" w:hAnsi="Arial" w:cs="Arial"/>
          <w:color w:val="3E3E3E"/>
          <w:sz w:val="22"/>
          <w:szCs w:val="22"/>
          <w:lang w:eastAsia="zh-CN"/>
        </w:rPr>
        <w:t>Disney</w:t>
      </w:r>
      <w:r w:rsidR="00E14908">
        <w:rPr>
          <w:rFonts w:ascii="Arial" w:eastAsiaTheme="minorEastAsia" w:hAnsi="Arial" w:cs="Arial"/>
          <w:color w:val="3E3E3E"/>
          <w:sz w:val="22"/>
          <w:szCs w:val="22"/>
          <w:lang w:eastAsia="zh-CN"/>
        </w:rPr>
        <w:t xml:space="preserve"> expect</w:t>
      </w:r>
      <w:r w:rsidR="006E435C">
        <w:rPr>
          <w:rFonts w:ascii="Arial" w:eastAsiaTheme="minorEastAsia" w:hAnsi="Arial" w:cs="Arial"/>
          <w:color w:val="3E3E3E"/>
          <w:sz w:val="22"/>
          <w:szCs w:val="22"/>
          <w:lang w:eastAsia="zh-CN"/>
        </w:rPr>
        <w:t>s</w:t>
      </w:r>
      <w:r w:rsidR="00E14908">
        <w:rPr>
          <w:rFonts w:ascii="Arial" w:eastAsiaTheme="minorEastAsia" w:hAnsi="Arial" w:cs="Arial"/>
          <w:color w:val="3E3E3E"/>
          <w:sz w:val="22"/>
          <w:szCs w:val="22"/>
          <w:lang w:eastAsia="zh-CN"/>
        </w:rPr>
        <w:t xml:space="preserve"> significant competition in the streaming market from Netflix and Amazon Prime Video</w:t>
      </w:r>
      <w:r w:rsidR="006E435C">
        <w:rPr>
          <w:rFonts w:ascii="Arial" w:eastAsiaTheme="minorEastAsia" w:hAnsi="Arial" w:cs="Arial"/>
          <w:color w:val="3E3E3E"/>
          <w:sz w:val="22"/>
          <w:szCs w:val="22"/>
          <w:lang w:eastAsia="zh-CN"/>
        </w:rPr>
        <w:t xml:space="preserve"> as well as potential new entrants like Apple and Walmart.  Although late to the game, Disney’s extensive programming library and future content should offset any delays of them entering the streaming environment. However, the large investment to their direct to consumer (DTC) strategy poses a serious risk if these new services are unable to gain traction with customers.</w:t>
      </w:r>
      <w:r w:rsidRPr="00A865AD">
        <w:rPr>
          <w:noProof/>
        </w:rPr>
        <w:t xml:space="preserve"> </w:t>
      </w:r>
    </w:p>
    <w:p w14:paraId="6D3AFEB6" w14:textId="77777777" w:rsidR="00A865AD" w:rsidRPr="0006253F" w:rsidRDefault="00A865AD" w:rsidP="00A865AD">
      <w:pPr>
        <w:autoSpaceDE w:val="0"/>
        <w:autoSpaceDN w:val="0"/>
        <w:adjustRightInd w:val="0"/>
        <w:ind w:left="1080"/>
        <w:jc w:val="both"/>
        <w:rPr>
          <w:rFonts w:ascii="Arial" w:eastAsiaTheme="minorEastAsia" w:hAnsi="Arial" w:cs="Arial"/>
          <w:color w:val="3E3E3E"/>
          <w:sz w:val="16"/>
          <w:szCs w:val="16"/>
          <w:lang w:eastAsia="zh-CN"/>
        </w:rPr>
      </w:pPr>
    </w:p>
    <w:p w14:paraId="3D4A71E5" w14:textId="77777777" w:rsidR="0010433A" w:rsidRPr="0010433A" w:rsidRDefault="0010433A" w:rsidP="0010433A">
      <w:pPr>
        <w:pStyle w:val="ListParagraph"/>
        <w:numPr>
          <w:ilvl w:val="0"/>
          <w:numId w:val="2"/>
        </w:numPr>
        <w:autoSpaceDE w:val="0"/>
        <w:autoSpaceDN w:val="0"/>
        <w:adjustRightInd w:val="0"/>
        <w:jc w:val="both"/>
        <w:rPr>
          <w:rFonts w:ascii="Arial" w:eastAsiaTheme="minorEastAsia" w:hAnsi="Arial" w:cs="Arial"/>
          <w:b/>
          <w:color w:val="002060"/>
          <w:sz w:val="22"/>
          <w:szCs w:val="22"/>
          <w:lang w:eastAsia="zh-CN"/>
        </w:rPr>
      </w:pPr>
      <w:r w:rsidRPr="0010433A">
        <w:rPr>
          <w:rFonts w:ascii="Arial" w:eastAsiaTheme="minorEastAsia" w:hAnsi="Arial" w:cs="Arial"/>
          <w:b/>
          <w:color w:val="002060"/>
          <w:sz w:val="22"/>
          <w:szCs w:val="22"/>
          <w:lang w:eastAsia="zh-CN"/>
        </w:rPr>
        <w:t>Cord-Cutting &amp; Higher Programming Costs</w:t>
      </w:r>
    </w:p>
    <w:p w14:paraId="6BE214DC" w14:textId="77777777" w:rsidR="00A865AD" w:rsidRDefault="00A865AD" w:rsidP="00D222D1">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Pr>
          <w:noProof/>
        </w:rPr>
        <w:drawing>
          <wp:anchor distT="0" distB="0" distL="114300" distR="114300" simplePos="0" relativeHeight="251753472" behindDoc="1" locked="0" layoutInCell="1" allowOverlap="1" wp14:anchorId="38EEDAAD" wp14:editId="7CC5A514">
            <wp:simplePos x="0" y="0"/>
            <wp:positionH relativeFrom="margin">
              <wp:align>right</wp:align>
            </wp:positionH>
            <wp:positionV relativeFrom="paragraph">
              <wp:posOffset>1030605</wp:posOffset>
            </wp:positionV>
            <wp:extent cx="3761105" cy="2120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761105" cy="2120900"/>
                    </a:xfrm>
                    <a:prstGeom prst="rect">
                      <a:avLst/>
                    </a:prstGeom>
                  </pic:spPr>
                </pic:pic>
              </a:graphicData>
            </a:graphic>
            <wp14:sizeRelH relativeFrom="margin">
              <wp14:pctWidth>0</wp14:pctWidth>
            </wp14:sizeRelH>
            <wp14:sizeRelV relativeFrom="margin">
              <wp14:pctHeight>0</wp14:pctHeight>
            </wp14:sizeRelV>
          </wp:anchor>
        </w:drawing>
      </w:r>
      <w:r w:rsidR="00FE6C28" w:rsidRPr="00A865AD">
        <w:rPr>
          <w:rFonts w:ascii="Arial" w:eastAsiaTheme="minorEastAsia" w:hAnsi="Arial" w:cs="Arial"/>
          <w:color w:val="3E3E3E"/>
          <w:sz w:val="22"/>
          <w:szCs w:val="22"/>
          <w:lang w:eastAsia="zh-CN"/>
        </w:rPr>
        <w:t>Higher programming costs at ESPN</w:t>
      </w:r>
      <w:r w:rsidR="00E14908" w:rsidRPr="00A865AD">
        <w:rPr>
          <w:rFonts w:ascii="Arial" w:eastAsiaTheme="minorEastAsia" w:hAnsi="Arial" w:cs="Arial"/>
          <w:color w:val="3E3E3E"/>
          <w:sz w:val="22"/>
          <w:szCs w:val="22"/>
          <w:lang w:eastAsia="zh-CN"/>
        </w:rPr>
        <w:t xml:space="preserve"> were due to increases in contractual rates of a few sports programs, like the National Basketball Association (NBA) and National Football Association (NFL).  Cord-cutting remains a significant concern for Disney’s cable network business, which also hurts advertising revenue growth.</w:t>
      </w:r>
      <w:r>
        <w:rPr>
          <w:rFonts w:ascii="Arial" w:eastAsiaTheme="minorEastAsia" w:hAnsi="Arial" w:cs="Arial"/>
          <w:color w:val="3E3E3E"/>
          <w:sz w:val="22"/>
          <w:szCs w:val="22"/>
          <w:lang w:eastAsia="zh-CN"/>
        </w:rPr>
        <w:t xml:space="preserve"> </w:t>
      </w:r>
      <w:r w:rsidR="005E364B" w:rsidRPr="00A865AD">
        <w:rPr>
          <w:rFonts w:ascii="Arial" w:eastAsiaTheme="minorEastAsia" w:hAnsi="Arial" w:cs="Arial"/>
          <w:color w:val="3E3E3E"/>
          <w:sz w:val="22"/>
          <w:szCs w:val="22"/>
          <w:lang w:eastAsia="zh-CN"/>
        </w:rPr>
        <w:t>To counter the cord cutting, ESPN has been included in Dish’s Sling TV, A</w:t>
      </w:r>
      <w:r w:rsidR="00C51084" w:rsidRPr="00A865AD">
        <w:rPr>
          <w:rFonts w:ascii="Arial" w:eastAsiaTheme="minorEastAsia" w:hAnsi="Arial" w:cs="Arial"/>
          <w:color w:val="3E3E3E"/>
          <w:sz w:val="22"/>
          <w:szCs w:val="22"/>
          <w:lang w:eastAsia="zh-CN"/>
        </w:rPr>
        <w:t>T</w:t>
      </w:r>
      <w:r w:rsidR="005E364B" w:rsidRPr="00A865AD">
        <w:rPr>
          <w:rFonts w:ascii="Arial" w:eastAsiaTheme="minorEastAsia" w:hAnsi="Arial" w:cs="Arial"/>
          <w:color w:val="3E3E3E"/>
          <w:sz w:val="22"/>
          <w:szCs w:val="22"/>
          <w:lang w:eastAsia="zh-CN"/>
        </w:rPr>
        <w:t>&amp;T DirecTV Now, Hulu, Sony’s PlayStation Vue, and YouTube TV, all of which are referred to as virtual multichannel video program distributors (vMVPDs).</w:t>
      </w:r>
      <w:r w:rsidRPr="00A865AD">
        <w:rPr>
          <w:rFonts w:ascii="Arial" w:eastAsiaTheme="minorEastAsia" w:hAnsi="Arial" w:cs="Arial"/>
          <w:color w:val="3E3E3E"/>
          <w:sz w:val="22"/>
          <w:szCs w:val="22"/>
          <w:lang w:eastAsia="zh-CN"/>
        </w:rPr>
        <w:t xml:space="preserve"> </w:t>
      </w:r>
      <w:r w:rsidR="005E364B" w:rsidRPr="00A865AD">
        <w:rPr>
          <w:rFonts w:ascii="Arial" w:eastAsiaTheme="minorEastAsia" w:hAnsi="Arial" w:cs="Arial"/>
          <w:color w:val="3E3E3E"/>
          <w:sz w:val="22"/>
          <w:szCs w:val="22"/>
          <w:lang w:eastAsia="zh-CN"/>
        </w:rPr>
        <w:t>Currently, the vMVPD market is immaterial to Disney however, inclusion in them represents a hedge against their future growth and the shrinkage of the cable subscriber universe if the cord-cutter</w:t>
      </w:r>
      <w:r>
        <w:rPr>
          <w:rFonts w:ascii="Arial" w:eastAsiaTheme="minorEastAsia" w:hAnsi="Arial" w:cs="Arial"/>
          <w:color w:val="3E3E3E"/>
          <w:sz w:val="22"/>
          <w:szCs w:val="22"/>
          <w:lang w:eastAsia="zh-CN"/>
        </w:rPr>
        <w:t xml:space="preserve"> </w:t>
      </w:r>
      <w:r w:rsidR="00C51084" w:rsidRPr="00A865AD">
        <w:rPr>
          <w:rFonts w:ascii="Arial" w:eastAsiaTheme="minorEastAsia" w:hAnsi="Arial" w:cs="Arial"/>
          <w:color w:val="3E3E3E"/>
          <w:sz w:val="22"/>
          <w:szCs w:val="22"/>
          <w:lang w:eastAsia="zh-CN"/>
        </w:rPr>
        <w:t>phenomenon accelerates</w:t>
      </w:r>
      <w:r>
        <w:rPr>
          <w:rFonts w:ascii="Arial" w:eastAsiaTheme="minorEastAsia" w:hAnsi="Arial" w:cs="Arial"/>
          <w:color w:val="3E3E3E"/>
          <w:sz w:val="22"/>
          <w:szCs w:val="22"/>
          <w:lang w:eastAsia="zh-CN"/>
        </w:rPr>
        <w:t xml:space="preserve">, which according to the chart to the right, by 2023 revenue growth is expected to accelerate more than double for the vMVPD market. </w:t>
      </w:r>
      <w:r w:rsidR="00C51084" w:rsidRPr="00A865AD">
        <w:rPr>
          <w:rFonts w:ascii="Arial" w:eastAsiaTheme="minorEastAsia" w:hAnsi="Arial" w:cs="Arial"/>
          <w:color w:val="3E3E3E"/>
          <w:sz w:val="22"/>
          <w:szCs w:val="22"/>
          <w:lang w:eastAsia="zh-CN"/>
        </w:rPr>
        <w:t>Yet, there is still risk in these services offering a ‘skinny bundle’ that excludes sports.</w:t>
      </w:r>
    </w:p>
    <w:p w14:paraId="5788B017" w14:textId="2EF44404" w:rsidR="0010433A" w:rsidRPr="0006253F" w:rsidRDefault="0010433A" w:rsidP="00A865AD">
      <w:pPr>
        <w:autoSpaceDE w:val="0"/>
        <w:autoSpaceDN w:val="0"/>
        <w:adjustRightInd w:val="0"/>
        <w:ind w:left="1080"/>
        <w:jc w:val="both"/>
        <w:rPr>
          <w:rFonts w:ascii="Arial" w:eastAsiaTheme="minorEastAsia" w:hAnsi="Arial" w:cs="Arial"/>
          <w:color w:val="3E3E3E"/>
          <w:sz w:val="16"/>
          <w:szCs w:val="16"/>
          <w:lang w:eastAsia="zh-CN"/>
        </w:rPr>
      </w:pPr>
      <w:r w:rsidRPr="0006253F">
        <w:rPr>
          <w:rFonts w:ascii="Arial" w:hAnsi="Arial" w:cs="Arial"/>
          <w:sz w:val="16"/>
          <w:szCs w:val="16"/>
        </w:rPr>
        <w:t xml:space="preserve"> </w:t>
      </w:r>
    </w:p>
    <w:p w14:paraId="262D76D6" w14:textId="2C18AE1B" w:rsidR="0010433A" w:rsidRPr="0010433A" w:rsidRDefault="0010433A" w:rsidP="0010433A">
      <w:pPr>
        <w:pStyle w:val="ListParagraph"/>
        <w:numPr>
          <w:ilvl w:val="0"/>
          <w:numId w:val="2"/>
        </w:numPr>
        <w:autoSpaceDE w:val="0"/>
        <w:autoSpaceDN w:val="0"/>
        <w:adjustRightInd w:val="0"/>
        <w:jc w:val="both"/>
        <w:rPr>
          <w:rFonts w:ascii="Arial" w:eastAsiaTheme="minorEastAsia" w:hAnsi="Arial" w:cs="Arial"/>
          <w:b/>
          <w:color w:val="002060"/>
          <w:sz w:val="22"/>
          <w:szCs w:val="22"/>
          <w:lang w:eastAsia="zh-CN"/>
        </w:rPr>
      </w:pPr>
      <w:r w:rsidRPr="0010433A">
        <w:rPr>
          <w:rFonts w:ascii="Arial" w:eastAsiaTheme="minorEastAsia" w:hAnsi="Arial" w:cs="Arial"/>
          <w:b/>
          <w:color w:val="002060"/>
          <w:sz w:val="22"/>
          <w:szCs w:val="22"/>
          <w:lang w:eastAsia="zh-CN"/>
        </w:rPr>
        <w:t>Tourism &amp; Consumer Confidence</w:t>
      </w:r>
    </w:p>
    <w:p w14:paraId="16FC602B" w14:textId="77777777" w:rsidR="0006253F" w:rsidRDefault="00FE6C28" w:rsidP="0010433A">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Pr>
          <w:rFonts w:ascii="Arial" w:eastAsiaTheme="minorEastAsia" w:hAnsi="Arial" w:cs="Arial"/>
          <w:color w:val="3E3E3E"/>
          <w:sz w:val="22"/>
          <w:szCs w:val="22"/>
          <w:lang w:eastAsia="zh-CN"/>
        </w:rPr>
        <w:t>Softness experienced in tourism in China negatively impacted Shanghai Disney Resort results</w:t>
      </w:r>
      <w:r w:rsidR="006E435C">
        <w:rPr>
          <w:rFonts w:ascii="Arial" w:eastAsiaTheme="minorEastAsia" w:hAnsi="Arial" w:cs="Arial"/>
          <w:color w:val="3E3E3E"/>
          <w:sz w:val="22"/>
          <w:szCs w:val="22"/>
          <w:lang w:eastAsia="zh-CN"/>
        </w:rPr>
        <w:t xml:space="preserve"> and attendance</w:t>
      </w:r>
      <w:r w:rsidR="0010433A" w:rsidRPr="00DD53C4">
        <w:rPr>
          <w:rFonts w:ascii="Arial" w:eastAsiaTheme="minorEastAsia" w:hAnsi="Arial" w:cs="Arial"/>
          <w:color w:val="3E3E3E"/>
          <w:sz w:val="22"/>
          <w:szCs w:val="22"/>
          <w:lang w:eastAsia="zh-CN"/>
        </w:rPr>
        <w:t>.</w:t>
      </w:r>
      <w:r w:rsidR="006E435C">
        <w:rPr>
          <w:rFonts w:ascii="Arial" w:eastAsiaTheme="minorEastAsia" w:hAnsi="Arial" w:cs="Arial"/>
          <w:color w:val="3E3E3E"/>
          <w:sz w:val="22"/>
          <w:szCs w:val="22"/>
          <w:lang w:eastAsia="zh-CN"/>
        </w:rPr>
        <w:t xml:space="preserve">  Increased cost at both Shanghai and Disneyland Paris affected the results for last quarter.  If the slowdowns in China and Europe spread to the rest of the global economy, it will have an impact on overall spending for their Parks</w:t>
      </w:r>
      <w:r w:rsidR="005E364B">
        <w:rPr>
          <w:rFonts w:ascii="Arial" w:eastAsiaTheme="minorEastAsia" w:hAnsi="Arial" w:cs="Arial"/>
          <w:color w:val="3E3E3E"/>
          <w:sz w:val="22"/>
          <w:szCs w:val="22"/>
          <w:lang w:eastAsia="zh-CN"/>
        </w:rPr>
        <w:t xml:space="preserve"> and Resorts segment as well as the other segments. Disney also increased its economic sensitivity through the reacquisition of Disney retail stores in North America and Japan.</w:t>
      </w:r>
    </w:p>
    <w:p w14:paraId="6444E3F4" w14:textId="14D05292" w:rsidR="0010433A" w:rsidRPr="0006253F" w:rsidRDefault="006E435C" w:rsidP="0006253F">
      <w:pPr>
        <w:autoSpaceDE w:val="0"/>
        <w:autoSpaceDN w:val="0"/>
        <w:adjustRightInd w:val="0"/>
        <w:ind w:left="1080"/>
        <w:jc w:val="both"/>
        <w:rPr>
          <w:rFonts w:ascii="Arial" w:eastAsiaTheme="minorEastAsia" w:hAnsi="Arial" w:cs="Arial"/>
          <w:color w:val="3E3E3E"/>
          <w:sz w:val="16"/>
          <w:szCs w:val="16"/>
          <w:lang w:eastAsia="zh-CN"/>
        </w:rPr>
      </w:pPr>
      <w:r w:rsidRPr="0006253F">
        <w:rPr>
          <w:rFonts w:ascii="Arial" w:eastAsiaTheme="minorEastAsia" w:hAnsi="Arial" w:cs="Arial"/>
          <w:color w:val="3E3E3E"/>
          <w:sz w:val="16"/>
          <w:szCs w:val="16"/>
          <w:lang w:eastAsia="zh-CN"/>
        </w:rPr>
        <w:t xml:space="preserve">  </w:t>
      </w:r>
    </w:p>
    <w:p w14:paraId="02F4A72C" w14:textId="670E6B68" w:rsidR="00FE6C28" w:rsidRDefault="0006253F" w:rsidP="00FE6C28">
      <w:pPr>
        <w:pStyle w:val="ListParagraph"/>
        <w:numPr>
          <w:ilvl w:val="0"/>
          <w:numId w:val="2"/>
        </w:numPr>
        <w:autoSpaceDE w:val="0"/>
        <w:autoSpaceDN w:val="0"/>
        <w:adjustRightInd w:val="0"/>
        <w:jc w:val="both"/>
        <w:rPr>
          <w:rFonts w:ascii="Arial" w:eastAsiaTheme="minorEastAsia" w:hAnsi="Arial" w:cs="Arial"/>
          <w:b/>
          <w:color w:val="002060"/>
          <w:sz w:val="22"/>
          <w:szCs w:val="22"/>
          <w:lang w:eastAsia="zh-CN"/>
        </w:rPr>
      </w:pPr>
      <w:r>
        <w:rPr>
          <w:noProof/>
        </w:rPr>
        <w:drawing>
          <wp:anchor distT="0" distB="0" distL="114300" distR="114300" simplePos="0" relativeHeight="251755520" behindDoc="0" locked="0" layoutInCell="1" allowOverlap="1" wp14:anchorId="4A11FF1E" wp14:editId="5585DE2F">
            <wp:simplePos x="0" y="0"/>
            <wp:positionH relativeFrom="margin">
              <wp:align>right</wp:align>
            </wp:positionH>
            <wp:positionV relativeFrom="paragraph">
              <wp:posOffset>8255</wp:posOffset>
            </wp:positionV>
            <wp:extent cx="2757170" cy="13017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57170" cy="1301750"/>
                    </a:xfrm>
                    <a:prstGeom prst="rect">
                      <a:avLst/>
                    </a:prstGeom>
                  </pic:spPr>
                </pic:pic>
              </a:graphicData>
            </a:graphic>
            <wp14:sizeRelH relativeFrom="margin">
              <wp14:pctWidth>0</wp14:pctWidth>
            </wp14:sizeRelH>
            <wp14:sizeRelV relativeFrom="margin">
              <wp14:pctHeight>0</wp14:pctHeight>
            </wp14:sizeRelV>
          </wp:anchor>
        </w:drawing>
      </w:r>
      <w:r w:rsidR="00FE6C28">
        <w:rPr>
          <w:rFonts w:ascii="Arial" w:eastAsiaTheme="minorEastAsia" w:hAnsi="Arial" w:cs="Arial"/>
          <w:b/>
          <w:color w:val="002060"/>
          <w:sz w:val="22"/>
          <w:szCs w:val="22"/>
          <w:lang w:eastAsia="zh-CN"/>
        </w:rPr>
        <w:t>Acquisition Synergies Not Capitalized as Expected</w:t>
      </w:r>
    </w:p>
    <w:p w14:paraId="77A90B5B" w14:textId="27DD3505" w:rsidR="00812AED" w:rsidRPr="0006253F" w:rsidRDefault="00FE6C28" w:rsidP="00D222D1">
      <w:pPr>
        <w:pStyle w:val="ListParagraph"/>
        <w:numPr>
          <w:ilvl w:val="1"/>
          <w:numId w:val="2"/>
        </w:numPr>
        <w:autoSpaceDE w:val="0"/>
        <w:autoSpaceDN w:val="0"/>
        <w:adjustRightInd w:val="0"/>
        <w:jc w:val="both"/>
        <w:rPr>
          <w:rFonts w:ascii="Arial" w:eastAsiaTheme="minorEastAsia" w:hAnsi="Arial" w:cs="Arial"/>
          <w:color w:val="3E3E3E"/>
          <w:sz w:val="22"/>
          <w:szCs w:val="22"/>
          <w:lang w:eastAsia="zh-CN"/>
        </w:rPr>
      </w:pPr>
      <w:r w:rsidRPr="0006253F">
        <w:rPr>
          <w:rFonts w:ascii="Arial" w:eastAsiaTheme="minorEastAsia" w:hAnsi="Arial" w:cs="Arial"/>
          <w:color w:val="3E3E3E"/>
          <w:sz w:val="22"/>
          <w:szCs w:val="22"/>
          <w:lang w:eastAsia="zh-CN"/>
        </w:rPr>
        <w:t>The 21st Century Fox acquisition could lead to integration challenges and major layoffs that don’t produce the expected $2 Billion in expected cost savings.  A change of this type could give rise to a talent migration and reduction in staff productivity.  Although</w:t>
      </w:r>
      <w:r w:rsidR="0006253F" w:rsidRPr="0006253F">
        <w:rPr>
          <w:rFonts w:ascii="Arial" w:eastAsiaTheme="minorEastAsia" w:hAnsi="Arial" w:cs="Arial"/>
          <w:color w:val="3E3E3E"/>
          <w:sz w:val="22"/>
          <w:szCs w:val="22"/>
          <w:lang w:eastAsia="zh-CN"/>
        </w:rPr>
        <w:t xml:space="preserve"> </w:t>
      </w:r>
      <w:r w:rsidRPr="0006253F">
        <w:rPr>
          <w:rFonts w:ascii="Arial" w:eastAsiaTheme="minorEastAsia" w:hAnsi="Arial" w:cs="Arial"/>
          <w:color w:val="3E3E3E"/>
          <w:sz w:val="22"/>
          <w:szCs w:val="22"/>
          <w:lang w:eastAsia="zh-CN"/>
        </w:rPr>
        <w:t>Disney has shown robust management policies and programs, just by its sure size</w:t>
      </w:r>
      <w:r w:rsidR="0006253F" w:rsidRPr="0006253F">
        <w:rPr>
          <w:rFonts w:ascii="Arial" w:eastAsiaTheme="minorEastAsia" w:hAnsi="Arial" w:cs="Arial"/>
          <w:color w:val="3E3E3E"/>
          <w:sz w:val="22"/>
          <w:szCs w:val="22"/>
          <w:lang w:eastAsia="zh-CN"/>
        </w:rPr>
        <w:t xml:space="preserve">, </w:t>
      </w:r>
      <w:r w:rsidRPr="0006253F">
        <w:rPr>
          <w:rFonts w:ascii="Arial" w:eastAsiaTheme="minorEastAsia" w:hAnsi="Arial" w:cs="Arial"/>
          <w:color w:val="3E3E3E"/>
          <w:sz w:val="22"/>
          <w:szCs w:val="22"/>
          <w:lang w:eastAsia="zh-CN"/>
        </w:rPr>
        <w:t xml:space="preserve">diversified footprint </w:t>
      </w:r>
      <w:r w:rsidR="0006253F" w:rsidRPr="0006253F">
        <w:rPr>
          <w:rFonts w:ascii="Arial" w:eastAsiaTheme="minorEastAsia" w:hAnsi="Arial" w:cs="Arial"/>
          <w:color w:val="3E3E3E"/>
          <w:sz w:val="22"/>
          <w:szCs w:val="22"/>
          <w:lang w:eastAsia="zh-CN"/>
        </w:rPr>
        <w:t xml:space="preserve">and </w:t>
      </w:r>
      <w:r w:rsidRPr="0006253F">
        <w:rPr>
          <w:rFonts w:ascii="Arial" w:eastAsiaTheme="minorEastAsia" w:hAnsi="Arial" w:cs="Arial"/>
          <w:color w:val="3E3E3E"/>
          <w:sz w:val="22"/>
          <w:szCs w:val="22"/>
          <w:lang w:eastAsia="zh-CN"/>
        </w:rPr>
        <w:t>brand visibility, any transition issues could pose serious liability and reputation risks.</w:t>
      </w:r>
    </w:p>
    <w:p w14:paraId="7CD8C2D9" w14:textId="77777777" w:rsidR="00812AED" w:rsidRPr="00C51084" w:rsidRDefault="00812AED" w:rsidP="00812AED">
      <w:pPr>
        <w:rPr>
          <w:rFonts w:ascii="Times New Roman" w:hAnsi="Times New Roman"/>
          <w:b/>
          <w:noProof/>
          <w:sz w:val="22"/>
          <w:szCs w:val="22"/>
        </w:rPr>
      </w:pPr>
    </w:p>
    <w:p w14:paraId="106596AF" w14:textId="328DF1AE" w:rsidR="00812AED" w:rsidRPr="00FB0D64" w:rsidRDefault="00812AED" w:rsidP="00812AED">
      <w:pPr>
        <w:rPr>
          <w:rFonts w:ascii="Arial" w:hAnsi="Arial" w:cs="Arial"/>
          <w:b/>
          <w:noProof/>
          <w:color w:val="002060"/>
          <w:sz w:val="32"/>
          <w:szCs w:val="32"/>
        </w:rPr>
      </w:pPr>
      <w:r w:rsidRPr="00FB0D64">
        <w:rPr>
          <w:rFonts w:ascii="Arial" w:hAnsi="Arial" w:cs="Arial"/>
          <w:b/>
          <w:noProof/>
          <w:color w:val="002060"/>
          <w:sz w:val="32"/>
          <w:szCs w:val="32"/>
        </w:rPr>
        <w:t>Financial Analysis</w:t>
      </w:r>
    </w:p>
    <w:p w14:paraId="245262F6" w14:textId="67752DFE" w:rsidR="00812AED" w:rsidRDefault="00812AED" w:rsidP="00812AED">
      <w:pPr>
        <w:rPr>
          <w:noProof/>
        </w:rPr>
      </w:pPr>
    </w:p>
    <w:p w14:paraId="15725566" w14:textId="2686A3E1" w:rsidR="00812AED" w:rsidRPr="006C4657" w:rsidRDefault="00812AED" w:rsidP="00812AED">
      <w:pPr>
        <w:rPr>
          <w:rFonts w:ascii="Arial" w:hAnsi="Arial" w:cs="Arial"/>
          <w:b/>
          <w:noProof/>
          <w:sz w:val="22"/>
          <w:szCs w:val="22"/>
        </w:rPr>
      </w:pPr>
      <w:r w:rsidRPr="006C4657">
        <w:rPr>
          <w:rFonts w:ascii="Arial" w:hAnsi="Arial" w:cs="Arial"/>
          <w:b/>
          <w:noProof/>
          <w:sz w:val="22"/>
          <w:szCs w:val="22"/>
        </w:rPr>
        <w:t>Price Performance</w:t>
      </w:r>
      <w:r w:rsidR="006C4657" w:rsidRPr="006C4657">
        <w:rPr>
          <w:rFonts w:ascii="Arial" w:hAnsi="Arial" w:cs="Arial"/>
          <w:b/>
          <w:noProof/>
          <w:sz w:val="22"/>
          <w:szCs w:val="22"/>
        </w:rPr>
        <w:t>:</w:t>
      </w:r>
    </w:p>
    <w:p w14:paraId="56E25290" w14:textId="77777777" w:rsidR="006C4657" w:rsidRDefault="006C4657" w:rsidP="006C4657">
      <w:pPr>
        <w:jc w:val="both"/>
        <w:rPr>
          <w:rFonts w:ascii="Arial" w:hAnsi="Arial" w:cs="Arial"/>
          <w:noProof/>
          <w:sz w:val="22"/>
          <w:szCs w:val="22"/>
        </w:rPr>
      </w:pPr>
    </w:p>
    <w:p w14:paraId="1649BE64" w14:textId="02FE8831" w:rsidR="006C4657" w:rsidRDefault="006C4657" w:rsidP="006C4657">
      <w:pPr>
        <w:jc w:val="both"/>
        <w:rPr>
          <w:rFonts w:ascii="Arial" w:hAnsi="Arial" w:cs="Arial"/>
          <w:noProof/>
          <w:sz w:val="22"/>
          <w:szCs w:val="22"/>
        </w:rPr>
      </w:pPr>
      <w:r>
        <w:rPr>
          <w:rFonts w:ascii="Arial" w:hAnsi="Arial" w:cs="Arial"/>
          <w:noProof/>
          <w:sz w:val="22"/>
          <w:szCs w:val="22"/>
        </w:rPr>
        <w:t xml:space="preserve">The stock price of Disney has been range bound for the last few years, hovering between $95 and $115. This is primarily due to investors caution about the ESPN subscriber </w:t>
      </w:r>
      <w:r w:rsidR="00EF3ADC">
        <w:rPr>
          <w:rFonts w:ascii="Arial" w:hAnsi="Arial" w:cs="Arial"/>
          <w:noProof/>
          <w:sz w:val="22"/>
          <w:szCs w:val="22"/>
        </w:rPr>
        <w:t>deteriorating</w:t>
      </w:r>
      <w:r>
        <w:rPr>
          <w:rFonts w:ascii="Arial" w:hAnsi="Arial" w:cs="Arial"/>
          <w:noProof/>
          <w:sz w:val="22"/>
          <w:szCs w:val="22"/>
        </w:rPr>
        <w:t xml:space="preserve"> numbers and whether or not the company was going to be able to respond to the disruption to the media landscape.  We believe that the recent Investors Day helped to show that the company has a plan and subsequently we saw the stock break out of its range as it jumped to $132.  As can be seen by the chart below, based on the stock’s highest and lowest expected p/e ratio over the past five years, there is a nice floor for the stock and significant upside.</w:t>
      </w:r>
    </w:p>
    <w:p w14:paraId="79BB614A" w14:textId="77777777" w:rsidR="004932BB" w:rsidRPr="006C4657" w:rsidRDefault="004932BB" w:rsidP="006C4657">
      <w:pPr>
        <w:jc w:val="both"/>
        <w:rPr>
          <w:rFonts w:ascii="Arial" w:hAnsi="Arial" w:cs="Arial"/>
          <w:noProof/>
          <w:sz w:val="22"/>
          <w:szCs w:val="22"/>
        </w:rPr>
      </w:pPr>
    </w:p>
    <w:p w14:paraId="21EBF7D6" w14:textId="748F9EB6" w:rsidR="00812AED" w:rsidRDefault="00812AED" w:rsidP="00812AED">
      <w:pPr>
        <w:rPr>
          <w:noProof/>
        </w:rPr>
      </w:pPr>
      <w:r>
        <w:rPr>
          <w:noProof/>
        </w:rPr>
        <w:drawing>
          <wp:inline distT="0" distB="0" distL="0" distR="0" wp14:anchorId="44C8A161" wp14:editId="244F77F9">
            <wp:extent cx="6858000" cy="170370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703705"/>
                    </a:xfrm>
                    <a:prstGeom prst="rect">
                      <a:avLst/>
                    </a:prstGeom>
                  </pic:spPr>
                </pic:pic>
              </a:graphicData>
            </a:graphic>
          </wp:inline>
        </w:drawing>
      </w:r>
    </w:p>
    <w:p w14:paraId="359D23E4" w14:textId="6876A915" w:rsidR="00812AED" w:rsidRDefault="00812AED" w:rsidP="00812AED">
      <w:pPr>
        <w:rPr>
          <w:noProof/>
        </w:rPr>
      </w:pPr>
    </w:p>
    <w:p w14:paraId="2B4180DE" w14:textId="58FF75A5" w:rsidR="00812AED" w:rsidRDefault="00812AED" w:rsidP="00812AED">
      <w:pPr>
        <w:rPr>
          <w:rFonts w:ascii="Arial" w:hAnsi="Arial" w:cs="Arial"/>
          <w:b/>
          <w:noProof/>
          <w:sz w:val="22"/>
          <w:szCs w:val="22"/>
        </w:rPr>
      </w:pPr>
      <w:r w:rsidRPr="006C4657">
        <w:rPr>
          <w:rFonts w:ascii="Arial" w:hAnsi="Arial" w:cs="Arial"/>
          <w:b/>
          <w:noProof/>
          <w:sz w:val="22"/>
          <w:szCs w:val="22"/>
        </w:rPr>
        <w:t>Earnings Per Share Analysis</w:t>
      </w:r>
      <w:r w:rsidR="00EF3ADC">
        <w:rPr>
          <w:rFonts w:ascii="Arial" w:hAnsi="Arial" w:cs="Arial"/>
          <w:b/>
          <w:noProof/>
          <w:sz w:val="22"/>
          <w:szCs w:val="22"/>
        </w:rPr>
        <w:t>:</w:t>
      </w:r>
    </w:p>
    <w:p w14:paraId="6C67423E" w14:textId="4AED02D2" w:rsidR="006C4657" w:rsidRDefault="006C4657" w:rsidP="00812AED">
      <w:pPr>
        <w:rPr>
          <w:rFonts w:ascii="Arial" w:hAnsi="Arial" w:cs="Arial"/>
          <w:b/>
          <w:noProof/>
          <w:sz w:val="22"/>
          <w:szCs w:val="22"/>
        </w:rPr>
      </w:pPr>
    </w:p>
    <w:p w14:paraId="103C5059" w14:textId="77777777" w:rsidR="00EF3ADC" w:rsidRDefault="00EF3ADC" w:rsidP="00EF3ADC">
      <w:pPr>
        <w:jc w:val="both"/>
        <w:rPr>
          <w:rFonts w:ascii="Arial" w:hAnsi="Arial" w:cs="Arial"/>
          <w:noProof/>
          <w:sz w:val="22"/>
          <w:szCs w:val="22"/>
        </w:rPr>
      </w:pPr>
      <w:r>
        <w:rPr>
          <w:noProof/>
        </w:rPr>
        <w:drawing>
          <wp:anchor distT="0" distB="0" distL="114300" distR="114300" simplePos="0" relativeHeight="251756544" behindDoc="0" locked="0" layoutInCell="1" allowOverlap="1" wp14:anchorId="3A153DB1" wp14:editId="6DE51459">
            <wp:simplePos x="0" y="0"/>
            <wp:positionH relativeFrom="column">
              <wp:posOffset>3575050</wp:posOffset>
            </wp:positionH>
            <wp:positionV relativeFrom="paragraph">
              <wp:posOffset>4445</wp:posOffset>
            </wp:positionV>
            <wp:extent cx="2977515" cy="19475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77515" cy="1947545"/>
                    </a:xfrm>
                    <a:prstGeom prst="rect">
                      <a:avLst/>
                    </a:prstGeom>
                  </pic:spPr>
                </pic:pic>
              </a:graphicData>
            </a:graphic>
            <wp14:sizeRelH relativeFrom="margin">
              <wp14:pctWidth>0</wp14:pctWidth>
            </wp14:sizeRelH>
            <wp14:sizeRelV relativeFrom="margin">
              <wp14:pctHeight>0</wp14:pctHeight>
            </wp14:sizeRelV>
          </wp:anchor>
        </w:drawing>
      </w:r>
      <w:r w:rsidRPr="00EF3ADC">
        <w:rPr>
          <w:rFonts w:ascii="Arial" w:hAnsi="Arial" w:cs="Arial"/>
          <w:noProof/>
          <w:sz w:val="22"/>
          <w:szCs w:val="22"/>
        </w:rPr>
        <w:t>Quarterly earnings per share</w:t>
      </w:r>
      <w:r>
        <w:rPr>
          <w:rFonts w:ascii="Arial" w:hAnsi="Arial" w:cs="Arial"/>
          <w:noProof/>
          <w:sz w:val="22"/>
          <w:szCs w:val="22"/>
        </w:rPr>
        <w:t xml:space="preserve"> have been a little mixed over the past year with Disney beating the consensus estimate that last two quarters but narrowly missing in Q3 of 2018.  However, those numbers were actually higher than the last two quarters so we attribute that miss to slightly over-ambitious analyst expectations.  The earnings have been solid for the company for a long time and the company generates over $8 Billion in free cash flow a year.  Therefore, we are not too concerned about the occasion earnings miss.</w:t>
      </w:r>
    </w:p>
    <w:p w14:paraId="0191FF65" w14:textId="064E987B" w:rsidR="00EF3ADC" w:rsidRPr="00EF3ADC" w:rsidRDefault="00EF3ADC" w:rsidP="00EF3ADC">
      <w:pPr>
        <w:jc w:val="both"/>
        <w:rPr>
          <w:rFonts w:ascii="Arial" w:hAnsi="Arial" w:cs="Arial"/>
          <w:noProof/>
          <w:sz w:val="22"/>
          <w:szCs w:val="22"/>
        </w:rPr>
      </w:pPr>
      <w:r w:rsidRPr="00EF3ADC">
        <w:rPr>
          <w:rFonts w:ascii="Arial" w:hAnsi="Arial" w:cs="Arial"/>
          <w:noProof/>
          <w:sz w:val="22"/>
          <w:szCs w:val="22"/>
        </w:rPr>
        <w:t xml:space="preserve"> </w:t>
      </w:r>
    </w:p>
    <w:p w14:paraId="51134BF0" w14:textId="77777777" w:rsidR="004932BB" w:rsidRDefault="004932BB" w:rsidP="004932BB">
      <w:pPr>
        <w:rPr>
          <w:rFonts w:ascii="Arial" w:hAnsi="Arial" w:cs="Arial"/>
          <w:b/>
          <w:noProof/>
          <w:sz w:val="22"/>
          <w:szCs w:val="22"/>
        </w:rPr>
      </w:pPr>
    </w:p>
    <w:p w14:paraId="180C7A6E" w14:textId="77777777" w:rsidR="004932BB" w:rsidRDefault="004932BB" w:rsidP="004932BB">
      <w:pPr>
        <w:rPr>
          <w:rFonts w:ascii="Arial" w:hAnsi="Arial" w:cs="Arial"/>
          <w:b/>
          <w:noProof/>
          <w:sz w:val="22"/>
          <w:szCs w:val="22"/>
        </w:rPr>
      </w:pPr>
    </w:p>
    <w:p w14:paraId="664BFB32" w14:textId="6C551B7D" w:rsidR="004932BB" w:rsidRDefault="004932BB" w:rsidP="004932BB">
      <w:pPr>
        <w:rPr>
          <w:rFonts w:ascii="Arial" w:hAnsi="Arial" w:cs="Arial"/>
          <w:b/>
          <w:noProof/>
          <w:sz w:val="22"/>
          <w:szCs w:val="22"/>
        </w:rPr>
      </w:pPr>
      <w:r>
        <w:rPr>
          <w:rFonts w:ascii="Arial" w:hAnsi="Arial" w:cs="Arial"/>
          <w:b/>
          <w:noProof/>
          <w:sz w:val="22"/>
          <w:szCs w:val="22"/>
        </w:rPr>
        <w:t>Ratio Analysis:</w:t>
      </w:r>
    </w:p>
    <w:p w14:paraId="0BF0952B" w14:textId="77777777" w:rsidR="004932BB" w:rsidRDefault="004932BB" w:rsidP="004932BB">
      <w:pPr>
        <w:rPr>
          <w:rFonts w:ascii="Arial" w:hAnsi="Arial" w:cs="Arial"/>
          <w:b/>
          <w:noProof/>
          <w:sz w:val="22"/>
          <w:szCs w:val="22"/>
        </w:rPr>
      </w:pPr>
    </w:p>
    <w:p w14:paraId="7BB896CB" w14:textId="3CB61245" w:rsidR="00E37D34" w:rsidRDefault="004932BB" w:rsidP="004932BB">
      <w:pPr>
        <w:rPr>
          <w:noProof/>
        </w:rPr>
      </w:pPr>
      <w:r>
        <w:rPr>
          <w:rFonts w:ascii="Arial" w:hAnsi="Arial" w:cs="Arial"/>
          <w:noProof/>
          <w:sz w:val="22"/>
          <w:szCs w:val="22"/>
        </w:rPr>
        <w:t>As noted in the table below, Disney has some impressive ratios across the board.  A number of them are also trending higher over the past 1, 3 and 5-year timeframe.  While not every ratio is higher, a majority of them are and that helps to support our belief that the company has performed well over the past five years and should continue to perform well over the next five years.</w:t>
      </w:r>
      <w:r w:rsidR="00E37D34">
        <w:rPr>
          <w:noProof/>
        </w:rPr>
        <w:tab/>
      </w:r>
    </w:p>
    <w:p w14:paraId="646D53A6" w14:textId="512EE32B" w:rsidR="00812AED" w:rsidRDefault="00812AED" w:rsidP="00812AED">
      <w:pPr>
        <w:rPr>
          <w:noProof/>
        </w:rPr>
      </w:pPr>
    </w:p>
    <w:p w14:paraId="745F2D28" w14:textId="1920DC2B" w:rsidR="00E37D34" w:rsidRDefault="00E37D34" w:rsidP="00812AED">
      <w:pPr>
        <w:rPr>
          <w:noProof/>
        </w:rPr>
      </w:pPr>
      <w:r>
        <w:rPr>
          <w:noProof/>
        </w:rPr>
        <w:drawing>
          <wp:inline distT="0" distB="0" distL="0" distR="0" wp14:anchorId="7C308064" wp14:editId="77E0F46A">
            <wp:extent cx="4178301" cy="151765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2621" cy="1530116"/>
                    </a:xfrm>
                    <a:prstGeom prst="rect">
                      <a:avLst/>
                    </a:prstGeom>
                  </pic:spPr>
                </pic:pic>
              </a:graphicData>
            </a:graphic>
          </wp:inline>
        </w:drawing>
      </w:r>
      <w:r w:rsidR="004932BB">
        <w:rPr>
          <w:noProof/>
        </w:rPr>
        <w:t xml:space="preserve">         </w:t>
      </w:r>
      <w:r w:rsidR="00EF3ADC">
        <w:rPr>
          <w:noProof/>
        </w:rPr>
        <w:drawing>
          <wp:inline distT="0" distB="0" distL="0" distR="0" wp14:anchorId="7630C5F0" wp14:editId="369165E3">
            <wp:extent cx="2213237" cy="1517650"/>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2295" cy="1530719"/>
                    </a:xfrm>
                    <a:prstGeom prst="rect">
                      <a:avLst/>
                    </a:prstGeom>
                  </pic:spPr>
                </pic:pic>
              </a:graphicData>
            </a:graphic>
          </wp:inline>
        </w:drawing>
      </w:r>
    </w:p>
    <w:p w14:paraId="61C3BD59" w14:textId="31C196B8" w:rsidR="004932BB" w:rsidRDefault="004932BB">
      <w:pPr>
        <w:rPr>
          <w:rFonts w:ascii="Arial" w:hAnsi="Arial" w:cs="Arial"/>
          <w:noProof/>
          <w:sz w:val="22"/>
          <w:szCs w:val="22"/>
        </w:rPr>
      </w:pPr>
      <w:r>
        <w:rPr>
          <w:rFonts w:ascii="Arial" w:hAnsi="Arial" w:cs="Arial"/>
          <w:noProof/>
          <w:sz w:val="22"/>
          <w:szCs w:val="22"/>
        </w:rPr>
        <w:br w:type="page"/>
      </w:r>
    </w:p>
    <w:p w14:paraId="6ABFD2A1" w14:textId="77777777" w:rsidR="00812AED" w:rsidRPr="004932BB" w:rsidRDefault="00812AED" w:rsidP="00812AED">
      <w:pPr>
        <w:rPr>
          <w:rFonts w:ascii="Arial" w:hAnsi="Arial" w:cs="Arial"/>
          <w:noProof/>
          <w:sz w:val="22"/>
          <w:szCs w:val="22"/>
        </w:rPr>
      </w:pPr>
    </w:p>
    <w:p w14:paraId="1EB8A11E" w14:textId="4B18D80C" w:rsidR="00812AED" w:rsidRDefault="00812AED" w:rsidP="00812AED">
      <w:pPr>
        <w:rPr>
          <w:rFonts w:ascii="Arial" w:hAnsi="Arial" w:cs="Arial"/>
          <w:b/>
          <w:noProof/>
          <w:sz w:val="22"/>
          <w:szCs w:val="22"/>
        </w:rPr>
      </w:pPr>
      <w:r w:rsidRPr="004932BB">
        <w:rPr>
          <w:rFonts w:ascii="Arial" w:hAnsi="Arial" w:cs="Arial"/>
          <w:b/>
          <w:noProof/>
          <w:sz w:val="22"/>
          <w:szCs w:val="22"/>
        </w:rPr>
        <w:t>Dividend Analysis</w:t>
      </w:r>
    </w:p>
    <w:p w14:paraId="132531C2" w14:textId="14F29A73" w:rsidR="004932BB" w:rsidRDefault="004932BB" w:rsidP="00812AED">
      <w:pPr>
        <w:rPr>
          <w:rFonts w:ascii="Arial" w:hAnsi="Arial" w:cs="Arial"/>
          <w:noProof/>
          <w:sz w:val="22"/>
          <w:szCs w:val="22"/>
        </w:rPr>
      </w:pPr>
    </w:p>
    <w:p w14:paraId="3A1BDF61" w14:textId="0F785A97" w:rsidR="004932BB" w:rsidRPr="004932BB" w:rsidRDefault="004B1DAF" w:rsidP="004B1DAF">
      <w:pPr>
        <w:jc w:val="both"/>
        <w:rPr>
          <w:rFonts w:ascii="Arial" w:hAnsi="Arial" w:cs="Arial"/>
          <w:noProof/>
          <w:sz w:val="22"/>
          <w:szCs w:val="22"/>
        </w:rPr>
      </w:pPr>
      <w:r>
        <w:rPr>
          <w:noProof/>
        </w:rPr>
        <w:drawing>
          <wp:anchor distT="0" distB="0" distL="114300" distR="114300" simplePos="0" relativeHeight="251757568" behindDoc="0" locked="0" layoutInCell="1" allowOverlap="1" wp14:anchorId="54A07102" wp14:editId="17380F40">
            <wp:simplePos x="0" y="0"/>
            <wp:positionH relativeFrom="margin">
              <wp:align>right</wp:align>
            </wp:positionH>
            <wp:positionV relativeFrom="paragraph">
              <wp:posOffset>151765</wp:posOffset>
            </wp:positionV>
            <wp:extent cx="4572000" cy="149140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1491403"/>
                    </a:xfrm>
                    <a:prstGeom prst="rect">
                      <a:avLst/>
                    </a:prstGeom>
                  </pic:spPr>
                </pic:pic>
              </a:graphicData>
            </a:graphic>
          </wp:anchor>
        </w:drawing>
      </w:r>
      <w:r w:rsidR="0018693C">
        <w:rPr>
          <w:rFonts w:ascii="Arial" w:hAnsi="Arial" w:cs="Arial"/>
          <w:noProof/>
          <w:sz w:val="22"/>
          <w:szCs w:val="22"/>
        </w:rPr>
        <w:t xml:space="preserve">Although </w:t>
      </w:r>
      <w:r>
        <w:rPr>
          <w:rFonts w:ascii="Arial" w:hAnsi="Arial" w:cs="Arial"/>
          <w:noProof/>
          <w:sz w:val="22"/>
          <w:szCs w:val="22"/>
        </w:rPr>
        <w:t>Disney’s dividend is not all that impressive from a percentage or payout ratio, it is consistent.  The company clearly believes that it can deploy its money better back into the business instead of paying it out in dividends.  We feel this is a good long-term thinking corporate strategy and are not concerned about the size of the dividend.</w:t>
      </w:r>
    </w:p>
    <w:p w14:paraId="785B29E2" w14:textId="1F40AEA3" w:rsidR="00812AED" w:rsidRDefault="00812AED" w:rsidP="00812AED">
      <w:pPr>
        <w:rPr>
          <w:noProof/>
        </w:rPr>
      </w:pPr>
    </w:p>
    <w:p w14:paraId="76E8EC95" w14:textId="30F4EA0D" w:rsidR="00812AED" w:rsidRDefault="00812AED" w:rsidP="00812AED">
      <w:pPr>
        <w:rPr>
          <w:noProof/>
        </w:rPr>
      </w:pPr>
    </w:p>
    <w:p w14:paraId="3EC3C98B" w14:textId="11C88ECE" w:rsidR="00812AED" w:rsidRPr="004932BB" w:rsidRDefault="00812AED" w:rsidP="00812AED">
      <w:pPr>
        <w:rPr>
          <w:rFonts w:ascii="Arial" w:hAnsi="Arial" w:cs="Arial"/>
          <w:b/>
          <w:noProof/>
          <w:sz w:val="22"/>
          <w:szCs w:val="22"/>
        </w:rPr>
      </w:pPr>
      <w:r w:rsidRPr="004932BB">
        <w:rPr>
          <w:rFonts w:ascii="Arial" w:hAnsi="Arial" w:cs="Arial"/>
          <w:b/>
          <w:noProof/>
          <w:sz w:val="22"/>
          <w:szCs w:val="22"/>
        </w:rPr>
        <w:t>Competitor Comparison</w:t>
      </w:r>
    </w:p>
    <w:p w14:paraId="561B2A69" w14:textId="6DB4D3A8" w:rsidR="00812AED" w:rsidRDefault="00812AED" w:rsidP="00812AED">
      <w:pPr>
        <w:rPr>
          <w:rFonts w:ascii="Arial" w:hAnsi="Arial" w:cs="Arial"/>
          <w:noProof/>
          <w:sz w:val="22"/>
          <w:szCs w:val="22"/>
        </w:rPr>
      </w:pPr>
    </w:p>
    <w:p w14:paraId="4D28D55B" w14:textId="5E542EC0" w:rsidR="004932BB" w:rsidRDefault="004B1DAF" w:rsidP="00590744">
      <w:pPr>
        <w:jc w:val="both"/>
        <w:rPr>
          <w:rFonts w:ascii="Arial" w:hAnsi="Arial" w:cs="Arial"/>
          <w:noProof/>
          <w:sz w:val="22"/>
          <w:szCs w:val="22"/>
        </w:rPr>
      </w:pPr>
      <w:r>
        <w:rPr>
          <w:rFonts w:ascii="Arial" w:hAnsi="Arial" w:cs="Arial"/>
          <w:noProof/>
          <w:sz w:val="22"/>
          <w:szCs w:val="22"/>
        </w:rPr>
        <w:t>Although it is hard to come up with a company that parallels Disney in all of its business segments, we have compared them against other companies that have some similar operations.  The company does not lead in every aspect but they are competitive pretty much across the board.  It shows that the company is strong fundamentally</w:t>
      </w:r>
      <w:r w:rsidR="00590744">
        <w:rPr>
          <w:rFonts w:ascii="Arial" w:hAnsi="Arial" w:cs="Arial"/>
          <w:noProof/>
          <w:sz w:val="22"/>
          <w:szCs w:val="22"/>
        </w:rPr>
        <w:t>.</w:t>
      </w:r>
    </w:p>
    <w:p w14:paraId="5E9275E2" w14:textId="77777777" w:rsidR="00590744" w:rsidRPr="004932BB" w:rsidRDefault="00590744" w:rsidP="00590744">
      <w:pPr>
        <w:jc w:val="both"/>
        <w:rPr>
          <w:rFonts w:ascii="Arial" w:hAnsi="Arial" w:cs="Arial"/>
          <w:noProof/>
          <w:sz w:val="22"/>
          <w:szCs w:val="22"/>
        </w:rPr>
      </w:pPr>
    </w:p>
    <w:tbl>
      <w:tblPr>
        <w:tblW w:w="11229"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09"/>
        <w:gridCol w:w="1090"/>
        <w:gridCol w:w="1090"/>
        <w:gridCol w:w="1090"/>
        <w:gridCol w:w="1090"/>
        <w:gridCol w:w="1090"/>
        <w:gridCol w:w="1090"/>
        <w:gridCol w:w="1090"/>
        <w:gridCol w:w="1090"/>
      </w:tblGrid>
      <w:tr w:rsidR="00812AED" w:rsidRPr="00DF015D" w14:paraId="5E4442C9" w14:textId="77777777" w:rsidTr="00812AED">
        <w:trPr>
          <w:trHeight w:val="513"/>
        </w:trPr>
        <w:tc>
          <w:tcPr>
            <w:tcW w:w="2509" w:type="dxa"/>
            <w:shd w:val="clear" w:color="auto" w:fill="D3DEED"/>
            <w:vAlign w:val="center"/>
          </w:tcPr>
          <w:p w14:paraId="3F38F260" w14:textId="77777777" w:rsidR="00812AED" w:rsidRPr="00DF015D" w:rsidRDefault="00812AED" w:rsidP="00812AED">
            <w:pPr>
              <w:autoSpaceDE w:val="0"/>
              <w:autoSpaceDN w:val="0"/>
              <w:adjustRightInd w:val="0"/>
              <w:spacing w:line="240" w:lineRule="atLeast"/>
              <w:rPr>
                <w:rFonts w:ascii="Arial" w:eastAsiaTheme="minorEastAsia" w:hAnsi="Arial" w:cs="Arial"/>
                <w:sz w:val="16"/>
                <w:szCs w:val="16"/>
                <w:lang w:eastAsia="zh-CN"/>
              </w:rPr>
            </w:pPr>
            <w:r w:rsidRPr="00DF015D">
              <w:rPr>
                <w:rFonts w:ascii="Arial" w:eastAsiaTheme="minorEastAsia" w:hAnsi="Arial" w:cs="Arial"/>
                <w:sz w:val="16"/>
                <w:szCs w:val="16"/>
                <w:lang w:eastAsia="zh-CN"/>
              </w:rPr>
              <w:t>In Millions of USD</w:t>
            </w:r>
          </w:p>
        </w:tc>
        <w:tc>
          <w:tcPr>
            <w:tcW w:w="1090" w:type="dxa"/>
            <w:shd w:val="clear" w:color="auto" w:fill="D3DEED"/>
          </w:tcPr>
          <w:p w14:paraId="06B72525"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DIS</w:t>
            </w:r>
          </w:p>
          <w:p w14:paraId="3B18AEDE" w14:textId="77777777" w:rsidR="00812AED" w:rsidRPr="00DF015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Walt Disney</w:t>
            </w:r>
          </w:p>
        </w:tc>
        <w:tc>
          <w:tcPr>
            <w:tcW w:w="1090" w:type="dxa"/>
            <w:shd w:val="clear" w:color="auto" w:fill="D3DEED"/>
          </w:tcPr>
          <w:p w14:paraId="3CF95DDB"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CMCSA</w:t>
            </w:r>
          </w:p>
          <w:p w14:paraId="459260EB" w14:textId="77777777" w:rsidR="00812AED" w:rsidRPr="00DF015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Comcast</w:t>
            </w:r>
          </w:p>
        </w:tc>
        <w:tc>
          <w:tcPr>
            <w:tcW w:w="1090" w:type="dxa"/>
            <w:shd w:val="clear" w:color="auto" w:fill="D3DEED"/>
          </w:tcPr>
          <w:p w14:paraId="1B9CE05B"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NFLX</w:t>
            </w:r>
          </w:p>
          <w:p w14:paraId="6C57B363" w14:textId="77777777" w:rsidR="00812AED" w:rsidRPr="00DF015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Netflix</w:t>
            </w:r>
          </w:p>
        </w:tc>
        <w:tc>
          <w:tcPr>
            <w:tcW w:w="1090" w:type="dxa"/>
            <w:shd w:val="clear" w:color="auto" w:fill="D3DEED"/>
          </w:tcPr>
          <w:p w14:paraId="7B89BCDF"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DISCA</w:t>
            </w:r>
          </w:p>
          <w:p w14:paraId="6E1FA408" w14:textId="77777777" w:rsidR="00812AED" w:rsidRPr="00DF015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Discovery</w:t>
            </w:r>
          </w:p>
        </w:tc>
        <w:tc>
          <w:tcPr>
            <w:tcW w:w="1090" w:type="dxa"/>
            <w:shd w:val="clear" w:color="auto" w:fill="D3DEED"/>
          </w:tcPr>
          <w:p w14:paraId="4EE4ABD6"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CBS</w:t>
            </w:r>
          </w:p>
          <w:p w14:paraId="35A0FDFF" w14:textId="77777777" w:rsidR="00812AED" w:rsidRPr="00DF015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CBS Corp</w:t>
            </w:r>
          </w:p>
        </w:tc>
        <w:tc>
          <w:tcPr>
            <w:tcW w:w="1090" w:type="dxa"/>
            <w:shd w:val="clear" w:color="auto" w:fill="D3DEED"/>
          </w:tcPr>
          <w:p w14:paraId="7C3CDD86"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VIAB</w:t>
            </w:r>
          </w:p>
          <w:p w14:paraId="460B5F3B"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Viacom</w:t>
            </w:r>
          </w:p>
        </w:tc>
        <w:tc>
          <w:tcPr>
            <w:tcW w:w="1090" w:type="dxa"/>
            <w:shd w:val="clear" w:color="auto" w:fill="D3DEED"/>
          </w:tcPr>
          <w:p w14:paraId="3D513685"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LYV</w:t>
            </w:r>
          </w:p>
          <w:p w14:paraId="6FA56F38"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Live Nation</w:t>
            </w:r>
          </w:p>
        </w:tc>
        <w:tc>
          <w:tcPr>
            <w:tcW w:w="1090" w:type="dxa"/>
            <w:shd w:val="clear" w:color="auto" w:fill="D3DEED"/>
          </w:tcPr>
          <w:p w14:paraId="38A8AE8E"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LGF-A</w:t>
            </w:r>
          </w:p>
          <w:p w14:paraId="3A3D5720" w14:textId="77777777" w:rsidR="00812AED" w:rsidRDefault="00812AED" w:rsidP="00812AED">
            <w:pPr>
              <w:autoSpaceDE w:val="0"/>
              <w:autoSpaceDN w:val="0"/>
              <w:adjustRightInd w:val="0"/>
              <w:spacing w:line="240" w:lineRule="atLeast"/>
              <w:jc w:val="center"/>
              <w:rPr>
                <w:rFonts w:ascii="Arial" w:eastAsiaTheme="minorEastAsia" w:hAnsi="Arial" w:cs="Arial"/>
                <w:sz w:val="16"/>
                <w:szCs w:val="16"/>
                <w:lang w:eastAsia="zh-CN"/>
              </w:rPr>
            </w:pPr>
            <w:r>
              <w:rPr>
                <w:rFonts w:ascii="Arial" w:eastAsiaTheme="minorEastAsia" w:hAnsi="Arial" w:cs="Arial"/>
                <w:sz w:val="16"/>
                <w:szCs w:val="16"/>
                <w:lang w:eastAsia="zh-CN"/>
              </w:rPr>
              <w:t>Lions Gate</w:t>
            </w:r>
          </w:p>
        </w:tc>
      </w:tr>
      <w:tr w:rsidR="00812AED" w:rsidRPr="009F7B80" w14:paraId="3954B41D" w14:textId="77777777" w:rsidTr="00812AED">
        <w:trPr>
          <w:trHeight w:val="271"/>
        </w:trPr>
        <w:tc>
          <w:tcPr>
            <w:tcW w:w="2509" w:type="dxa"/>
            <w:shd w:val="clear" w:color="auto" w:fill="FFFFFF"/>
            <w:vAlign w:val="bottom"/>
          </w:tcPr>
          <w:p w14:paraId="7BC302E4"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Market Cap</w:t>
            </w:r>
          </w:p>
        </w:tc>
        <w:tc>
          <w:tcPr>
            <w:tcW w:w="1090" w:type="dxa"/>
            <w:shd w:val="clear" w:color="auto" w:fill="FFFFFF"/>
            <w:vAlign w:val="bottom"/>
          </w:tcPr>
          <w:p w14:paraId="0352D7E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sidRPr="00BA23EF">
              <w:rPr>
                <w:rFonts w:ascii="Arial" w:eastAsiaTheme="minorEastAsia" w:hAnsi="Arial" w:cs="Arial"/>
                <w:color w:val="2F5496" w:themeColor="accent1" w:themeShade="BF"/>
                <w:sz w:val="16"/>
                <w:szCs w:val="16"/>
                <w:lang w:eastAsia="zh-CN"/>
              </w:rPr>
              <w:t>158.29B</w:t>
            </w:r>
          </w:p>
        </w:tc>
        <w:tc>
          <w:tcPr>
            <w:tcW w:w="1090" w:type="dxa"/>
            <w:shd w:val="clear" w:color="auto" w:fill="FFFFFF"/>
            <w:vAlign w:val="bottom"/>
          </w:tcPr>
          <w:p w14:paraId="1C322C36"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sidRPr="00BA23EF">
              <w:rPr>
                <w:rFonts w:ascii="Arial" w:eastAsiaTheme="minorEastAsia" w:hAnsi="Arial" w:cs="Arial"/>
                <w:color w:val="2F5496" w:themeColor="accent1" w:themeShade="BF"/>
                <w:sz w:val="16"/>
                <w:szCs w:val="16"/>
                <w:lang w:eastAsia="zh-CN"/>
              </w:rPr>
              <w:t>15</w:t>
            </w:r>
            <w:r>
              <w:rPr>
                <w:rFonts w:ascii="Arial" w:eastAsiaTheme="minorEastAsia" w:hAnsi="Arial" w:cs="Arial"/>
                <w:color w:val="2F5496" w:themeColor="accent1" w:themeShade="BF"/>
                <w:sz w:val="16"/>
                <w:szCs w:val="16"/>
                <w:lang w:eastAsia="zh-CN"/>
              </w:rPr>
              <w:t>7</w:t>
            </w:r>
            <w:r w:rsidRPr="00BA23EF">
              <w:rPr>
                <w:rFonts w:ascii="Arial" w:eastAsiaTheme="minorEastAsia" w:hAnsi="Arial" w:cs="Arial"/>
                <w:color w:val="2F5496" w:themeColor="accent1" w:themeShade="BF"/>
                <w:sz w:val="16"/>
                <w:szCs w:val="16"/>
                <w:lang w:eastAsia="zh-CN"/>
              </w:rPr>
              <w:t>.</w:t>
            </w:r>
            <w:r>
              <w:rPr>
                <w:rFonts w:ascii="Arial" w:eastAsiaTheme="minorEastAsia" w:hAnsi="Arial" w:cs="Arial"/>
                <w:color w:val="2F5496" w:themeColor="accent1" w:themeShade="BF"/>
                <w:sz w:val="16"/>
                <w:szCs w:val="16"/>
                <w:lang w:eastAsia="zh-CN"/>
              </w:rPr>
              <w:t>5</w:t>
            </w:r>
            <w:r w:rsidRPr="00BA23EF">
              <w:rPr>
                <w:rFonts w:ascii="Arial" w:eastAsiaTheme="minorEastAsia" w:hAnsi="Arial" w:cs="Arial"/>
                <w:color w:val="2F5496" w:themeColor="accent1" w:themeShade="BF"/>
                <w:sz w:val="16"/>
                <w:szCs w:val="16"/>
                <w:lang w:eastAsia="zh-CN"/>
              </w:rPr>
              <w:t>9B</w:t>
            </w:r>
          </w:p>
        </w:tc>
        <w:tc>
          <w:tcPr>
            <w:tcW w:w="1090" w:type="dxa"/>
            <w:shd w:val="clear" w:color="auto" w:fill="FFFFFF"/>
            <w:vAlign w:val="bottom"/>
          </w:tcPr>
          <w:p w14:paraId="4BD6E54A"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118.27</w:t>
            </w:r>
            <w:r w:rsidRPr="00BA23EF">
              <w:rPr>
                <w:rFonts w:ascii="Arial" w:eastAsiaTheme="minorEastAsia" w:hAnsi="Arial" w:cs="Arial"/>
                <w:color w:val="2F5496" w:themeColor="accent1" w:themeShade="BF"/>
                <w:sz w:val="16"/>
                <w:szCs w:val="16"/>
                <w:lang w:eastAsia="zh-CN"/>
              </w:rPr>
              <w:t>B</w:t>
            </w:r>
          </w:p>
        </w:tc>
        <w:tc>
          <w:tcPr>
            <w:tcW w:w="1090" w:type="dxa"/>
            <w:shd w:val="clear" w:color="auto" w:fill="FFFFFF"/>
            <w:vAlign w:val="bottom"/>
          </w:tcPr>
          <w:p w14:paraId="0E27384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sidRPr="00BA23EF">
              <w:rPr>
                <w:rFonts w:ascii="Arial" w:eastAsiaTheme="minorEastAsia" w:hAnsi="Arial" w:cs="Arial"/>
                <w:color w:val="2F5496" w:themeColor="accent1" w:themeShade="BF"/>
                <w:sz w:val="16"/>
                <w:szCs w:val="16"/>
                <w:lang w:eastAsia="zh-CN"/>
              </w:rPr>
              <w:t>1</w:t>
            </w:r>
            <w:r>
              <w:rPr>
                <w:rFonts w:ascii="Arial" w:eastAsiaTheme="minorEastAsia" w:hAnsi="Arial" w:cs="Arial"/>
                <w:color w:val="2F5496" w:themeColor="accent1" w:themeShade="BF"/>
                <w:sz w:val="16"/>
                <w:szCs w:val="16"/>
                <w:lang w:eastAsia="zh-CN"/>
              </w:rPr>
              <w:t>9.36</w:t>
            </w:r>
            <w:r w:rsidRPr="00BA23EF">
              <w:rPr>
                <w:rFonts w:ascii="Arial" w:eastAsiaTheme="minorEastAsia" w:hAnsi="Arial" w:cs="Arial"/>
                <w:color w:val="2F5496" w:themeColor="accent1" w:themeShade="BF"/>
                <w:sz w:val="16"/>
                <w:szCs w:val="16"/>
                <w:lang w:eastAsia="zh-CN"/>
              </w:rPr>
              <w:t>B</w:t>
            </w:r>
          </w:p>
        </w:tc>
        <w:tc>
          <w:tcPr>
            <w:tcW w:w="1090" w:type="dxa"/>
            <w:shd w:val="clear" w:color="auto" w:fill="FFFFFF"/>
            <w:vAlign w:val="bottom"/>
          </w:tcPr>
          <w:p w14:paraId="11A6C0F4"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sidRPr="00BA23EF">
              <w:rPr>
                <w:rFonts w:ascii="Arial" w:eastAsiaTheme="minorEastAsia" w:hAnsi="Arial" w:cs="Arial"/>
                <w:color w:val="2F5496" w:themeColor="accent1" w:themeShade="BF"/>
                <w:sz w:val="16"/>
                <w:szCs w:val="16"/>
                <w:lang w:eastAsia="zh-CN"/>
              </w:rPr>
              <w:t>1</w:t>
            </w:r>
            <w:r>
              <w:rPr>
                <w:rFonts w:ascii="Arial" w:eastAsiaTheme="minorEastAsia" w:hAnsi="Arial" w:cs="Arial"/>
                <w:color w:val="2F5496" w:themeColor="accent1" w:themeShade="BF"/>
                <w:sz w:val="16"/>
                <w:szCs w:val="16"/>
                <w:lang w:eastAsia="zh-CN"/>
              </w:rPr>
              <w:t>7.26</w:t>
            </w:r>
            <w:r w:rsidRPr="00BA23EF">
              <w:rPr>
                <w:rFonts w:ascii="Arial" w:eastAsiaTheme="minorEastAsia" w:hAnsi="Arial" w:cs="Arial"/>
                <w:color w:val="2F5496" w:themeColor="accent1" w:themeShade="BF"/>
                <w:sz w:val="16"/>
                <w:szCs w:val="16"/>
                <w:lang w:eastAsia="zh-CN"/>
              </w:rPr>
              <w:t>B</w:t>
            </w:r>
          </w:p>
        </w:tc>
        <w:tc>
          <w:tcPr>
            <w:tcW w:w="1090" w:type="dxa"/>
            <w:shd w:val="clear" w:color="auto" w:fill="FFFFFF"/>
            <w:vAlign w:val="bottom"/>
          </w:tcPr>
          <w:p w14:paraId="45451D38"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sidRPr="00BA23EF">
              <w:rPr>
                <w:rFonts w:ascii="Arial" w:eastAsiaTheme="minorEastAsia" w:hAnsi="Arial" w:cs="Arial"/>
                <w:color w:val="2F5496" w:themeColor="accent1" w:themeShade="BF"/>
                <w:sz w:val="16"/>
                <w:szCs w:val="16"/>
                <w:lang w:eastAsia="zh-CN"/>
              </w:rPr>
              <w:t>1</w:t>
            </w:r>
            <w:r>
              <w:rPr>
                <w:rFonts w:ascii="Arial" w:eastAsiaTheme="minorEastAsia" w:hAnsi="Arial" w:cs="Arial"/>
                <w:color w:val="2F5496" w:themeColor="accent1" w:themeShade="BF"/>
                <w:sz w:val="16"/>
                <w:szCs w:val="16"/>
                <w:lang w:eastAsia="zh-CN"/>
              </w:rPr>
              <w:t>0.77</w:t>
            </w:r>
            <w:r w:rsidRPr="00BA23EF">
              <w:rPr>
                <w:rFonts w:ascii="Arial" w:eastAsiaTheme="minorEastAsia" w:hAnsi="Arial" w:cs="Arial"/>
                <w:color w:val="2F5496" w:themeColor="accent1" w:themeShade="BF"/>
                <w:sz w:val="16"/>
                <w:szCs w:val="16"/>
                <w:lang w:eastAsia="zh-CN"/>
              </w:rPr>
              <w:t>B</w:t>
            </w:r>
          </w:p>
        </w:tc>
        <w:tc>
          <w:tcPr>
            <w:tcW w:w="1090" w:type="dxa"/>
            <w:shd w:val="clear" w:color="auto" w:fill="FFFFFF"/>
            <w:vAlign w:val="bottom"/>
          </w:tcPr>
          <w:p w14:paraId="077EB940"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9.99</w:t>
            </w:r>
            <w:r w:rsidRPr="00BA23EF">
              <w:rPr>
                <w:rFonts w:ascii="Arial" w:eastAsiaTheme="minorEastAsia" w:hAnsi="Arial" w:cs="Arial"/>
                <w:color w:val="2F5496" w:themeColor="accent1" w:themeShade="BF"/>
                <w:sz w:val="16"/>
                <w:szCs w:val="16"/>
                <w:lang w:eastAsia="zh-CN"/>
              </w:rPr>
              <w:t>B</w:t>
            </w:r>
          </w:p>
        </w:tc>
        <w:tc>
          <w:tcPr>
            <w:tcW w:w="1090" w:type="dxa"/>
            <w:shd w:val="clear" w:color="auto" w:fill="FFFFFF"/>
            <w:vAlign w:val="bottom"/>
          </w:tcPr>
          <w:p w14:paraId="23957FC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3.38</w:t>
            </w:r>
            <w:r w:rsidRPr="00BA23EF">
              <w:rPr>
                <w:rFonts w:ascii="Arial" w:eastAsiaTheme="minorEastAsia" w:hAnsi="Arial" w:cs="Arial"/>
                <w:color w:val="2F5496" w:themeColor="accent1" w:themeShade="BF"/>
                <w:sz w:val="16"/>
                <w:szCs w:val="16"/>
                <w:lang w:eastAsia="zh-CN"/>
              </w:rPr>
              <w:t>B</w:t>
            </w:r>
          </w:p>
        </w:tc>
      </w:tr>
      <w:tr w:rsidR="00812AED" w:rsidRPr="009F7B80" w14:paraId="42D1976C" w14:textId="77777777" w:rsidTr="00812AED">
        <w:trPr>
          <w:trHeight w:val="257"/>
        </w:trPr>
        <w:tc>
          <w:tcPr>
            <w:tcW w:w="2509" w:type="dxa"/>
            <w:shd w:val="clear" w:color="auto" w:fill="FFFFFF"/>
            <w:vAlign w:val="bottom"/>
          </w:tcPr>
          <w:p w14:paraId="018E91CF" w14:textId="77777777" w:rsidR="00812AED" w:rsidRPr="00DF015D" w:rsidRDefault="00812AED" w:rsidP="00812AED">
            <w:pPr>
              <w:autoSpaceDE w:val="0"/>
              <w:autoSpaceDN w:val="0"/>
              <w:adjustRightInd w:val="0"/>
              <w:rPr>
                <w:rFonts w:ascii="Arial" w:eastAsiaTheme="minorEastAsia" w:hAnsi="Arial" w:cs="Arial"/>
                <w:i/>
                <w:iCs/>
                <w:color w:val="262626"/>
                <w:sz w:val="16"/>
                <w:szCs w:val="16"/>
                <w:lang w:eastAsia="zh-CN"/>
              </w:rPr>
            </w:pPr>
            <w:r>
              <w:rPr>
                <w:rFonts w:ascii="Arial" w:eastAsiaTheme="minorEastAsia" w:hAnsi="Arial" w:cs="Arial"/>
                <w:sz w:val="16"/>
                <w:szCs w:val="16"/>
                <w:lang w:eastAsia="zh-CN"/>
              </w:rPr>
              <w:t>Enterprise Value</w:t>
            </w:r>
          </w:p>
        </w:tc>
        <w:tc>
          <w:tcPr>
            <w:tcW w:w="1090" w:type="dxa"/>
            <w:shd w:val="clear" w:color="auto" w:fill="FFFFFF"/>
            <w:vAlign w:val="bottom"/>
          </w:tcPr>
          <w:p w14:paraId="557C5A6F"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181.64B</w:t>
            </w:r>
          </w:p>
        </w:tc>
        <w:tc>
          <w:tcPr>
            <w:tcW w:w="1090" w:type="dxa"/>
            <w:shd w:val="clear" w:color="auto" w:fill="FFFFFF"/>
            <w:vAlign w:val="bottom"/>
          </w:tcPr>
          <w:p w14:paraId="1EA642EC"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220.68B</w:t>
            </w:r>
          </w:p>
        </w:tc>
        <w:tc>
          <w:tcPr>
            <w:tcW w:w="1090" w:type="dxa"/>
            <w:shd w:val="clear" w:color="auto" w:fill="FFFFFF"/>
            <w:vAlign w:val="bottom"/>
          </w:tcPr>
          <w:p w14:paraId="6B621A91"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116.94B</w:t>
            </w:r>
          </w:p>
        </w:tc>
        <w:tc>
          <w:tcPr>
            <w:tcW w:w="1090" w:type="dxa"/>
            <w:shd w:val="clear" w:color="auto" w:fill="FFFFFF"/>
            <w:vAlign w:val="bottom"/>
          </w:tcPr>
          <w:p w14:paraId="2DA22DC7"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37.78B</w:t>
            </w:r>
          </w:p>
        </w:tc>
        <w:tc>
          <w:tcPr>
            <w:tcW w:w="1090" w:type="dxa"/>
            <w:shd w:val="clear" w:color="auto" w:fill="FFFFFF"/>
            <w:vAlign w:val="bottom"/>
          </w:tcPr>
          <w:p w14:paraId="41C303EF"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25.92B</w:t>
            </w:r>
          </w:p>
        </w:tc>
        <w:tc>
          <w:tcPr>
            <w:tcW w:w="1090" w:type="dxa"/>
            <w:shd w:val="clear" w:color="auto" w:fill="FFFFFF"/>
            <w:vAlign w:val="bottom"/>
          </w:tcPr>
          <w:p w14:paraId="717ABD17"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19.26B</w:t>
            </w:r>
          </w:p>
        </w:tc>
        <w:tc>
          <w:tcPr>
            <w:tcW w:w="1090" w:type="dxa"/>
            <w:shd w:val="clear" w:color="auto" w:fill="FFFFFF"/>
            <w:vAlign w:val="bottom"/>
          </w:tcPr>
          <w:p w14:paraId="0CB51052"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11.48B</w:t>
            </w:r>
          </w:p>
        </w:tc>
        <w:tc>
          <w:tcPr>
            <w:tcW w:w="1090" w:type="dxa"/>
            <w:shd w:val="clear" w:color="auto" w:fill="FFFFFF"/>
            <w:vAlign w:val="bottom"/>
          </w:tcPr>
          <w:p w14:paraId="193FE219"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5.87B</w:t>
            </w:r>
          </w:p>
        </w:tc>
      </w:tr>
      <w:tr w:rsidR="00812AED" w:rsidRPr="009F7B80" w14:paraId="2BBF4999" w14:textId="77777777" w:rsidTr="00812AED">
        <w:trPr>
          <w:trHeight w:val="257"/>
        </w:trPr>
        <w:tc>
          <w:tcPr>
            <w:tcW w:w="2509" w:type="dxa"/>
            <w:shd w:val="clear" w:color="auto" w:fill="FFFFFF"/>
            <w:vAlign w:val="bottom"/>
          </w:tcPr>
          <w:p w14:paraId="7DAAE8DE"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Trailing P/E</w:t>
            </w:r>
          </w:p>
        </w:tc>
        <w:tc>
          <w:tcPr>
            <w:tcW w:w="1090" w:type="dxa"/>
            <w:shd w:val="clear" w:color="auto" w:fill="FFFFFF"/>
            <w:vAlign w:val="bottom"/>
          </w:tcPr>
          <w:p w14:paraId="20B4764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12.72</w:t>
            </w:r>
          </w:p>
        </w:tc>
        <w:tc>
          <w:tcPr>
            <w:tcW w:w="1090" w:type="dxa"/>
            <w:shd w:val="clear" w:color="auto" w:fill="FFFFFF"/>
            <w:vAlign w:val="bottom"/>
          </w:tcPr>
          <w:p w14:paraId="462B1FF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6.68</w:t>
            </w:r>
          </w:p>
        </w:tc>
        <w:tc>
          <w:tcPr>
            <w:tcW w:w="1090" w:type="dxa"/>
            <w:shd w:val="clear" w:color="auto" w:fill="FFFFFF"/>
            <w:vAlign w:val="bottom"/>
          </w:tcPr>
          <w:p w14:paraId="7F7554B0"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96.79</w:t>
            </w:r>
          </w:p>
        </w:tc>
        <w:tc>
          <w:tcPr>
            <w:tcW w:w="1090" w:type="dxa"/>
            <w:shd w:val="clear" w:color="auto" w:fill="FFFFFF"/>
            <w:vAlign w:val="bottom"/>
          </w:tcPr>
          <w:p w14:paraId="533ED29B"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2C22691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13.12</w:t>
            </w:r>
          </w:p>
        </w:tc>
        <w:tc>
          <w:tcPr>
            <w:tcW w:w="1090" w:type="dxa"/>
            <w:shd w:val="clear" w:color="auto" w:fill="FFFFFF"/>
            <w:vAlign w:val="bottom"/>
          </w:tcPr>
          <w:p w14:paraId="3F265698"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6.18</w:t>
            </w:r>
          </w:p>
        </w:tc>
        <w:tc>
          <w:tcPr>
            <w:tcW w:w="1090" w:type="dxa"/>
            <w:shd w:val="clear" w:color="auto" w:fill="FFFFFF"/>
            <w:vAlign w:val="bottom"/>
          </w:tcPr>
          <w:p w14:paraId="3CD4EABF"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4F3E7FF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26.64</w:t>
            </w:r>
          </w:p>
        </w:tc>
      </w:tr>
      <w:tr w:rsidR="00812AED" w:rsidRPr="009F7B80" w14:paraId="57418C18" w14:textId="77777777" w:rsidTr="00812AED">
        <w:trPr>
          <w:trHeight w:val="271"/>
        </w:trPr>
        <w:tc>
          <w:tcPr>
            <w:tcW w:w="2509" w:type="dxa"/>
            <w:shd w:val="clear" w:color="auto" w:fill="FFFFFF"/>
            <w:vAlign w:val="bottom"/>
          </w:tcPr>
          <w:p w14:paraId="64772E86" w14:textId="77777777" w:rsidR="00812AED" w:rsidRPr="00DF015D" w:rsidRDefault="00812AED" w:rsidP="00812AED">
            <w:pPr>
              <w:autoSpaceDE w:val="0"/>
              <w:autoSpaceDN w:val="0"/>
              <w:adjustRightInd w:val="0"/>
              <w:rPr>
                <w:rFonts w:ascii="Arial" w:eastAsiaTheme="minorEastAsia" w:hAnsi="Arial" w:cs="Arial"/>
                <w:i/>
                <w:iCs/>
                <w:color w:val="262626"/>
                <w:sz w:val="16"/>
                <w:szCs w:val="16"/>
                <w:lang w:eastAsia="zh-CN"/>
              </w:rPr>
            </w:pPr>
            <w:r>
              <w:rPr>
                <w:rFonts w:ascii="Arial" w:eastAsiaTheme="minorEastAsia" w:hAnsi="Arial" w:cs="Arial"/>
                <w:sz w:val="16"/>
                <w:szCs w:val="16"/>
                <w:lang w:eastAsia="zh-CN"/>
              </w:rPr>
              <w:t>Forward P/E</w:t>
            </w:r>
          </w:p>
        </w:tc>
        <w:tc>
          <w:tcPr>
            <w:tcW w:w="1090" w:type="dxa"/>
            <w:shd w:val="clear" w:color="auto" w:fill="FFFFFF"/>
            <w:vAlign w:val="bottom"/>
          </w:tcPr>
          <w:p w14:paraId="4B40B082"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14.14</w:t>
            </w:r>
          </w:p>
        </w:tc>
        <w:tc>
          <w:tcPr>
            <w:tcW w:w="1090" w:type="dxa"/>
            <w:shd w:val="clear" w:color="auto" w:fill="FFFFFF"/>
            <w:vAlign w:val="bottom"/>
          </w:tcPr>
          <w:p w14:paraId="0BC03F4D"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12.37</w:t>
            </w:r>
          </w:p>
        </w:tc>
        <w:tc>
          <w:tcPr>
            <w:tcW w:w="1090" w:type="dxa"/>
            <w:shd w:val="clear" w:color="auto" w:fill="FFFFFF"/>
            <w:vAlign w:val="bottom"/>
          </w:tcPr>
          <w:p w14:paraId="694918CE"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65.19</w:t>
            </w:r>
          </w:p>
        </w:tc>
        <w:tc>
          <w:tcPr>
            <w:tcW w:w="1090" w:type="dxa"/>
            <w:shd w:val="clear" w:color="auto" w:fill="FFFFFF"/>
            <w:vAlign w:val="bottom"/>
          </w:tcPr>
          <w:p w14:paraId="34497AA4"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N/A</w:t>
            </w:r>
          </w:p>
        </w:tc>
        <w:tc>
          <w:tcPr>
            <w:tcW w:w="1090" w:type="dxa"/>
            <w:shd w:val="clear" w:color="auto" w:fill="FFFFFF"/>
            <w:vAlign w:val="bottom"/>
          </w:tcPr>
          <w:p w14:paraId="01F2BD53"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7.99</w:t>
            </w:r>
          </w:p>
        </w:tc>
        <w:tc>
          <w:tcPr>
            <w:tcW w:w="1090" w:type="dxa"/>
            <w:shd w:val="clear" w:color="auto" w:fill="FFFFFF"/>
            <w:vAlign w:val="bottom"/>
          </w:tcPr>
          <w:p w14:paraId="5855C12A"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5.93</w:t>
            </w:r>
          </w:p>
        </w:tc>
        <w:tc>
          <w:tcPr>
            <w:tcW w:w="1090" w:type="dxa"/>
            <w:shd w:val="clear" w:color="auto" w:fill="FFFFFF"/>
            <w:vAlign w:val="bottom"/>
          </w:tcPr>
          <w:p w14:paraId="6CE041F2"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116.32</w:t>
            </w:r>
          </w:p>
        </w:tc>
        <w:tc>
          <w:tcPr>
            <w:tcW w:w="1090" w:type="dxa"/>
            <w:shd w:val="clear" w:color="auto" w:fill="FFFFFF"/>
            <w:vAlign w:val="bottom"/>
          </w:tcPr>
          <w:p w14:paraId="724EE203"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25.56</w:t>
            </w:r>
          </w:p>
        </w:tc>
      </w:tr>
      <w:tr w:rsidR="00812AED" w:rsidRPr="009F7B80" w14:paraId="11D2ABFB" w14:textId="77777777" w:rsidTr="00812AED">
        <w:trPr>
          <w:trHeight w:val="257"/>
        </w:trPr>
        <w:tc>
          <w:tcPr>
            <w:tcW w:w="2509" w:type="dxa"/>
            <w:shd w:val="clear" w:color="auto" w:fill="FFFFFF"/>
            <w:vAlign w:val="bottom"/>
          </w:tcPr>
          <w:p w14:paraId="08A84A11"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PEG Ratio</w:t>
            </w:r>
          </w:p>
        </w:tc>
        <w:tc>
          <w:tcPr>
            <w:tcW w:w="1090" w:type="dxa"/>
            <w:shd w:val="clear" w:color="auto" w:fill="FFFFFF"/>
            <w:vAlign w:val="bottom"/>
          </w:tcPr>
          <w:p w14:paraId="3B2E1D6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2.10</w:t>
            </w:r>
          </w:p>
        </w:tc>
        <w:tc>
          <w:tcPr>
            <w:tcW w:w="1090" w:type="dxa"/>
            <w:shd w:val="clear" w:color="auto" w:fill="FFFFFF"/>
            <w:vAlign w:val="bottom"/>
          </w:tcPr>
          <w:p w14:paraId="7329FCB5"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0.73</w:t>
            </w:r>
          </w:p>
        </w:tc>
        <w:tc>
          <w:tcPr>
            <w:tcW w:w="1090" w:type="dxa"/>
            <w:shd w:val="clear" w:color="auto" w:fill="FFFFFF"/>
            <w:vAlign w:val="bottom"/>
          </w:tcPr>
          <w:p w14:paraId="2CD0B03B"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1.63</w:t>
            </w:r>
          </w:p>
        </w:tc>
        <w:tc>
          <w:tcPr>
            <w:tcW w:w="1090" w:type="dxa"/>
            <w:shd w:val="clear" w:color="auto" w:fill="FFFFFF"/>
            <w:vAlign w:val="bottom"/>
          </w:tcPr>
          <w:p w14:paraId="5D05804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37180501"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2F84DAF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1.13</w:t>
            </w:r>
          </w:p>
        </w:tc>
        <w:tc>
          <w:tcPr>
            <w:tcW w:w="1090" w:type="dxa"/>
            <w:shd w:val="clear" w:color="auto" w:fill="FFFFFF"/>
            <w:vAlign w:val="bottom"/>
          </w:tcPr>
          <w:p w14:paraId="16D038C1"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30.36</w:t>
            </w:r>
          </w:p>
        </w:tc>
        <w:tc>
          <w:tcPr>
            <w:tcW w:w="1090" w:type="dxa"/>
            <w:shd w:val="clear" w:color="auto" w:fill="FFFFFF"/>
            <w:vAlign w:val="bottom"/>
          </w:tcPr>
          <w:p w14:paraId="4D1DF87D"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(2.10)</w:t>
            </w:r>
          </w:p>
        </w:tc>
      </w:tr>
      <w:tr w:rsidR="00812AED" w:rsidRPr="009F7B80" w14:paraId="185D9AE0" w14:textId="77777777" w:rsidTr="00812AED">
        <w:trPr>
          <w:trHeight w:val="257"/>
        </w:trPr>
        <w:tc>
          <w:tcPr>
            <w:tcW w:w="2509" w:type="dxa"/>
            <w:shd w:val="clear" w:color="auto" w:fill="FFFFFF"/>
            <w:vAlign w:val="bottom"/>
          </w:tcPr>
          <w:p w14:paraId="5A1C641E" w14:textId="77777777" w:rsidR="00812AED" w:rsidRPr="00DF015D" w:rsidRDefault="00812AED" w:rsidP="00812AED">
            <w:pPr>
              <w:autoSpaceDE w:val="0"/>
              <w:autoSpaceDN w:val="0"/>
              <w:adjustRightInd w:val="0"/>
              <w:rPr>
                <w:rFonts w:ascii="Arial" w:eastAsiaTheme="minorEastAsia" w:hAnsi="Arial" w:cs="Arial"/>
                <w:i/>
                <w:iCs/>
                <w:color w:val="262626"/>
                <w:sz w:val="16"/>
                <w:szCs w:val="16"/>
                <w:lang w:eastAsia="zh-CN"/>
              </w:rPr>
            </w:pPr>
            <w:r>
              <w:rPr>
                <w:rFonts w:ascii="Arial" w:eastAsiaTheme="minorEastAsia" w:hAnsi="Arial" w:cs="Arial"/>
                <w:sz w:val="16"/>
                <w:szCs w:val="16"/>
                <w:lang w:eastAsia="zh-CN"/>
              </w:rPr>
              <w:t>Price/Sales (ttm)</w:t>
            </w:r>
          </w:p>
        </w:tc>
        <w:tc>
          <w:tcPr>
            <w:tcW w:w="1090" w:type="dxa"/>
            <w:shd w:val="clear" w:color="auto" w:fill="FFFFFF"/>
            <w:vAlign w:val="bottom"/>
          </w:tcPr>
          <w:p w14:paraId="0E39CBFC"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2.66</w:t>
            </w:r>
          </w:p>
        </w:tc>
        <w:tc>
          <w:tcPr>
            <w:tcW w:w="1090" w:type="dxa"/>
            <w:shd w:val="clear" w:color="auto" w:fill="FFFFFF"/>
            <w:vAlign w:val="bottom"/>
          </w:tcPr>
          <w:p w14:paraId="5A534A67"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1.79</w:t>
            </w:r>
          </w:p>
        </w:tc>
        <w:tc>
          <w:tcPr>
            <w:tcW w:w="1090" w:type="dxa"/>
            <w:shd w:val="clear" w:color="auto" w:fill="FFFFFF"/>
            <w:vAlign w:val="bottom"/>
          </w:tcPr>
          <w:p w14:paraId="485A32AD"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7.94</w:t>
            </w:r>
          </w:p>
        </w:tc>
        <w:tc>
          <w:tcPr>
            <w:tcW w:w="1090" w:type="dxa"/>
            <w:shd w:val="clear" w:color="auto" w:fill="FFFFFF"/>
            <w:vAlign w:val="bottom"/>
          </w:tcPr>
          <w:p w14:paraId="4756E7D8"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2.01</w:t>
            </w:r>
          </w:p>
        </w:tc>
        <w:tc>
          <w:tcPr>
            <w:tcW w:w="1090" w:type="dxa"/>
            <w:shd w:val="clear" w:color="auto" w:fill="FFFFFF"/>
            <w:vAlign w:val="bottom"/>
          </w:tcPr>
          <w:p w14:paraId="6C0930DE"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1.20</w:t>
            </w:r>
          </w:p>
        </w:tc>
        <w:tc>
          <w:tcPr>
            <w:tcW w:w="1090" w:type="dxa"/>
            <w:shd w:val="clear" w:color="auto" w:fill="FFFFFF"/>
            <w:vAlign w:val="bottom"/>
          </w:tcPr>
          <w:p w14:paraId="37A4A7F7"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0.83</w:t>
            </w:r>
          </w:p>
        </w:tc>
        <w:tc>
          <w:tcPr>
            <w:tcW w:w="1090" w:type="dxa"/>
            <w:shd w:val="clear" w:color="auto" w:fill="FFFFFF"/>
            <w:vAlign w:val="bottom"/>
          </w:tcPr>
          <w:p w14:paraId="42CC7730"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0.90</w:t>
            </w:r>
          </w:p>
        </w:tc>
        <w:tc>
          <w:tcPr>
            <w:tcW w:w="1090" w:type="dxa"/>
            <w:shd w:val="clear" w:color="auto" w:fill="FFFFFF"/>
            <w:vAlign w:val="bottom"/>
          </w:tcPr>
          <w:p w14:paraId="390538B7"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0.84</w:t>
            </w:r>
          </w:p>
        </w:tc>
      </w:tr>
      <w:tr w:rsidR="00812AED" w:rsidRPr="009F7B80" w14:paraId="41F0927F" w14:textId="77777777" w:rsidTr="00812AED">
        <w:trPr>
          <w:trHeight w:val="271"/>
        </w:trPr>
        <w:tc>
          <w:tcPr>
            <w:tcW w:w="2509" w:type="dxa"/>
            <w:shd w:val="clear" w:color="auto" w:fill="FFFFFF"/>
            <w:vAlign w:val="bottom"/>
          </w:tcPr>
          <w:p w14:paraId="5A0B4769"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Price/Book (mrq)</w:t>
            </w:r>
          </w:p>
        </w:tc>
        <w:tc>
          <w:tcPr>
            <w:tcW w:w="1090" w:type="dxa"/>
            <w:shd w:val="clear" w:color="auto" w:fill="FFFFFF"/>
            <w:vAlign w:val="bottom"/>
          </w:tcPr>
          <w:p w14:paraId="7DBF5E48"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3.24</w:t>
            </w:r>
          </w:p>
        </w:tc>
        <w:tc>
          <w:tcPr>
            <w:tcW w:w="1090" w:type="dxa"/>
            <w:shd w:val="clear" w:color="auto" w:fill="FFFFFF"/>
            <w:vAlign w:val="bottom"/>
          </w:tcPr>
          <w:p w14:paraId="3190F9E0"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2.20</w:t>
            </w:r>
          </w:p>
        </w:tc>
        <w:tc>
          <w:tcPr>
            <w:tcW w:w="1090" w:type="dxa"/>
            <w:shd w:val="clear" w:color="auto" w:fill="FFFFFF"/>
            <w:vAlign w:val="bottom"/>
          </w:tcPr>
          <w:p w14:paraId="21CEDAD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23.61</w:t>
            </w:r>
          </w:p>
        </w:tc>
        <w:tc>
          <w:tcPr>
            <w:tcW w:w="1090" w:type="dxa"/>
            <w:shd w:val="clear" w:color="auto" w:fill="FFFFFF"/>
            <w:vAlign w:val="bottom"/>
          </w:tcPr>
          <w:p w14:paraId="17AD78F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2.02</w:t>
            </w:r>
          </w:p>
        </w:tc>
        <w:tc>
          <w:tcPr>
            <w:tcW w:w="1090" w:type="dxa"/>
            <w:shd w:val="clear" w:color="auto" w:fill="FFFFFF"/>
            <w:vAlign w:val="bottom"/>
          </w:tcPr>
          <w:p w14:paraId="75066AE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6.88</w:t>
            </w:r>
          </w:p>
        </w:tc>
        <w:tc>
          <w:tcPr>
            <w:tcW w:w="1090" w:type="dxa"/>
            <w:shd w:val="clear" w:color="auto" w:fill="FFFFFF"/>
            <w:vAlign w:val="bottom"/>
          </w:tcPr>
          <w:p w14:paraId="12410614"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1.44</w:t>
            </w:r>
          </w:p>
        </w:tc>
        <w:tc>
          <w:tcPr>
            <w:tcW w:w="1090" w:type="dxa"/>
            <w:shd w:val="clear" w:color="auto" w:fill="FFFFFF"/>
            <w:vAlign w:val="bottom"/>
          </w:tcPr>
          <w:p w14:paraId="6392EA08"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7.52</w:t>
            </w:r>
          </w:p>
        </w:tc>
        <w:tc>
          <w:tcPr>
            <w:tcW w:w="1090" w:type="dxa"/>
            <w:shd w:val="clear" w:color="auto" w:fill="FFFFFF"/>
            <w:vAlign w:val="bottom"/>
          </w:tcPr>
          <w:p w14:paraId="16291AA9"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1.15</w:t>
            </w:r>
          </w:p>
        </w:tc>
      </w:tr>
      <w:tr w:rsidR="00812AED" w:rsidRPr="009F7B80" w14:paraId="10BC0167" w14:textId="77777777" w:rsidTr="00812AED">
        <w:trPr>
          <w:trHeight w:val="257"/>
        </w:trPr>
        <w:tc>
          <w:tcPr>
            <w:tcW w:w="2509" w:type="dxa"/>
            <w:shd w:val="clear" w:color="auto" w:fill="FFFFFF"/>
            <w:vAlign w:val="bottom"/>
          </w:tcPr>
          <w:p w14:paraId="4530E874" w14:textId="77777777" w:rsidR="00812AED" w:rsidRPr="00DF015D" w:rsidRDefault="00812AED" w:rsidP="00812AED">
            <w:pPr>
              <w:autoSpaceDE w:val="0"/>
              <w:autoSpaceDN w:val="0"/>
              <w:adjustRightInd w:val="0"/>
              <w:rPr>
                <w:rFonts w:ascii="Arial" w:eastAsiaTheme="minorEastAsia" w:hAnsi="Arial" w:cs="Arial"/>
                <w:i/>
                <w:iCs/>
                <w:color w:val="262626"/>
                <w:sz w:val="16"/>
                <w:szCs w:val="16"/>
                <w:lang w:eastAsia="zh-CN"/>
              </w:rPr>
            </w:pPr>
            <w:r>
              <w:rPr>
                <w:rFonts w:ascii="Arial" w:eastAsiaTheme="minorEastAsia" w:hAnsi="Arial" w:cs="Arial"/>
                <w:sz w:val="16"/>
                <w:szCs w:val="16"/>
                <w:lang w:eastAsia="zh-CN"/>
              </w:rPr>
              <w:t>Enterprise Value/Revenue</w:t>
            </w:r>
          </w:p>
        </w:tc>
        <w:tc>
          <w:tcPr>
            <w:tcW w:w="1090" w:type="dxa"/>
            <w:shd w:val="clear" w:color="auto" w:fill="FFFFFF"/>
            <w:vAlign w:val="bottom"/>
          </w:tcPr>
          <w:p w14:paraId="00528D93"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3.06</w:t>
            </w:r>
          </w:p>
        </w:tc>
        <w:tc>
          <w:tcPr>
            <w:tcW w:w="1090" w:type="dxa"/>
            <w:shd w:val="clear" w:color="auto" w:fill="FFFFFF"/>
            <w:vAlign w:val="bottom"/>
          </w:tcPr>
          <w:p w14:paraId="7A0DF54C"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2.50</w:t>
            </w:r>
          </w:p>
        </w:tc>
        <w:tc>
          <w:tcPr>
            <w:tcW w:w="1090" w:type="dxa"/>
            <w:shd w:val="clear" w:color="auto" w:fill="FFFFFF"/>
            <w:vAlign w:val="bottom"/>
          </w:tcPr>
          <w:p w14:paraId="04886DF5"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7.85</w:t>
            </w:r>
          </w:p>
        </w:tc>
        <w:tc>
          <w:tcPr>
            <w:tcW w:w="1090" w:type="dxa"/>
            <w:shd w:val="clear" w:color="auto" w:fill="FFFFFF"/>
            <w:vAlign w:val="bottom"/>
          </w:tcPr>
          <w:p w14:paraId="00EF0FEC"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3.62</w:t>
            </w:r>
          </w:p>
        </w:tc>
        <w:tc>
          <w:tcPr>
            <w:tcW w:w="1090" w:type="dxa"/>
            <w:shd w:val="clear" w:color="auto" w:fill="FFFFFF"/>
            <w:vAlign w:val="bottom"/>
          </w:tcPr>
          <w:p w14:paraId="6E4281E3"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1.80</w:t>
            </w:r>
          </w:p>
        </w:tc>
        <w:tc>
          <w:tcPr>
            <w:tcW w:w="1090" w:type="dxa"/>
            <w:shd w:val="clear" w:color="auto" w:fill="FFFFFF"/>
            <w:vAlign w:val="bottom"/>
          </w:tcPr>
          <w:p w14:paraId="087DC14E"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1.49</w:t>
            </w:r>
          </w:p>
        </w:tc>
        <w:tc>
          <w:tcPr>
            <w:tcW w:w="1090" w:type="dxa"/>
            <w:shd w:val="clear" w:color="auto" w:fill="FFFFFF"/>
            <w:vAlign w:val="bottom"/>
          </w:tcPr>
          <w:p w14:paraId="5B6D7246"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1.03</w:t>
            </w:r>
          </w:p>
        </w:tc>
        <w:tc>
          <w:tcPr>
            <w:tcW w:w="1090" w:type="dxa"/>
            <w:shd w:val="clear" w:color="auto" w:fill="FFFFFF"/>
            <w:vAlign w:val="bottom"/>
          </w:tcPr>
          <w:p w14:paraId="10C5D654"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1.46</w:t>
            </w:r>
          </w:p>
        </w:tc>
      </w:tr>
      <w:tr w:rsidR="00812AED" w:rsidRPr="009F7B80" w14:paraId="5ED57DF4" w14:textId="77777777" w:rsidTr="00812AED">
        <w:trPr>
          <w:trHeight w:val="257"/>
        </w:trPr>
        <w:tc>
          <w:tcPr>
            <w:tcW w:w="2509" w:type="dxa"/>
            <w:shd w:val="clear" w:color="auto" w:fill="FFFFFF"/>
            <w:vAlign w:val="bottom"/>
          </w:tcPr>
          <w:p w14:paraId="178E7854"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Enterprise Value/EBITDA</w:t>
            </w:r>
          </w:p>
        </w:tc>
        <w:tc>
          <w:tcPr>
            <w:tcW w:w="1090" w:type="dxa"/>
            <w:shd w:val="clear" w:color="auto" w:fill="FFFFFF"/>
            <w:vAlign w:val="bottom"/>
          </w:tcPr>
          <w:p w14:paraId="4FAAF2E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10.18</w:t>
            </w:r>
          </w:p>
        </w:tc>
        <w:tc>
          <w:tcPr>
            <w:tcW w:w="1090" w:type="dxa"/>
            <w:shd w:val="clear" w:color="auto" w:fill="FFFFFF"/>
            <w:vAlign w:val="bottom"/>
          </w:tcPr>
          <w:p w14:paraId="6C3641B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7.65</w:t>
            </w:r>
          </w:p>
        </w:tc>
        <w:tc>
          <w:tcPr>
            <w:tcW w:w="1090" w:type="dxa"/>
            <w:shd w:val="clear" w:color="auto" w:fill="FFFFFF"/>
            <w:vAlign w:val="bottom"/>
          </w:tcPr>
          <w:p w14:paraId="7883FE9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68.24</w:t>
            </w:r>
          </w:p>
        </w:tc>
        <w:tc>
          <w:tcPr>
            <w:tcW w:w="1090" w:type="dxa"/>
            <w:shd w:val="clear" w:color="auto" w:fill="FFFFFF"/>
            <w:vAlign w:val="bottom"/>
          </w:tcPr>
          <w:p w14:paraId="7ACAE375"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10.81</w:t>
            </w:r>
          </w:p>
        </w:tc>
        <w:tc>
          <w:tcPr>
            <w:tcW w:w="1090" w:type="dxa"/>
            <w:shd w:val="clear" w:color="auto" w:fill="FFFFFF"/>
            <w:vAlign w:val="bottom"/>
          </w:tcPr>
          <w:p w14:paraId="54850267"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8.26</w:t>
            </w:r>
          </w:p>
        </w:tc>
        <w:tc>
          <w:tcPr>
            <w:tcW w:w="1090" w:type="dxa"/>
            <w:shd w:val="clear" w:color="auto" w:fill="FFFFFF"/>
            <w:vAlign w:val="bottom"/>
          </w:tcPr>
          <w:p w14:paraId="0DBA0FD9"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6.40</w:t>
            </w:r>
          </w:p>
        </w:tc>
        <w:tc>
          <w:tcPr>
            <w:tcW w:w="1090" w:type="dxa"/>
            <w:shd w:val="clear" w:color="auto" w:fill="FFFFFF"/>
            <w:vAlign w:val="bottom"/>
          </w:tcPr>
          <w:p w14:paraId="35FEB6EC"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16.46</w:t>
            </w:r>
          </w:p>
        </w:tc>
        <w:tc>
          <w:tcPr>
            <w:tcW w:w="1090" w:type="dxa"/>
            <w:shd w:val="clear" w:color="auto" w:fill="FFFFFF"/>
            <w:vAlign w:val="bottom"/>
          </w:tcPr>
          <w:p w14:paraId="07BC5354"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12.34</w:t>
            </w:r>
          </w:p>
        </w:tc>
      </w:tr>
      <w:tr w:rsidR="00812AED" w:rsidRPr="009F7B80" w14:paraId="02F2E315" w14:textId="77777777" w:rsidTr="00812AED">
        <w:trPr>
          <w:trHeight w:val="271"/>
        </w:trPr>
        <w:tc>
          <w:tcPr>
            <w:tcW w:w="2509" w:type="dxa"/>
            <w:shd w:val="clear" w:color="auto" w:fill="FFFFFF"/>
            <w:vAlign w:val="bottom"/>
          </w:tcPr>
          <w:p w14:paraId="3F4DDB93" w14:textId="77777777" w:rsidR="00812AED" w:rsidRPr="00DF015D" w:rsidRDefault="00812AED" w:rsidP="00812AED">
            <w:pPr>
              <w:autoSpaceDE w:val="0"/>
              <w:autoSpaceDN w:val="0"/>
              <w:adjustRightInd w:val="0"/>
              <w:rPr>
                <w:rFonts w:ascii="Arial" w:eastAsiaTheme="minorEastAsia" w:hAnsi="Arial" w:cs="Arial"/>
                <w:i/>
                <w:iCs/>
                <w:color w:val="262626"/>
                <w:sz w:val="16"/>
                <w:szCs w:val="16"/>
                <w:lang w:eastAsia="zh-CN"/>
              </w:rPr>
            </w:pPr>
            <w:r>
              <w:rPr>
                <w:rFonts w:ascii="Arial" w:eastAsiaTheme="minorEastAsia" w:hAnsi="Arial" w:cs="Arial"/>
                <w:sz w:val="16"/>
                <w:szCs w:val="16"/>
                <w:lang w:eastAsia="zh-CN"/>
              </w:rPr>
              <w:t>Profit Margin</w:t>
            </w:r>
          </w:p>
        </w:tc>
        <w:tc>
          <w:tcPr>
            <w:tcW w:w="1090" w:type="dxa"/>
            <w:shd w:val="clear" w:color="auto" w:fill="FFFFFF"/>
            <w:vAlign w:val="bottom"/>
          </w:tcPr>
          <w:p w14:paraId="28ED5964"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21.20%</w:t>
            </w:r>
          </w:p>
        </w:tc>
        <w:tc>
          <w:tcPr>
            <w:tcW w:w="1090" w:type="dxa"/>
            <w:shd w:val="clear" w:color="auto" w:fill="FFFFFF"/>
            <w:vAlign w:val="bottom"/>
          </w:tcPr>
          <w:p w14:paraId="348B13A4"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27.43%</w:t>
            </w:r>
          </w:p>
        </w:tc>
        <w:tc>
          <w:tcPr>
            <w:tcW w:w="1090" w:type="dxa"/>
            <w:shd w:val="clear" w:color="auto" w:fill="FFFFFF"/>
            <w:vAlign w:val="bottom"/>
          </w:tcPr>
          <w:p w14:paraId="567D4AE6"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8.48%</w:t>
            </w:r>
          </w:p>
        </w:tc>
        <w:tc>
          <w:tcPr>
            <w:tcW w:w="1090" w:type="dxa"/>
            <w:shd w:val="clear" w:color="auto" w:fill="FFFFFF"/>
            <w:vAlign w:val="bottom"/>
          </w:tcPr>
          <w:p w14:paraId="1FAF4EF8"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(8.52%)</w:t>
            </w:r>
          </w:p>
        </w:tc>
        <w:tc>
          <w:tcPr>
            <w:tcW w:w="1090" w:type="dxa"/>
            <w:shd w:val="clear" w:color="auto" w:fill="FFFFFF"/>
            <w:vAlign w:val="bottom"/>
          </w:tcPr>
          <w:p w14:paraId="23754BC6" w14:textId="77777777" w:rsidR="00812AED" w:rsidRPr="00BA23EF"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9.42%</w:t>
            </w:r>
          </w:p>
        </w:tc>
        <w:tc>
          <w:tcPr>
            <w:tcW w:w="1090" w:type="dxa"/>
            <w:shd w:val="clear" w:color="auto" w:fill="FFFFFF"/>
            <w:vAlign w:val="bottom"/>
          </w:tcPr>
          <w:p w14:paraId="65E8AFF0"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13.28%</w:t>
            </w:r>
          </w:p>
        </w:tc>
        <w:tc>
          <w:tcPr>
            <w:tcW w:w="1090" w:type="dxa"/>
            <w:shd w:val="clear" w:color="auto" w:fill="FFFFFF"/>
            <w:vAlign w:val="bottom"/>
          </w:tcPr>
          <w:p w14:paraId="2AB26F31"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0.15%</w:t>
            </w:r>
          </w:p>
        </w:tc>
        <w:tc>
          <w:tcPr>
            <w:tcW w:w="1090" w:type="dxa"/>
            <w:shd w:val="clear" w:color="auto" w:fill="FFFFFF"/>
            <w:vAlign w:val="bottom"/>
          </w:tcPr>
          <w:p w14:paraId="1A607EF3" w14:textId="77777777" w:rsidR="00812AED" w:rsidRDefault="00812AED" w:rsidP="00812AED">
            <w:pPr>
              <w:autoSpaceDE w:val="0"/>
              <w:autoSpaceDN w:val="0"/>
              <w:adjustRightInd w:val="0"/>
              <w:jc w:val="right"/>
              <w:rPr>
                <w:rFonts w:ascii="Arial" w:eastAsiaTheme="minorEastAsia" w:hAnsi="Arial" w:cs="Arial"/>
                <w:iCs/>
                <w:color w:val="2F5496" w:themeColor="accent1" w:themeShade="BF"/>
                <w:sz w:val="16"/>
                <w:szCs w:val="16"/>
                <w:lang w:eastAsia="zh-CN"/>
              </w:rPr>
            </w:pPr>
            <w:r>
              <w:rPr>
                <w:rFonts w:ascii="Arial" w:eastAsiaTheme="minorEastAsia" w:hAnsi="Arial" w:cs="Arial"/>
                <w:iCs/>
                <w:color w:val="2F5496" w:themeColor="accent1" w:themeShade="BF"/>
                <w:sz w:val="16"/>
                <w:szCs w:val="16"/>
                <w:lang w:eastAsia="zh-CN"/>
              </w:rPr>
              <w:t>3.30%</w:t>
            </w:r>
          </w:p>
        </w:tc>
      </w:tr>
      <w:tr w:rsidR="00812AED" w:rsidRPr="009F7B80" w14:paraId="78557689" w14:textId="77777777" w:rsidTr="00812AED">
        <w:trPr>
          <w:trHeight w:val="257"/>
        </w:trPr>
        <w:tc>
          <w:tcPr>
            <w:tcW w:w="2509" w:type="dxa"/>
            <w:vAlign w:val="center"/>
          </w:tcPr>
          <w:p w14:paraId="3AFE55F3"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Pr>
                <w:rFonts w:ascii="Arial" w:eastAsiaTheme="minorEastAsia" w:hAnsi="Arial" w:cs="Arial"/>
                <w:sz w:val="16"/>
                <w:szCs w:val="16"/>
                <w:lang w:eastAsia="zh-CN"/>
              </w:rPr>
              <w:t>Operating Margin</w:t>
            </w:r>
          </w:p>
        </w:tc>
        <w:tc>
          <w:tcPr>
            <w:tcW w:w="1090" w:type="dxa"/>
            <w:vAlign w:val="bottom"/>
          </w:tcPr>
          <w:p w14:paraId="4A342365"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24.96%</w:t>
            </w:r>
          </w:p>
        </w:tc>
        <w:tc>
          <w:tcPr>
            <w:tcW w:w="1090" w:type="dxa"/>
            <w:vAlign w:val="bottom"/>
          </w:tcPr>
          <w:p w14:paraId="4D3EBB8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20.72%</w:t>
            </w:r>
          </w:p>
        </w:tc>
        <w:tc>
          <w:tcPr>
            <w:tcW w:w="1090" w:type="dxa"/>
            <w:vAlign w:val="bottom"/>
          </w:tcPr>
          <w:p w14:paraId="7AADCC3D"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10.98%</w:t>
            </w:r>
          </w:p>
        </w:tc>
        <w:tc>
          <w:tcPr>
            <w:tcW w:w="1090" w:type="dxa"/>
            <w:vAlign w:val="bottom"/>
          </w:tcPr>
          <w:p w14:paraId="78812CF4"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22.25%</w:t>
            </w:r>
          </w:p>
        </w:tc>
        <w:tc>
          <w:tcPr>
            <w:tcW w:w="1090" w:type="dxa"/>
            <w:shd w:val="clear" w:color="auto" w:fill="FFFFFF"/>
            <w:vAlign w:val="bottom"/>
          </w:tcPr>
          <w:p w14:paraId="0EA682F5"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20.21%</w:t>
            </w:r>
          </w:p>
        </w:tc>
        <w:tc>
          <w:tcPr>
            <w:tcW w:w="1090" w:type="dxa"/>
            <w:shd w:val="clear" w:color="auto" w:fill="FFFFFF"/>
            <w:vAlign w:val="bottom"/>
          </w:tcPr>
          <w:p w14:paraId="24FA9D4A"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21.59%</w:t>
            </w:r>
          </w:p>
        </w:tc>
        <w:tc>
          <w:tcPr>
            <w:tcW w:w="1090" w:type="dxa"/>
            <w:shd w:val="clear" w:color="auto" w:fill="FFFFFF"/>
            <w:vAlign w:val="bottom"/>
          </w:tcPr>
          <w:p w14:paraId="3D70E0C5"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2.86%</w:t>
            </w:r>
          </w:p>
        </w:tc>
        <w:tc>
          <w:tcPr>
            <w:tcW w:w="1090" w:type="dxa"/>
            <w:shd w:val="clear" w:color="auto" w:fill="FFFFFF"/>
            <w:vAlign w:val="bottom"/>
          </w:tcPr>
          <w:p w14:paraId="2E6BCAF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7.84%</w:t>
            </w:r>
          </w:p>
        </w:tc>
      </w:tr>
      <w:tr w:rsidR="00812AED" w:rsidRPr="009F7B80" w14:paraId="4A3C5BB8" w14:textId="77777777" w:rsidTr="00812AED">
        <w:trPr>
          <w:trHeight w:val="257"/>
        </w:trPr>
        <w:tc>
          <w:tcPr>
            <w:tcW w:w="2509" w:type="dxa"/>
            <w:vAlign w:val="center"/>
          </w:tcPr>
          <w:p w14:paraId="01B150B2"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R</w:t>
            </w:r>
            <w:r>
              <w:rPr>
                <w:rFonts w:ascii="Arial" w:eastAsiaTheme="minorEastAsia" w:hAnsi="Arial" w:cs="Arial"/>
                <w:sz w:val="16"/>
                <w:szCs w:val="16"/>
                <w:lang w:eastAsia="zh-CN"/>
              </w:rPr>
              <w:t>eturn on Equity %</w:t>
            </w:r>
          </w:p>
        </w:tc>
        <w:tc>
          <w:tcPr>
            <w:tcW w:w="1090" w:type="dxa"/>
            <w:shd w:val="clear" w:color="auto" w:fill="FFFFFF"/>
            <w:vAlign w:val="bottom"/>
          </w:tcPr>
          <w:p w14:paraId="0A7177F0"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26.10%</w:t>
            </w:r>
          </w:p>
        </w:tc>
        <w:tc>
          <w:tcPr>
            <w:tcW w:w="1090" w:type="dxa"/>
            <w:shd w:val="clear" w:color="auto" w:fill="FFFFFF"/>
            <w:vAlign w:val="bottom"/>
          </w:tcPr>
          <w:p w14:paraId="3E12D94E"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37.03%</w:t>
            </w:r>
          </w:p>
        </w:tc>
        <w:tc>
          <w:tcPr>
            <w:tcW w:w="1090" w:type="dxa"/>
            <w:shd w:val="clear" w:color="auto" w:fill="FFFFFF"/>
            <w:vAlign w:val="bottom"/>
          </w:tcPr>
          <w:p w14:paraId="742748C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30.29%</w:t>
            </w:r>
          </w:p>
        </w:tc>
        <w:tc>
          <w:tcPr>
            <w:tcW w:w="1090" w:type="dxa"/>
            <w:shd w:val="clear" w:color="auto" w:fill="FFFFFF"/>
            <w:vAlign w:val="bottom"/>
          </w:tcPr>
          <w:p w14:paraId="221F3DAE"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(9.25%)</w:t>
            </w:r>
          </w:p>
        </w:tc>
        <w:tc>
          <w:tcPr>
            <w:tcW w:w="1090" w:type="dxa"/>
            <w:shd w:val="clear" w:color="auto" w:fill="FFFFFF"/>
            <w:vAlign w:val="bottom"/>
          </w:tcPr>
          <w:p w14:paraId="238DF1C9"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52.25%</w:t>
            </w:r>
          </w:p>
        </w:tc>
        <w:tc>
          <w:tcPr>
            <w:tcW w:w="1090" w:type="dxa"/>
            <w:shd w:val="clear" w:color="auto" w:fill="FFFFFF"/>
            <w:vAlign w:val="bottom"/>
          </w:tcPr>
          <w:p w14:paraId="178180FE"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24.55%</w:t>
            </w:r>
          </w:p>
        </w:tc>
        <w:tc>
          <w:tcPr>
            <w:tcW w:w="1090" w:type="dxa"/>
            <w:shd w:val="clear" w:color="auto" w:fill="FFFFFF"/>
            <w:vAlign w:val="bottom"/>
          </w:tcPr>
          <w:p w14:paraId="5E3E4300"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2.69%</w:t>
            </w:r>
          </w:p>
        </w:tc>
        <w:tc>
          <w:tcPr>
            <w:tcW w:w="1090" w:type="dxa"/>
            <w:shd w:val="clear" w:color="auto" w:fill="FFFFFF"/>
            <w:vAlign w:val="bottom"/>
          </w:tcPr>
          <w:p w14:paraId="159D2FB8"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3.93%</w:t>
            </w:r>
          </w:p>
        </w:tc>
      </w:tr>
      <w:tr w:rsidR="00812AED" w:rsidRPr="009F7B80" w14:paraId="289433DF" w14:textId="77777777" w:rsidTr="00812AED">
        <w:trPr>
          <w:trHeight w:val="271"/>
        </w:trPr>
        <w:tc>
          <w:tcPr>
            <w:tcW w:w="2509" w:type="dxa"/>
            <w:vAlign w:val="center"/>
          </w:tcPr>
          <w:p w14:paraId="08976C54"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R</w:t>
            </w:r>
            <w:r>
              <w:rPr>
                <w:rFonts w:ascii="Arial" w:eastAsiaTheme="minorEastAsia" w:hAnsi="Arial" w:cs="Arial"/>
                <w:sz w:val="16"/>
                <w:szCs w:val="16"/>
                <w:lang w:eastAsia="zh-CN"/>
              </w:rPr>
              <w:t>eturn on Assets %</w:t>
            </w:r>
          </w:p>
        </w:tc>
        <w:tc>
          <w:tcPr>
            <w:tcW w:w="1090" w:type="dxa"/>
            <w:shd w:val="clear" w:color="auto" w:fill="FFFFFF"/>
            <w:vAlign w:val="bottom"/>
          </w:tcPr>
          <w:p w14:paraId="342374C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9.54%</w:t>
            </w:r>
          </w:p>
        </w:tc>
        <w:tc>
          <w:tcPr>
            <w:tcW w:w="1090" w:type="dxa"/>
            <w:shd w:val="clear" w:color="auto" w:fill="FFFFFF"/>
            <w:vAlign w:val="bottom"/>
          </w:tcPr>
          <w:p w14:paraId="4F4310B1"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5.92%</w:t>
            </w:r>
          </w:p>
        </w:tc>
        <w:tc>
          <w:tcPr>
            <w:tcW w:w="1090" w:type="dxa"/>
            <w:shd w:val="clear" w:color="auto" w:fill="FFFFFF"/>
            <w:vAlign w:val="bottom"/>
          </w:tcPr>
          <w:p w14:paraId="5AE42473"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5.07%</w:t>
            </w:r>
          </w:p>
        </w:tc>
        <w:tc>
          <w:tcPr>
            <w:tcW w:w="1090" w:type="dxa"/>
            <w:shd w:val="clear" w:color="auto" w:fill="FFFFFF"/>
            <w:vAlign w:val="bottom"/>
          </w:tcPr>
          <w:p w14:paraId="7D573AE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4.77%</w:t>
            </w:r>
          </w:p>
        </w:tc>
        <w:tc>
          <w:tcPr>
            <w:tcW w:w="1090" w:type="dxa"/>
            <w:shd w:val="clear" w:color="auto" w:fill="FFFFFF"/>
            <w:vAlign w:val="bottom"/>
          </w:tcPr>
          <w:p w14:paraId="167C6633"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8.10%</w:t>
            </w:r>
          </w:p>
        </w:tc>
        <w:tc>
          <w:tcPr>
            <w:tcW w:w="1090" w:type="dxa"/>
            <w:shd w:val="clear" w:color="auto" w:fill="FFFFFF"/>
            <w:vAlign w:val="bottom"/>
          </w:tcPr>
          <w:p w14:paraId="3D696CBF"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7.36%</w:t>
            </w:r>
          </w:p>
        </w:tc>
        <w:tc>
          <w:tcPr>
            <w:tcW w:w="1090" w:type="dxa"/>
            <w:shd w:val="clear" w:color="auto" w:fill="FFFFFF"/>
            <w:vAlign w:val="bottom"/>
          </w:tcPr>
          <w:p w14:paraId="107DBA66"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2.44%</w:t>
            </w:r>
          </w:p>
        </w:tc>
        <w:tc>
          <w:tcPr>
            <w:tcW w:w="1090" w:type="dxa"/>
            <w:shd w:val="clear" w:color="auto" w:fill="FFFFFF"/>
            <w:vAlign w:val="bottom"/>
          </w:tcPr>
          <w:p w14:paraId="42649AD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2.22%</w:t>
            </w:r>
          </w:p>
        </w:tc>
      </w:tr>
      <w:tr w:rsidR="00812AED" w:rsidRPr="009F7B80" w14:paraId="14D0F46A" w14:textId="77777777" w:rsidTr="00812AED">
        <w:trPr>
          <w:trHeight w:val="293"/>
        </w:trPr>
        <w:tc>
          <w:tcPr>
            <w:tcW w:w="2509" w:type="dxa"/>
            <w:vAlign w:val="center"/>
          </w:tcPr>
          <w:p w14:paraId="5896B3B9"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 xml:space="preserve">Dividend </w:t>
            </w:r>
            <w:r>
              <w:rPr>
                <w:rFonts w:ascii="Arial" w:eastAsiaTheme="minorEastAsia" w:hAnsi="Arial" w:cs="Arial"/>
                <w:sz w:val="16"/>
                <w:szCs w:val="16"/>
                <w:lang w:eastAsia="zh-CN"/>
              </w:rPr>
              <w:t>Yield</w:t>
            </w:r>
          </w:p>
        </w:tc>
        <w:tc>
          <w:tcPr>
            <w:tcW w:w="1090" w:type="dxa"/>
            <w:shd w:val="clear" w:color="auto" w:fill="FFFFFF"/>
            <w:vAlign w:val="bottom"/>
          </w:tcPr>
          <w:p w14:paraId="2879A583"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1.62%</w:t>
            </w:r>
          </w:p>
        </w:tc>
        <w:tc>
          <w:tcPr>
            <w:tcW w:w="1090" w:type="dxa"/>
            <w:shd w:val="clear" w:color="auto" w:fill="FFFFFF"/>
            <w:vAlign w:val="bottom"/>
          </w:tcPr>
          <w:p w14:paraId="5DCF5C3E"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2.12%</w:t>
            </w:r>
          </w:p>
        </w:tc>
        <w:tc>
          <w:tcPr>
            <w:tcW w:w="1090" w:type="dxa"/>
            <w:shd w:val="clear" w:color="auto" w:fill="FFFFFF"/>
            <w:vAlign w:val="bottom"/>
          </w:tcPr>
          <w:p w14:paraId="7712A590"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21668CD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76369E06"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1.58%</w:t>
            </w:r>
          </w:p>
        </w:tc>
        <w:tc>
          <w:tcPr>
            <w:tcW w:w="1090" w:type="dxa"/>
            <w:shd w:val="clear" w:color="auto" w:fill="FFFFFF"/>
            <w:vAlign w:val="bottom"/>
          </w:tcPr>
          <w:p w14:paraId="28593EAC"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2.99%</w:t>
            </w:r>
          </w:p>
        </w:tc>
        <w:tc>
          <w:tcPr>
            <w:tcW w:w="1090" w:type="dxa"/>
            <w:shd w:val="clear" w:color="auto" w:fill="FFFFFF"/>
            <w:vAlign w:val="bottom"/>
          </w:tcPr>
          <w:p w14:paraId="02C614F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N/A</w:t>
            </w:r>
          </w:p>
        </w:tc>
        <w:tc>
          <w:tcPr>
            <w:tcW w:w="1090" w:type="dxa"/>
            <w:shd w:val="clear" w:color="auto" w:fill="FFFFFF"/>
            <w:vAlign w:val="bottom"/>
          </w:tcPr>
          <w:p w14:paraId="041E2DD5"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1.62%</w:t>
            </w:r>
          </w:p>
        </w:tc>
      </w:tr>
      <w:tr w:rsidR="00812AED" w:rsidRPr="009F7B80" w14:paraId="4D4E394F" w14:textId="77777777" w:rsidTr="00812AED">
        <w:trPr>
          <w:trHeight w:val="271"/>
        </w:trPr>
        <w:tc>
          <w:tcPr>
            <w:tcW w:w="2509" w:type="dxa"/>
            <w:vAlign w:val="center"/>
          </w:tcPr>
          <w:p w14:paraId="2F3D3B2D" w14:textId="77777777" w:rsidR="00812AED" w:rsidRPr="00DF015D" w:rsidRDefault="00812AED" w:rsidP="00812AED">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FCF</w:t>
            </w:r>
          </w:p>
        </w:tc>
        <w:tc>
          <w:tcPr>
            <w:tcW w:w="1090" w:type="dxa"/>
            <w:shd w:val="clear" w:color="auto" w:fill="FFFFFF"/>
            <w:vAlign w:val="bottom"/>
          </w:tcPr>
          <w:p w14:paraId="5B13EC2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8.06B</w:t>
            </w:r>
          </w:p>
        </w:tc>
        <w:tc>
          <w:tcPr>
            <w:tcW w:w="1090" w:type="dxa"/>
            <w:shd w:val="clear" w:color="auto" w:fill="FFFFFF"/>
            <w:vAlign w:val="bottom"/>
          </w:tcPr>
          <w:p w14:paraId="26584CBC"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8.73B</w:t>
            </w:r>
          </w:p>
        </w:tc>
        <w:tc>
          <w:tcPr>
            <w:tcW w:w="1090" w:type="dxa"/>
            <w:shd w:val="clear" w:color="auto" w:fill="FFFFFF"/>
            <w:vAlign w:val="bottom"/>
          </w:tcPr>
          <w:p w14:paraId="248483F1"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8.19B</w:t>
            </w:r>
          </w:p>
        </w:tc>
        <w:tc>
          <w:tcPr>
            <w:tcW w:w="1090" w:type="dxa"/>
            <w:shd w:val="clear" w:color="auto" w:fill="FFFFFF"/>
            <w:vAlign w:val="bottom"/>
          </w:tcPr>
          <w:p w14:paraId="0AC67E82"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4.2B</w:t>
            </w:r>
          </w:p>
        </w:tc>
        <w:tc>
          <w:tcPr>
            <w:tcW w:w="1090" w:type="dxa"/>
            <w:shd w:val="clear" w:color="auto" w:fill="FFFFFF"/>
            <w:vAlign w:val="bottom"/>
          </w:tcPr>
          <w:p w14:paraId="7BEFFF6A" w14:textId="77777777" w:rsidR="00812AED" w:rsidRPr="00BA23EF"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2.19B</w:t>
            </w:r>
          </w:p>
        </w:tc>
        <w:tc>
          <w:tcPr>
            <w:tcW w:w="1090" w:type="dxa"/>
            <w:shd w:val="clear" w:color="auto" w:fill="FFFFFF"/>
            <w:vAlign w:val="bottom"/>
          </w:tcPr>
          <w:p w14:paraId="41267C92"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5.92B</w:t>
            </w:r>
          </w:p>
        </w:tc>
        <w:tc>
          <w:tcPr>
            <w:tcW w:w="1090" w:type="dxa"/>
            <w:shd w:val="clear" w:color="auto" w:fill="FFFFFF"/>
            <w:vAlign w:val="bottom"/>
          </w:tcPr>
          <w:p w14:paraId="7C85B8A3"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563.59M</w:t>
            </w:r>
          </w:p>
        </w:tc>
        <w:tc>
          <w:tcPr>
            <w:tcW w:w="1090" w:type="dxa"/>
            <w:shd w:val="clear" w:color="auto" w:fill="FFFFFF"/>
            <w:vAlign w:val="bottom"/>
          </w:tcPr>
          <w:p w14:paraId="31094FFC" w14:textId="77777777" w:rsidR="00812AED" w:rsidRDefault="00812AED" w:rsidP="00812AED">
            <w:pPr>
              <w:autoSpaceDE w:val="0"/>
              <w:autoSpaceDN w:val="0"/>
              <w:adjustRightInd w:val="0"/>
              <w:jc w:val="right"/>
              <w:rPr>
                <w:rFonts w:ascii="Arial" w:eastAsiaTheme="minorEastAsia" w:hAnsi="Arial" w:cs="Arial"/>
                <w:color w:val="2F5496" w:themeColor="accent1" w:themeShade="BF"/>
                <w:sz w:val="16"/>
                <w:szCs w:val="16"/>
                <w:lang w:eastAsia="zh-CN"/>
              </w:rPr>
            </w:pPr>
            <w:r>
              <w:rPr>
                <w:rFonts w:ascii="Arial" w:eastAsiaTheme="minorEastAsia" w:hAnsi="Arial" w:cs="Arial"/>
                <w:color w:val="2F5496" w:themeColor="accent1" w:themeShade="BF"/>
                <w:sz w:val="16"/>
                <w:szCs w:val="16"/>
                <w:lang w:eastAsia="zh-CN"/>
              </w:rPr>
              <w:t>2.81B</w:t>
            </w:r>
          </w:p>
        </w:tc>
      </w:tr>
    </w:tbl>
    <w:p w14:paraId="67BDBA10" w14:textId="5797443A" w:rsidR="008C1E99" w:rsidRPr="00426AE4" w:rsidRDefault="008C1E99" w:rsidP="00812AED">
      <w:pPr>
        <w:rPr>
          <w:noProof/>
        </w:rPr>
      </w:pPr>
      <w:r w:rsidRPr="00426AE4">
        <w:rPr>
          <w:noProof/>
        </w:rPr>
        <w:br w:type="page"/>
      </w:r>
    </w:p>
    <w:p w14:paraId="0B266AFE" w14:textId="178263AB" w:rsidR="00E37D34" w:rsidRDefault="008F2318" w:rsidP="00F810DD">
      <w:r>
        <w:rPr>
          <w:noProof/>
        </w:rPr>
        <w:lastRenderedPageBreak/>
        <mc:AlternateContent>
          <mc:Choice Requires="wps">
            <w:drawing>
              <wp:anchor distT="0" distB="0" distL="114300" distR="114300" simplePos="0" relativeHeight="251664384" behindDoc="0" locked="0" layoutInCell="1" allowOverlap="1" wp14:anchorId="3A416220" wp14:editId="795E2982">
                <wp:simplePos x="0" y="0"/>
                <wp:positionH relativeFrom="page">
                  <wp:posOffset>2540000</wp:posOffset>
                </wp:positionH>
                <wp:positionV relativeFrom="page">
                  <wp:posOffset>1231900</wp:posOffset>
                </wp:positionV>
                <wp:extent cx="91440" cy="91440"/>
                <wp:effectExtent l="0" t="3175" r="0" b="635"/>
                <wp:wrapNone/>
                <wp:docPr id="39"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510C" w14:textId="77777777" w:rsidR="00D222D1" w:rsidRDefault="00D222D1" w:rsidP="008F231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6220" id="Text Box 152" o:spid="_x0000_s1049" type="#_x0000_t202" style="position:absolute;margin-left:200pt;margin-top:97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ED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X4pxA7MCAAC8BQAA&#10;DgAAAAAAAAAAAAAAAAAuAgAAZHJzL2Uyb0RvYy54bWxQSwECLQAUAAYACAAAACEAqz4o594AAAAL&#10;AQAADwAAAAAAAAAAAAAAAAANBQAAZHJzL2Rvd25yZXYueG1sUEsFBgAAAAAEAAQA8wAAABgGAAAA&#10;AA==&#10;" filled="f" stroked="f">
                <v:textbox inset="0,0,0,0">
                  <w:txbxContent>
                    <w:p w14:paraId="1209510C" w14:textId="77777777" w:rsidR="00D222D1" w:rsidRDefault="00D222D1" w:rsidP="008F231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2C6B4FCC" wp14:editId="2BE10A6B">
                <wp:simplePos x="0" y="0"/>
                <wp:positionH relativeFrom="page">
                  <wp:posOffset>2552700</wp:posOffset>
                </wp:positionH>
                <wp:positionV relativeFrom="page">
                  <wp:posOffset>4457700</wp:posOffset>
                </wp:positionV>
                <wp:extent cx="91440" cy="91440"/>
                <wp:effectExtent l="0" t="0" r="3810" b="3810"/>
                <wp:wrapNone/>
                <wp:docPr id="38"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E90B" w14:textId="77777777" w:rsidR="00D222D1" w:rsidRDefault="00D222D1" w:rsidP="008F231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4FCC" id="Text Box 156" o:spid="_x0000_s1050" type="#_x0000_t202" style="position:absolute;margin-left:201pt;margin-top:351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N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0iJNswIAALwFAAAO&#10;AAAAAAAAAAAAAAAAAC4CAABkcnMvZTJvRG9jLnhtbFBLAQItABQABgAIAAAAIQDsmIWn3QAAAAsB&#10;AAAPAAAAAAAAAAAAAAAAAA0FAABkcnMvZG93bnJldi54bWxQSwUGAAAAAAQABADzAAAAFwYAAAAA&#10;" filled="f" stroked="f">
                <v:textbox inset="0,0,0,0">
                  <w:txbxContent>
                    <w:p w14:paraId="1159E90B" w14:textId="77777777" w:rsidR="00D222D1" w:rsidRDefault="00D222D1" w:rsidP="008F231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3598562" wp14:editId="4C5EEAA0">
                <wp:simplePos x="0" y="0"/>
                <wp:positionH relativeFrom="page">
                  <wp:posOffset>2552700</wp:posOffset>
                </wp:positionH>
                <wp:positionV relativeFrom="page">
                  <wp:posOffset>7670800</wp:posOffset>
                </wp:positionV>
                <wp:extent cx="91440" cy="91440"/>
                <wp:effectExtent l="0" t="3175" r="3810" b="635"/>
                <wp:wrapNone/>
                <wp:docPr id="37"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3EDB" w14:textId="77777777" w:rsidR="00D222D1" w:rsidRDefault="00D222D1" w:rsidP="008F231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8562" id="Text Box 160" o:spid="_x0000_s1051" type="#_x0000_t202" style="position:absolute;margin-left:201pt;margin-top:604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ynYP57ICAAC8BQAA&#10;DgAAAAAAAAAAAAAAAAAuAgAAZHJzL2Uyb0RvYy54bWxQSwECLQAUAAYACAAAACEAzMy4598AAAAN&#10;AQAADwAAAAAAAAAAAAAAAAAMBQAAZHJzL2Rvd25yZXYueG1sUEsFBgAAAAAEAAQA8wAAABgGAAAA&#10;AA==&#10;" filled="f" stroked="f">
                <v:textbox inset="0,0,0,0">
                  <w:txbxContent>
                    <w:p w14:paraId="6A7B3EDB" w14:textId="77777777" w:rsidR="00D222D1" w:rsidRDefault="00D222D1" w:rsidP="008F2318">
                      <w:pPr>
                        <w:pStyle w:val="BodyText"/>
                      </w:pPr>
                    </w:p>
                  </w:txbxContent>
                </v:textbox>
                <w10:wrap anchorx="page" anchory="page"/>
              </v:shape>
            </w:pict>
          </mc:Fallback>
        </mc:AlternateContent>
      </w:r>
    </w:p>
    <w:p w14:paraId="72FF2B8C" w14:textId="3B92F6A0" w:rsidR="00F810DD" w:rsidRPr="00FB0D64" w:rsidRDefault="00F810DD" w:rsidP="00F810DD">
      <w:pPr>
        <w:rPr>
          <w:rFonts w:ascii="Arial" w:hAnsi="Arial" w:cs="Arial"/>
          <w:b/>
          <w:noProof/>
          <w:color w:val="002060"/>
          <w:sz w:val="32"/>
          <w:szCs w:val="32"/>
        </w:rPr>
      </w:pPr>
      <w:r w:rsidRPr="00FB0D64">
        <w:rPr>
          <w:rFonts w:ascii="Arial" w:hAnsi="Arial" w:cs="Arial"/>
          <w:b/>
          <w:noProof/>
          <w:color w:val="002060"/>
          <w:sz w:val="32"/>
          <w:szCs w:val="32"/>
        </w:rPr>
        <w:t>Valuation</w:t>
      </w:r>
    </w:p>
    <w:p w14:paraId="423694D1" w14:textId="77777777" w:rsidR="00F810DD" w:rsidRPr="006C4657" w:rsidRDefault="00F810DD" w:rsidP="00F810DD">
      <w:pPr>
        <w:rPr>
          <w:rFonts w:ascii="Arial" w:hAnsi="Arial" w:cs="Arial"/>
          <w:noProof/>
          <w:sz w:val="22"/>
          <w:szCs w:val="22"/>
        </w:rPr>
      </w:pPr>
    </w:p>
    <w:p w14:paraId="16E2C759" w14:textId="77777777" w:rsidR="00F916A5" w:rsidRDefault="00F916A5" w:rsidP="006C4657">
      <w:pPr>
        <w:tabs>
          <w:tab w:val="left" w:pos="1792"/>
        </w:tabs>
        <w:jc w:val="both"/>
        <w:rPr>
          <w:rFonts w:ascii="Arial" w:hAnsi="Arial" w:cs="Arial"/>
          <w:sz w:val="22"/>
          <w:szCs w:val="22"/>
        </w:rPr>
      </w:pPr>
    </w:p>
    <w:p w14:paraId="0D183054" w14:textId="5DD03088" w:rsidR="006C4657" w:rsidRDefault="00B25E51" w:rsidP="006C4657">
      <w:pPr>
        <w:tabs>
          <w:tab w:val="left" w:pos="1792"/>
        </w:tabs>
        <w:jc w:val="both"/>
        <w:rPr>
          <w:rFonts w:ascii="Arial" w:hAnsi="Arial" w:cs="Arial"/>
          <w:sz w:val="22"/>
          <w:szCs w:val="22"/>
        </w:rPr>
      </w:pPr>
      <w:r>
        <w:rPr>
          <w:rFonts w:ascii="Arial" w:hAnsi="Arial" w:cs="Arial"/>
          <w:sz w:val="22"/>
          <w:szCs w:val="22"/>
        </w:rPr>
        <w:t>We used multiple methodologies in our attempt to value what Disney stock is truly worth.  We looked at the past five years of financial data in order to help with our assumptions</w:t>
      </w:r>
      <w:r w:rsidR="00C140B9">
        <w:rPr>
          <w:rFonts w:ascii="Arial" w:hAnsi="Arial" w:cs="Arial"/>
          <w:sz w:val="22"/>
          <w:szCs w:val="22"/>
        </w:rPr>
        <w:t>.</w:t>
      </w:r>
    </w:p>
    <w:p w14:paraId="0D4DB4BA" w14:textId="7770D638" w:rsidR="00AC5679" w:rsidRPr="006C4657" w:rsidRDefault="00C140B9" w:rsidP="006C4657">
      <w:pPr>
        <w:tabs>
          <w:tab w:val="left" w:pos="1792"/>
        </w:tabs>
        <w:jc w:val="both"/>
        <w:rPr>
          <w:rFonts w:ascii="Arial" w:hAnsi="Arial" w:cs="Arial"/>
          <w:sz w:val="22"/>
          <w:szCs w:val="22"/>
        </w:rPr>
      </w:pPr>
      <w:r w:rsidRPr="006C4657">
        <w:rPr>
          <w:rFonts w:ascii="Arial" w:hAnsi="Arial" w:cs="Arial"/>
          <w:noProof/>
          <w:sz w:val="22"/>
          <w:szCs w:val="22"/>
        </w:rPr>
        <mc:AlternateContent>
          <mc:Choice Requires="wps">
            <w:drawing>
              <wp:anchor distT="45720" distB="45720" distL="114300" distR="114300" simplePos="0" relativeHeight="251728896" behindDoc="0" locked="0" layoutInCell="1" allowOverlap="1" wp14:anchorId="375AFA20" wp14:editId="283BBACF">
                <wp:simplePos x="0" y="0"/>
                <wp:positionH relativeFrom="page">
                  <wp:posOffset>4947285</wp:posOffset>
                </wp:positionH>
                <wp:positionV relativeFrom="paragraph">
                  <wp:posOffset>1621155</wp:posOffset>
                </wp:positionV>
                <wp:extent cx="2640965" cy="1695450"/>
                <wp:effectExtent l="0" t="0" r="2603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695450"/>
                        </a:xfrm>
                        <a:prstGeom prst="rect">
                          <a:avLst/>
                        </a:prstGeom>
                        <a:solidFill>
                          <a:srgbClr val="FFFFFF"/>
                        </a:solidFill>
                        <a:ln w="9525">
                          <a:solidFill>
                            <a:srgbClr val="000000"/>
                          </a:solidFill>
                          <a:miter lim="800000"/>
                          <a:headEnd/>
                          <a:tailEnd/>
                        </a:ln>
                      </wps:spPr>
                      <wps:txbx>
                        <w:txbxContent>
                          <w:p w14:paraId="29ABEC6A" w14:textId="3A47D86D" w:rsidR="00D222D1" w:rsidRDefault="00D222D1" w:rsidP="00DD216D">
                            <w:r w:rsidRPr="00254022">
                              <w:rPr>
                                <w:noProof/>
                              </w:rPr>
                              <w:drawing>
                                <wp:inline distT="0" distB="0" distL="0" distR="0" wp14:anchorId="714690E1" wp14:editId="4E5B851F">
                                  <wp:extent cx="2411730" cy="1615102"/>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448" cy="16564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AFA20" id="_x0000_s1052" type="#_x0000_t202" style="position:absolute;left:0;text-align:left;margin-left:389.55pt;margin-top:127.65pt;width:207.95pt;height:133.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ECJw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">
                <v:textbox>
                  <w:txbxContent>
                    <w:p w14:paraId="29ABEC6A" w14:textId="3A47D86D" w:rsidR="00D222D1" w:rsidRDefault="00D222D1" w:rsidP="00DD216D">
                      <w:r w:rsidRPr="00254022">
                        <w:rPr>
                          <w:noProof/>
                        </w:rPr>
                        <w:drawing>
                          <wp:inline distT="0" distB="0" distL="0" distR="0" wp14:anchorId="714690E1" wp14:editId="4E5B851F">
                            <wp:extent cx="2411730" cy="1615102"/>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448" cy="1656434"/>
                                    </a:xfrm>
                                    <a:prstGeom prst="rect">
                                      <a:avLst/>
                                    </a:prstGeom>
                                  </pic:spPr>
                                </pic:pic>
                              </a:graphicData>
                            </a:graphic>
                          </wp:inline>
                        </w:drawing>
                      </w:r>
                    </w:p>
                  </w:txbxContent>
                </v:textbox>
                <w10:wrap type="square" anchorx="page"/>
              </v:shape>
            </w:pict>
          </mc:Fallback>
        </mc:AlternateContent>
      </w:r>
      <w:r w:rsidRPr="006C4657">
        <w:rPr>
          <w:rFonts w:ascii="Arial" w:hAnsi="Arial" w:cs="Arial"/>
          <w:noProof/>
          <w:sz w:val="22"/>
          <w:szCs w:val="22"/>
        </w:rPr>
        <mc:AlternateContent>
          <mc:Choice Requires="wps">
            <w:drawing>
              <wp:anchor distT="45720" distB="45720" distL="114300" distR="114300" simplePos="0" relativeHeight="251727872" behindDoc="0" locked="0" layoutInCell="1" allowOverlap="1" wp14:anchorId="6EBE21BD" wp14:editId="12C39EF8">
                <wp:simplePos x="0" y="0"/>
                <wp:positionH relativeFrom="page">
                  <wp:posOffset>4940300</wp:posOffset>
                </wp:positionH>
                <wp:positionV relativeFrom="paragraph">
                  <wp:posOffset>5080</wp:posOffset>
                </wp:positionV>
                <wp:extent cx="2647315" cy="1574800"/>
                <wp:effectExtent l="0" t="0" r="1968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574800"/>
                        </a:xfrm>
                        <a:prstGeom prst="rect">
                          <a:avLst/>
                        </a:prstGeom>
                        <a:solidFill>
                          <a:srgbClr val="FFFFFF"/>
                        </a:solidFill>
                        <a:ln w="9525">
                          <a:solidFill>
                            <a:srgbClr val="000000"/>
                          </a:solidFill>
                          <a:miter lim="800000"/>
                          <a:headEnd/>
                          <a:tailEnd/>
                        </a:ln>
                      </wps:spPr>
                      <wps:txbx>
                        <w:txbxContent>
                          <w:p w14:paraId="78DAADF5" w14:textId="1072EEE2" w:rsidR="00D222D1" w:rsidRDefault="00D222D1" w:rsidP="00DD216D">
                            <w:r w:rsidRPr="00254022">
                              <w:rPr>
                                <w:noProof/>
                              </w:rPr>
                              <w:drawing>
                                <wp:inline distT="0" distB="0" distL="0" distR="0" wp14:anchorId="244313CB" wp14:editId="3C5B155C">
                                  <wp:extent cx="2376805" cy="15716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6805" cy="1571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E21BD" id="_x0000_s1053" type="#_x0000_t202" style="position:absolute;left:0;text-align:left;margin-left:389pt;margin-top:.4pt;width:208.45pt;height:124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kTKg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">
                <v:textbox>
                  <w:txbxContent>
                    <w:p w14:paraId="78DAADF5" w14:textId="1072EEE2" w:rsidR="00D222D1" w:rsidRDefault="00D222D1" w:rsidP="00DD216D">
                      <w:r w:rsidRPr="00254022">
                        <w:rPr>
                          <w:noProof/>
                        </w:rPr>
                        <w:drawing>
                          <wp:inline distT="0" distB="0" distL="0" distR="0" wp14:anchorId="244313CB" wp14:editId="3C5B155C">
                            <wp:extent cx="2376805" cy="15716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6805" cy="1571625"/>
                                    </a:xfrm>
                                    <a:prstGeom prst="rect">
                                      <a:avLst/>
                                    </a:prstGeom>
                                  </pic:spPr>
                                </pic:pic>
                              </a:graphicData>
                            </a:graphic>
                          </wp:inline>
                        </w:drawing>
                      </w:r>
                    </w:p>
                  </w:txbxContent>
                </v:textbox>
                <w10:wrap type="square" anchorx="page"/>
              </v:shape>
            </w:pict>
          </mc:Fallback>
        </mc:AlternateContent>
      </w:r>
    </w:p>
    <w:tbl>
      <w:tblPr>
        <w:tblW w:w="6840" w:type="dxa"/>
        <w:tblInd w:w="-10" w:type="dxa"/>
        <w:tblBorders>
          <w:top w:val="nil"/>
          <w:left w:val="nil"/>
          <w:right w:val="nil"/>
        </w:tblBorders>
        <w:tblLayout w:type="fixed"/>
        <w:tblLook w:val="0000" w:firstRow="0" w:lastRow="0" w:firstColumn="0" w:lastColumn="0" w:noHBand="0" w:noVBand="0"/>
      </w:tblPr>
      <w:tblGrid>
        <w:gridCol w:w="2124"/>
        <w:gridCol w:w="936"/>
        <w:gridCol w:w="990"/>
        <w:gridCol w:w="900"/>
        <w:gridCol w:w="990"/>
        <w:gridCol w:w="900"/>
      </w:tblGrid>
      <w:tr w:rsidR="00CE45C0" w:rsidRPr="00DF015D" w14:paraId="4A037519" w14:textId="77777777" w:rsidTr="00CE45C0">
        <w:trPr>
          <w:trHeight w:val="507"/>
        </w:trPr>
        <w:tc>
          <w:tcPr>
            <w:tcW w:w="2124" w:type="dxa"/>
            <w:tcBorders>
              <w:top w:val="single" w:sz="8" w:space="0" w:color="000000"/>
              <w:left w:val="single" w:sz="8" w:space="0" w:color="000000"/>
              <w:bottom w:val="single" w:sz="8" w:space="0" w:color="000000"/>
              <w:right w:val="single" w:sz="8" w:space="0" w:color="000000"/>
            </w:tcBorders>
            <w:shd w:val="clear" w:color="auto" w:fill="D3DEED"/>
            <w:vAlign w:val="center"/>
          </w:tcPr>
          <w:p w14:paraId="791B02BB" w14:textId="77777777" w:rsidR="00CE45C0" w:rsidRPr="00DF015D" w:rsidRDefault="00CE45C0" w:rsidP="00DF015D">
            <w:pPr>
              <w:autoSpaceDE w:val="0"/>
              <w:autoSpaceDN w:val="0"/>
              <w:adjustRightInd w:val="0"/>
              <w:spacing w:line="240" w:lineRule="atLeast"/>
              <w:rPr>
                <w:rFonts w:ascii="Arial" w:eastAsiaTheme="minorEastAsia" w:hAnsi="Arial" w:cs="Arial"/>
                <w:sz w:val="16"/>
                <w:szCs w:val="16"/>
                <w:lang w:eastAsia="zh-CN"/>
              </w:rPr>
            </w:pPr>
            <w:r w:rsidRPr="00DF015D">
              <w:rPr>
                <w:rFonts w:ascii="Arial" w:eastAsiaTheme="minorEastAsia" w:hAnsi="Arial" w:cs="Arial"/>
                <w:sz w:val="16"/>
                <w:szCs w:val="16"/>
                <w:lang w:eastAsia="zh-CN"/>
              </w:rPr>
              <w:t>In Millions of USD</w:t>
            </w:r>
          </w:p>
        </w:tc>
        <w:tc>
          <w:tcPr>
            <w:tcW w:w="936" w:type="dxa"/>
            <w:tcBorders>
              <w:top w:val="single" w:sz="8" w:space="0" w:color="000000"/>
              <w:bottom w:val="single" w:sz="8" w:space="0" w:color="000000"/>
              <w:right w:val="single" w:sz="8" w:space="0" w:color="000000"/>
            </w:tcBorders>
            <w:shd w:val="clear" w:color="auto" w:fill="D3DEED"/>
            <w:vAlign w:val="center"/>
          </w:tcPr>
          <w:p w14:paraId="1C44C4DC" w14:textId="77777777" w:rsidR="00CE45C0" w:rsidRPr="00DF015D" w:rsidRDefault="00CE45C0" w:rsidP="009F7B80">
            <w:pPr>
              <w:autoSpaceDE w:val="0"/>
              <w:autoSpaceDN w:val="0"/>
              <w:adjustRightInd w:val="0"/>
              <w:spacing w:line="240" w:lineRule="atLeast"/>
              <w:jc w:val="center"/>
              <w:rPr>
                <w:rFonts w:ascii="Arial" w:eastAsiaTheme="minorEastAsia" w:hAnsi="Arial" w:cs="Arial"/>
                <w:sz w:val="16"/>
                <w:szCs w:val="16"/>
                <w:lang w:eastAsia="zh-CN"/>
              </w:rPr>
            </w:pPr>
            <w:r w:rsidRPr="00DF015D">
              <w:rPr>
                <w:rFonts w:ascii="Arial" w:eastAsiaTheme="minorEastAsia" w:hAnsi="Arial" w:cs="Arial"/>
                <w:sz w:val="16"/>
                <w:szCs w:val="16"/>
                <w:lang w:eastAsia="zh-CN"/>
              </w:rPr>
              <w:t>2014</w:t>
            </w:r>
          </w:p>
        </w:tc>
        <w:tc>
          <w:tcPr>
            <w:tcW w:w="990" w:type="dxa"/>
            <w:tcBorders>
              <w:top w:val="single" w:sz="8" w:space="0" w:color="000000"/>
              <w:bottom w:val="single" w:sz="8" w:space="0" w:color="000000"/>
              <w:right w:val="single" w:sz="8" w:space="0" w:color="000000"/>
            </w:tcBorders>
            <w:shd w:val="clear" w:color="auto" w:fill="D3DEED"/>
            <w:vAlign w:val="center"/>
          </w:tcPr>
          <w:p w14:paraId="1540E864" w14:textId="77777777" w:rsidR="00CE45C0" w:rsidRPr="00DF015D" w:rsidRDefault="00CE45C0" w:rsidP="009F7B80">
            <w:pPr>
              <w:autoSpaceDE w:val="0"/>
              <w:autoSpaceDN w:val="0"/>
              <w:adjustRightInd w:val="0"/>
              <w:spacing w:line="240" w:lineRule="atLeast"/>
              <w:jc w:val="center"/>
              <w:rPr>
                <w:rFonts w:ascii="Arial" w:eastAsiaTheme="minorEastAsia" w:hAnsi="Arial" w:cs="Arial"/>
                <w:sz w:val="16"/>
                <w:szCs w:val="16"/>
                <w:lang w:eastAsia="zh-CN"/>
              </w:rPr>
            </w:pPr>
            <w:r w:rsidRPr="00DF015D">
              <w:rPr>
                <w:rFonts w:ascii="Arial" w:eastAsiaTheme="minorEastAsia" w:hAnsi="Arial" w:cs="Arial"/>
                <w:sz w:val="16"/>
                <w:szCs w:val="16"/>
                <w:lang w:eastAsia="zh-CN"/>
              </w:rPr>
              <w:t>2015</w:t>
            </w:r>
          </w:p>
        </w:tc>
        <w:tc>
          <w:tcPr>
            <w:tcW w:w="900" w:type="dxa"/>
            <w:tcBorders>
              <w:top w:val="single" w:sz="8" w:space="0" w:color="000000"/>
              <w:bottom w:val="single" w:sz="8" w:space="0" w:color="000000"/>
              <w:right w:val="single" w:sz="8" w:space="0" w:color="000000"/>
            </w:tcBorders>
            <w:shd w:val="clear" w:color="auto" w:fill="D3DEED"/>
            <w:vAlign w:val="center"/>
          </w:tcPr>
          <w:p w14:paraId="76200E34" w14:textId="77777777" w:rsidR="00CE45C0" w:rsidRPr="00DF015D" w:rsidRDefault="00CE45C0" w:rsidP="009F7B80">
            <w:pPr>
              <w:autoSpaceDE w:val="0"/>
              <w:autoSpaceDN w:val="0"/>
              <w:adjustRightInd w:val="0"/>
              <w:spacing w:line="240" w:lineRule="atLeast"/>
              <w:jc w:val="center"/>
              <w:rPr>
                <w:rFonts w:ascii="Arial" w:eastAsiaTheme="minorEastAsia" w:hAnsi="Arial" w:cs="Arial"/>
                <w:sz w:val="16"/>
                <w:szCs w:val="16"/>
                <w:lang w:eastAsia="zh-CN"/>
              </w:rPr>
            </w:pPr>
            <w:r w:rsidRPr="00DF015D">
              <w:rPr>
                <w:rFonts w:ascii="Arial" w:eastAsiaTheme="minorEastAsia" w:hAnsi="Arial" w:cs="Arial"/>
                <w:sz w:val="16"/>
                <w:szCs w:val="16"/>
                <w:lang w:eastAsia="zh-CN"/>
              </w:rPr>
              <w:t>2016</w:t>
            </w:r>
          </w:p>
        </w:tc>
        <w:tc>
          <w:tcPr>
            <w:tcW w:w="990" w:type="dxa"/>
            <w:tcBorders>
              <w:top w:val="single" w:sz="8" w:space="0" w:color="000000"/>
              <w:bottom w:val="single" w:sz="8" w:space="0" w:color="000000"/>
              <w:right w:val="single" w:sz="8" w:space="0" w:color="000000"/>
            </w:tcBorders>
            <w:shd w:val="clear" w:color="auto" w:fill="D3DEED"/>
            <w:vAlign w:val="center"/>
          </w:tcPr>
          <w:p w14:paraId="46CDE4D7" w14:textId="77777777" w:rsidR="00CE45C0" w:rsidRPr="00DF015D" w:rsidRDefault="00CE45C0" w:rsidP="009F7B80">
            <w:pPr>
              <w:autoSpaceDE w:val="0"/>
              <w:autoSpaceDN w:val="0"/>
              <w:adjustRightInd w:val="0"/>
              <w:spacing w:line="240" w:lineRule="atLeast"/>
              <w:jc w:val="center"/>
              <w:rPr>
                <w:rFonts w:ascii="Arial" w:eastAsiaTheme="minorEastAsia" w:hAnsi="Arial" w:cs="Arial"/>
                <w:sz w:val="16"/>
                <w:szCs w:val="16"/>
                <w:lang w:eastAsia="zh-CN"/>
              </w:rPr>
            </w:pPr>
            <w:r w:rsidRPr="00DF015D">
              <w:rPr>
                <w:rFonts w:ascii="Arial" w:eastAsiaTheme="minorEastAsia" w:hAnsi="Arial" w:cs="Arial"/>
                <w:sz w:val="16"/>
                <w:szCs w:val="16"/>
                <w:lang w:eastAsia="zh-CN"/>
              </w:rPr>
              <w:t>2017</w:t>
            </w:r>
          </w:p>
        </w:tc>
        <w:tc>
          <w:tcPr>
            <w:tcW w:w="900" w:type="dxa"/>
            <w:tcBorders>
              <w:top w:val="single" w:sz="8" w:space="0" w:color="000000"/>
              <w:bottom w:val="single" w:sz="8" w:space="0" w:color="000000"/>
              <w:right w:val="single" w:sz="8" w:space="0" w:color="000000"/>
            </w:tcBorders>
            <w:shd w:val="clear" w:color="auto" w:fill="D3DEED"/>
            <w:vAlign w:val="center"/>
          </w:tcPr>
          <w:p w14:paraId="63D0E0FF" w14:textId="1DD6930B" w:rsidR="00CE45C0" w:rsidRPr="00DF015D" w:rsidRDefault="00CE45C0" w:rsidP="009F7B80">
            <w:pPr>
              <w:autoSpaceDE w:val="0"/>
              <w:autoSpaceDN w:val="0"/>
              <w:adjustRightInd w:val="0"/>
              <w:spacing w:line="240" w:lineRule="atLeast"/>
              <w:jc w:val="center"/>
              <w:rPr>
                <w:rFonts w:ascii="Arial" w:eastAsiaTheme="minorEastAsia" w:hAnsi="Arial" w:cs="Arial"/>
                <w:sz w:val="16"/>
                <w:szCs w:val="16"/>
                <w:lang w:eastAsia="zh-CN"/>
              </w:rPr>
            </w:pPr>
            <w:r w:rsidRPr="00DF015D">
              <w:rPr>
                <w:rFonts w:ascii="Arial" w:eastAsiaTheme="minorEastAsia" w:hAnsi="Arial" w:cs="Arial"/>
                <w:sz w:val="16"/>
                <w:szCs w:val="16"/>
                <w:lang w:eastAsia="zh-CN"/>
              </w:rPr>
              <w:t>2018</w:t>
            </w:r>
          </w:p>
        </w:tc>
      </w:tr>
      <w:tr w:rsidR="00CE45C0" w:rsidRPr="00DF015D" w14:paraId="74EBA4F8" w14:textId="77777777" w:rsidTr="00CE45C0">
        <w:tblPrEx>
          <w:tblBorders>
            <w:top w:val="none" w:sz="0" w:space="0" w:color="auto"/>
          </w:tblBorders>
        </w:tblPrEx>
        <w:trPr>
          <w:trHeight w:val="268"/>
        </w:trPr>
        <w:tc>
          <w:tcPr>
            <w:tcW w:w="2124" w:type="dxa"/>
            <w:tcBorders>
              <w:left w:val="single" w:sz="8" w:space="0" w:color="000000"/>
              <w:bottom w:val="single" w:sz="8" w:space="0" w:color="000000"/>
              <w:right w:val="single" w:sz="8" w:space="0" w:color="000000"/>
            </w:tcBorders>
            <w:shd w:val="clear" w:color="auto" w:fill="FFFFFF"/>
            <w:vAlign w:val="bottom"/>
          </w:tcPr>
          <w:p w14:paraId="01B01BF3"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Revenue, Adj</w:t>
            </w:r>
          </w:p>
        </w:tc>
        <w:tc>
          <w:tcPr>
            <w:tcW w:w="936" w:type="dxa"/>
            <w:tcBorders>
              <w:bottom w:val="single" w:sz="8" w:space="0" w:color="000000"/>
              <w:right w:val="single" w:sz="8" w:space="0" w:color="000000"/>
            </w:tcBorders>
            <w:shd w:val="clear" w:color="auto" w:fill="FFFFFF"/>
            <w:vAlign w:val="bottom"/>
          </w:tcPr>
          <w:p w14:paraId="5C2CE0EA" w14:textId="36A105E3"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35" w:tooltip="Total Revenue&#10; FY: 2014&#10; Period End Date: Sep-27-2014&#10; Filing Date: Nov-23-2016&#10; Period Type: Annual&#10; Value: 48,813.0, Currency: USD, Millions" w:history="1">
              <w:r w:rsidR="00CE45C0" w:rsidRPr="009F7B80">
                <w:rPr>
                  <w:rStyle w:val="Hyperlink"/>
                  <w:rFonts w:ascii="Verdana" w:hAnsi="Verdana"/>
                  <w:bCs/>
                  <w:color w:val="2F5496" w:themeColor="accent1" w:themeShade="BF"/>
                  <w:sz w:val="15"/>
                  <w:szCs w:val="15"/>
                  <w:u w:val="none"/>
                </w:rPr>
                <w:t>48,813.0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40BD4E39" w14:textId="6EB885F2"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36" w:tooltip="Total Revenue&#10; FY: 2015&#10; Period End Date: Oct-03-2015&#10; Filing Date: Nov-22-2017&#10; Period Type: Annual&#10; Value: 52,465.0, Currency: USD, Millions" w:history="1">
              <w:r w:rsidR="00CE45C0" w:rsidRPr="009F7B80">
                <w:rPr>
                  <w:rStyle w:val="Hyperlink"/>
                  <w:rFonts w:ascii="Verdana" w:hAnsi="Verdana"/>
                  <w:bCs/>
                  <w:color w:val="2F5496" w:themeColor="accent1" w:themeShade="BF"/>
                  <w:sz w:val="15"/>
                  <w:szCs w:val="15"/>
                  <w:u w:val="none"/>
                </w:rPr>
                <w:t>52,465.0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396EA9B0" w14:textId="30798DB6"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37" w:tooltip="Total Revenue&#10; FY: 2016&#10; Period End Date: Oct-01-2016&#10; Filing Date: Nov-21-2018&#10; Period Type: Annual&#10; Value: 55,632.0, Currency: USD, Millions" w:history="1">
              <w:r w:rsidR="00CE45C0" w:rsidRPr="009F7B80">
                <w:rPr>
                  <w:rStyle w:val="Hyperlink"/>
                  <w:rFonts w:ascii="Verdana" w:hAnsi="Verdana"/>
                  <w:bCs/>
                  <w:color w:val="2F5496" w:themeColor="accent1" w:themeShade="BF"/>
                  <w:sz w:val="15"/>
                  <w:szCs w:val="15"/>
                  <w:u w:val="none"/>
                </w:rPr>
                <w:t>55,632.0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65709BA1" w14:textId="6D071F40"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38" w:tooltip="Total Revenue&#10; FY: 2017&#10; Period End Date: Sep-30-2017&#10; Filing Date: Nov-21-2018&#10; Period Type: Annual&#10; Value: 55,137.0, Currency: USD, Millions" w:history="1">
              <w:r w:rsidR="00CE45C0" w:rsidRPr="009F7B80">
                <w:rPr>
                  <w:rStyle w:val="Hyperlink"/>
                  <w:rFonts w:ascii="Verdana" w:hAnsi="Verdana"/>
                  <w:bCs/>
                  <w:color w:val="2F5496" w:themeColor="accent1" w:themeShade="BF"/>
                  <w:sz w:val="15"/>
                  <w:szCs w:val="15"/>
                  <w:u w:val="none"/>
                </w:rPr>
                <w:t>55,137.0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2C0F4F66" w14:textId="491AD29E"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39" w:tooltip="Total Revenue&#10; FY: 2018&#10; Period End Date: Sep-29-2018&#10; Filing Date: Nov-21-2018&#10; Period Type: Annual&#10; Value: 59,434.0, Currency: USD, Millions" w:history="1">
              <w:r w:rsidR="00CE45C0" w:rsidRPr="009F7B80">
                <w:rPr>
                  <w:rStyle w:val="Hyperlink"/>
                  <w:rFonts w:ascii="Verdana" w:hAnsi="Verdana"/>
                  <w:bCs/>
                  <w:color w:val="2F5496" w:themeColor="accent1" w:themeShade="BF"/>
                  <w:sz w:val="15"/>
                  <w:szCs w:val="15"/>
                  <w:u w:val="none"/>
                </w:rPr>
                <w:t>59,434.0</w:t>
              </w:r>
            </w:hyperlink>
            <w:r w:rsidR="00CE45C0" w:rsidRPr="009F7B80">
              <w:rPr>
                <w:rFonts w:ascii="Verdana" w:hAnsi="Verdana"/>
                <w:bCs/>
                <w:color w:val="2F5496" w:themeColor="accent1" w:themeShade="BF"/>
                <w:sz w:val="15"/>
                <w:szCs w:val="15"/>
              </w:rPr>
              <w:t xml:space="preserve"> </w:t>
            </w:r>
          </w:p>
        </w:tc>
      </w:tr>
      <w:tr w:rsidR="00CE45C0" w:rsidRPr="00DF015D" w14:paraId="6D035438"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0F24AAAB" w14:textId="77777777" w:rsidR="00CE45C0" w:rsidRPr="00DF015D" w:rsidRDefault="00CE45C0" w:rsidP="00CE45C0">
            <w:pPr>
              <w:autoSpaceDE w:val="0"/>
              <w:autoSpaceDN w:val="0"/>
              <w:adjustRightInd w:val="0"/>
              <w:rPr>
                <w:rFonts w:ascii="Arial" w:eastAsiaTheme="minorEastAsia" w:hAnsi="Arial" w:cs="Arial"/>
                <w:i/>
                <w:iCs/>
                <w:color w:val="262626"/>
                <w:sz w:val="16"/>
                <w:szCs w:val="16"/>
                <w:lang w:eastAsia="zh-CN"/>
              </w:rPr>
            </w:pPr>
            <w:r w:rsidRPr="00DF015D">
              <w:rPr>
                <w:rFonts w:ascii="Arial" w:eastAsiaTheme="minorEastAsia" w:hAnsi="Arial" w:cs="Arial"/>
                <w:i/>
                <w:iCs/>
                <w:color w:val="262626"/>
                <w:sz w:val="16"/>
                <w:szCs w:val="16"/>
                <w:lang w:eastAsia="zh-CN"/>
              </w:rPr>
              <w:t>  Growth %, YoY</w:t>
            </w:r>
          </w:p>
        </w:tc>
        <w:tc>
          <w:tcPr>
            <w:tcW w:w="936" w:type="dxa"/>
            <w:tcBorders>
              <w:bottom w:val="single" w:sz="8" w:space="0" w:color="000000"/>
              <w:right w:val="single" w:sz="8" w:space="0" w:color="000000"/>
            </w:tcBorders>
            <w:shd w:val="clear" w:color="auto" w:fill="FFFFFF"/>
            <w:vAlign w:val="bottom"/>
          </w:tcPr>
          <w:p w14:paraId="0CB41D3E" w14:textId="538B259B"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40" w:tooltip="Growth Over Prior Year&#10; FY: 2014&#10; Period End Date: Sep-27-2014&#10; Filing Date: Nov-23-2016&#10; Period Type: Annual&#10; Value: 8.4%" w:history="1">
              <w:r w:rsidR="00CE45C0" w:rsidRPr="009F7B80">
                <w:rPr>
                  <w:rStyle w:val="Hyperlink"/>
                  <w:rFonts w:ascii="Verdana" w:hAnsi="Verdana"/>
                  <w:i/>
                  <w:iCs/>
                  <w:color w:val="2F5496" w:themeColor="accent1" w:themeShade="BF"/>
                  <w:sz w:val="15"/>
                  <w:szCs w:val="15"/>
                  <w:u w:val="none"/>
                </w:rPr>
                <w:t>8.4%</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74D2930F" w14:textId="3F077C5E"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41" w:tooltip="Growth Over Prior Year&#10; FY: 2015&#10; Period End Date: Oct-03-2015&#10; Filing Date: Nov-22-2017&#10; Period Type: Annual&#10; Value: 7.5%" w:history="1">
              <w:r w:rsidR="00CE45C0" w:rsidRPr="009F7B80">
                <w:rPr>
                  <w:rStyle w:val="Hyperlink"/>
                  <w:rFonts w:ascii="Verdana" w:hAnsi="Verdana"/>
                  <w:i/>
                  <w:iCs/>
                  <w:color w:val="2F5496" w:themeColor="accent1" w:themeShade="BF"/>
                  <w:sz w:val="15"/>
                  <w:szCs w:val="15"/>
                  <w:u w:val="none"/>
                </w:rPr>
                <w:t>7.5%</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4D60A7DA" w14:textId="783E68F8"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42" w:tooltip="Growth Over Prior Year&#10; FY: 2016&#10; Period End Date: Oct-01-2016&#10; Filing Date: Nov-21-2018&#10; Period Type: Annual&#10; Value: 6.0%" w:history="1">
              <w:r w:rsidR="00CE45C0" w:rsidRPr="009F7B80">
                <w:rPr>
                  <w:rStyle w:val="Hyperlink"/>
                  <w:rFonts w:ascii="Verdana" w:hAnsi="Verdana"/>
                  <w:i/>
                  <w:iCs/>
                  <w:color w:val="2F5496" w:themeColor="accent1" w:themeShade="BF"/>
                  <w:sz w:val="15"/>
                  <w:szCs w:val="15"/>
                  <w:u w:val="none"/>
                </w:rPr>
                <w:t>6.0%</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10142459" w14:textId="03AB300C"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43" w:tooltip="Growth Over Prior Year&#10; FY: 2017&#10; Period End Date: Sep-30-2017&#10; Filing Date: Nov-21-2018&#10; Period Type: Annual&#10; Value: (0.9%)" w:history="1">
              <w:r w:rsidR="00CE45C0" w:rsidRPr="009F7B80">
                <w:rPr>
                  <w:rStyle w:val="Hyperlink"/>
                  <w:rFonts w:ascii="Verdana" w:hAnsi="Verdana"/>
                  <w:i/>
                  <w:iCs/>
                  <w:color w:val="2F5496" w:themeColor="accent1" w:themeShade="BF"/>
                  <w:sz w:val="15"/>
                  <w:szCs w:val="15"/>
                  <w:u w:val="none"/>
                </w:rPr>
                <w:t>(0.9%)</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6FC32F1D" w14:textId="27A872FF"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44" w:tooltip="Growth Over Prior Year&#10; FY: 2018&#10; Period End Date: Sep-29-2018&#10; Filing Date: Nov-21-2018&#10; Period Type: Annual&#10; Value: 7.8%" w:history="1">
              <w:r w:rsidR="00CE45C0" w:rsidRPr="009F7B80">
                <w:rPr>
                  <w:rStyle w:val="Hyperlink"/>
                  <w:rFonts w:ascii="Verdana" w:hAnsi="Verdana"/>
                  <w:i/>
                  <w:iCs/>
                  <w:color w:val="2F5496" w:themeColor="accent1" w:themeShade="BF"/>
                  <w:sz w:val="15"/>
                  <w:szCs w:val="15"/>
                  <w:u w:val="none"/>
                </w:rPr>
                <w:t>7.8%</w:t>
              </w:r>
            </w:hyperlink>
            <w:r w:rsidR="00CE45C0" w:rsidRPr="009F7B80">
              <w:rPr>
                <w:rFonts w:ascii="Verdana" w:hAnsi="Verdana"/>
                <w:i/>
                <w:iCs/>
                <w:color w:val="2F5496" w:themeColor="accent1" w:themeShade="BF"/>
                <w:sz w:val="15"/>
                <w:szCs w:val="15"/>
              </w:rPr>
              <w:t xml:space="preserve"> </w:t>
            </w:r>
          </w:p>
        </w:tc>
      </w:tr>
      <w:tr w:rsidR="00CE45C0" w:rsidRPr="00DF015D" w14:paraId="0C9037F5"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33C2C75B"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Gross Profit, Adj</w:t>
            </w:r>
          </w:p>
        </w:tc>
        <w:tc>
          <w:tcPr>
            <w:tcW w:w="936" w:type="dxa"/>
            <w:tcBorders>
              <w:bottom w:val="single" w:sz="8" w:space="0" w:color="000000"/>
              <w:right w:val="single" w:sz="8" w:space="0" w:color="000000"/>
            </w:tcBorders>
            <w:shd w:val="clear" w:color="auto" w:fill="FFFFFF"/>
            <w:vAlign w:val="bottom"/>
          </w:tcPr>
          <w:p w14:paraId="5266ADD2" w14:textId="0459A60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45" w:tooltip="Gross Profit&#10; FY: 2014&#10; Period End Date: Sep-27-2014&#10; Filing Date: Nov-23-2016&#10; Period Type: Annual&#10; Value: 22,393.0, Currency: USD, Millions" w:history="1">
              <w:r w:rsidR="00CE45C0" w:rsidRPr="009F7B80">
                <w:rPr>
                  <w:rStyle w:val="Hyperlink"/>
                  <w:rFonts w:ascii="Verdana" w:hAnsi="Verdana"/>
                  <w:bCs/>
                  <w:color w:val="2F5496" w:themeColor="accent1" w:themeShade="BF"/>
                  <w:sz w:val="15"/>
                  <w:szCs w:val="15"/>
                  <w:u w:val="none"/>
                </w:rPr>
                <w:t>22,393.0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4827413B" w14:textId="595E8F3D"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46" w:tooltip="Gross Profit&#10; FY: 2015&#10; Period End Date: Oct-03-2015&#10; Filing Date: Nov-22-2017&#10; Period Type: Annual&#10; Value: 24,101.0, Currency: USD, Millions" w:history="1">
              <w:r w:rsidR="00CE45C0" w:rsidRPr="009F7B80">
                <w:rPr>
                  <w:rStyle w:val="Hyperlink"/>
                  <w:rFonts w:ascii="Verdana" w:hAnsi="Verdana"/>
                  <w:bCs/>
                  <w:color w:val="2F5496" w:themeColor="accent1" w:themeShade="BF"/>
                  <w:sz w:val="15"/>
                  <w:szCs w:val="15"/>
                  <w:u w:val="none"/>
                </w:rPr>
                <w:t>24,101.0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24FE5C83" w14:textId="6463BE1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47" w:tooltip="Gross Profit&#10; FY: 2016&#10; Period End Date: Oct-01-2016&#10; Filing Date: Nov-21-2018&#10; Period Type: Annual&#10; Value: 25,768.0, Currency: USD, Millions" w:history="1">
              <w:r w:rsidR="00CE45C0" w:rsidRPr="009F7B80">
                <w:rPr>
                  <w:rStyle w:val="Hyperlink"/>
                  <w:rFonts w:ascii="Verdana" w:hAnsi="Verdana"/>
                  <w:bCs/>
                  <w:color w:val="2F5496" w:themeColor="accent1" w:themeShade="BF"/>
                  <w:sz w:val="15"/>
                  <w:szCs w:val="15"/>
                  <w:u w:val="none"/>
                </w:rPr>
                <w:t>25,768.0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4D2FCC87" w14:textId="06E5E3B3"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48" w:tooltip="Gross Profit&#10; FY: 2017&#10; Period End Date: Sep-30-2017&#10; Filing Date: Nov-21-2018&#10; Period Type: Annual&#10; Value: 24,946.0, Currency: USD, Millions" w:history="1">
              <w:r w:rsidR="00CE45C0" w:rsidRPr="009F7B80">
                <w:rPr>
                  <w:rStyle w:val="Hyperlink"/>
                  <w:rFonts w:ascii="Verdana" w:hAnsi="Verdana"/>
                  <w:bCs/>
                  <w:color w:val="2F5496" w:themeColor="accent1" w:themeShade="BF"/>
                  <w:sz w:val="15"/>
                  <w:szCs w:val="15"/>
                  <w:u w:val="none"/>
                </w:rPr>
                <w:t>24,946.0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3DC64710" w14:textId="5955EE6D"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49" w:tooltip="Gross Profit&#10; FY: 2018&#10; Period End Date: Sep-29-2018&#10; Filing Date: Nov-21-2018&#10; Period Type: Annual&#10; Value: 26,708.0, Currency: USD, Millions" w:history="1">
              <w:r w:rsidR="00CE45C0" w:rsidRPr="009F7B80">
                <w:rPr>
                  <w:rStyle w:val="Hyperlink"/>
                  <w:rFonts w:ascii="Verdana" w:hAnsi="Verdana"/>
                  <w:bCs/>
                  <w:color w:val="2F5496" w:themeColor="accent1" w:themeShade="BF"/>
                  <w:sz w:val="15"/>
                  <w:szCs w:val="15"/>
                  <w:u w:val="none"/>
                </w:rPr>
                <w:t>26,708.0</w:t>
              </w:r>
            </w:hyperlink>
            <w:r w:rsidR="00CE45C0" w:rsidRPr="009F7B80">
              <w:rPr>
                <w:rFonts w:ascii="Verdana" w:hAnsi="Verdana"/>
                <w:bCs/>
                <w:color w:val="2F5496" w:themeColor="accent1" w:themeShade="BF"/>
                <w:sz w:val="15"/>
                <w:szCs w:val="15"/>
              </w:rPr>
              <w:t xml:space="preserve"> </w:t>
            </w:r>
          </w:p>
        </w:tc>
      </w:tr>
      <w:tr w:rsidR="00CE45C0" w:rsidRPr="00DF015D" w14:paraId="05F27447" w14:textId="77777777" w:rsidTr="00CE45C0">
        <w:tblPrEx>
          <w:tblBorders>
            <w:top w:val="none" w:sz="0" w:space="0" w:color="auto"/>
          </w:tblBorders>
        </w:tblPrEx>
        <w:trPr>
          <w:trHeight w:val="268"/>
        </w:trPr>
        <w:tc>
          <w:tcPr>
            <w:tcW w:w="2124" w:type="dxa"/>
            <w:tcBorders>
              <w:left w:val="single" w:sz="8" w:space="0" w:color="000000"/>
              <w:bottom w:val="single" w:sz="8" w:space="0" w:color="000000"/>
              <w:right w:val="single" w:sz="8" w:space="0" w:color="000000"/>
            </w:tcBorders>
            <w:shd w:val="clear" w:color="auto" w:fill="FFFFFF"/>
            <w:vAlign w:val="bottom"/>
          </w:tcPr>
          <w:p w14:paraId="13BF7C1C" w14:textId="77777777" w:rsidR="00CE45C0" w:rsidRPr="00DF015D" w:rsidRDefault="00CE45C0" w:rsidP="00CE45C0">
            <w:pPr>
              <w:autoSpaceDE w:val="0"/>
              <w:autoSpaceDN w:val="0"/>
              <w:adjustRightInd w:val="0"/>
              <w:rPr>
                <w:rFonts w:ascii="Arial" w:eastAsiaTheme="minorEastAsia" w:hAnsi="Arial" w:cs="Arial"/>
                <w:i/>
                <w:iCs/>
                <w:color w:val="262626"/>
                <w:sz w:val="16"/>
                <w:szCs w:val="16"/>
                <w:lang w:eastAsia="zh-CN"/>
              </w:rPr>
            </w:pPr>
            <w:r w:rsidRPr="00DF015D">
              <w:rPr>
                <w:rFonts w:ascii="Arial" w:eastAsiaTheme="minorEastAsia" w:hAnsi="Arial" w:cs="Arial"/>
                <w:i/>
                <w:iCs/>
                <w:color w:val="262626"/>
                <w:sz w:val="16"/>
                <w:szCs w:val="16"/>
                <w:lang w:eastAsia="zh-CN"/>
              </w:rPr>
              <w:t>  Margin %</w:t>
            </w:r>
          </w:p>
        </w:tc>
        <w:tc>
          <w:tcPr>
            <w:tcW w:w="936" w:type="dxa"/>
            <w:tcBorders>
              <w:bottom w:val="single" w:sz="8" w:space="0" w:color="000000"/>
              <w:right w:val="single" w:sz="8" w:space="0" w:color="000000"/>
            </w:tcBorders>
            <w:shd w:val="clear" w:color="auto" w:fill="FFFFFF"/>
            <w:vAlign w:val="bottom"/>
          </w:tcPr>
          <w:p w14:paraId="34090A4D" w14:textId="3EEF5992"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50" w:tooltip="Margin %&#10; FY: 2014&#10; Period End Date: Sep-27-2014&#10; Filing Date: Nov-23-2016&#10; Period Type: Annual&#10; Value: 45.9%" w:history="1">
              <w:r w:rsidR="00CE45C0" w:rsidRPr="009F7B80">
                <w:rPr>
                  <w:rStyle w:val="Hyperlink"/>
                  <w:rFonts w:ascii="Verdana" w:hAnsi="Verdana"/>
                  <w:i/>
                  <w:iCs/>
                  <w:color w:val="2F5496" w:themeColor="accent1" w:themeShade="BF"/>
                  <w:sz w:val="15"/>
                  <w:szCs w:val="15"/>
                  <w:u w:val="none"/>
                </w:rPr>
                <w:t>45.9%</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59DCF46D" w14:textId="25406E72"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51" w:tooltip="Margin %&#10; FY: 2015&#10; Period End Date: Oct-03-2015&#10; Filing Date: Nov-22-2017&#10; Period Type: Annual&#10; Value: 45.9%" w:history="1">
              <w:r w:rsidR="00CE45C0" w:rsidRPr="009F7B80">
                <w:rPr>
                  <w:rStyle w:val="Hyperlink"/>
                  <w:rFonts w:ascii="Verdana" w:hAnsi="Verdana"/>
                  <w:i/>
                  <w:iCs/>
                  <w:color w:val="2F5496" w:themeColor="accent1" w:themeShade="BF"/>
                  <w:sz w:val="15"/>
                  <w:szCs w:val="15"/>
                  <w:u w:val="none"/>
                </w:rPr>
                <w:t>45.9%</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0C99EC3E" w14:textId="45BBE8A3"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52" w:tooltip="Margin %&#10; FY: 2016&#10; Period End Date: Oct-01-2016&#10; Filing Date: Nov-21-2018&#10; Period Type: Annual&#10; Value: 46.3%" w:history="1">
              <w:r w:rsidR="00CE45C0" w:rsidRPr="009F7B80">
                <w:rPr>
                  <w:rStyle w:val="Hyperlink"/>
                  <w:rFonts w:ascii="Verdana" w:hAnsi="Verdana"/>
                  <w:i/>
                  <w:iCs/>
                  <w:color w:val="2F5496" w:themeColor="accent1" w:themeShade="BF"/>
                  <w:sz w:val="15"/>
                  <w:szCs w:val="15"/>
                  <w:u w:val="none"/>
                </w:rPr>
                <w:t>46.3%</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0808B68E" w14:textId="101ABE9C"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53" w:tooltip="Margin %&#10; FY: 2017&#10; Period End Date: Sep-30-2017&#10; Filing Date: Nov-21-2018&#10; Period Type: Annual&#10; Value: 45.2%" w:history="1">
              <w:r w:rsidR="00CE45C0" w:rsidRPr="009F7B80">
                <w:rPr>
                  <w:rStyle w:val="Hyperlink"/>
                  <w:rFonts w:ascii="Verdana" w:hAnsi="Verdana"/>
                  <w:i/>
                  <w:iCs/>
                  <w:color w:val="2F5496" w:themeColor="accent1" w:themeShade="BF"/>
                  <w:sz w:val="15"/>
                  <w:szCs w:val="15"/>
                  <w:u w:val="none"/>
                </w:rPr>
                <w:t>45.2%</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5150299F" w14:textId="78FD635E"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54" w:tooltip="Margin %&#10; FY: 2018&#10; Period End Date: Sep-29-2018&#10; Filing Date: Nov-21-2018&#10; Period Type: Annual&#10; Value: 44.9%" w:history="1">
              <w:r w:rsidR="00CE45C0" w:rsidRPr="009F7B80">
                <w:rPr>
                  <w:rStyle w:val="Hyperlink"/>
                  <w:rFonts w:ascii="Verdana" w:hAnsi="Verdana"/>
                  <w:i/>
                  <w:iCs/>
                  <w:color w:val="2F5496" w:themeColor="accent1" w:themeShade="BF"/>
                  <w:sz w:val="15"/>
                  <w:szCs w:val="15"/>
                  <w:u w:val="none"/>
                </w:rPr>
                <w:t>44.9%</w:t>
              </w:r>
            </w:hyperlink>
          </w:p>
        </w:tc>
      </w:tr>
      <w:tr w:rsidR="00CE45C0" w:rsidRPr="00DF015D" w14:paraId="671B98C1"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416375B9"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EBITDA, Adj</w:t>
            </w:r>
          </w:p>
        </w:tc>
        <w:tc>
          <w:tcPr>
            <w:tcW w:w="936" w:type="dxa"/>
            <w:tcBorders>
              <w:bottom w:val="single" w:sz="8" w:space="0" w:color="000000"/>
              <w:right w:val="single" w:sz="8" w:space="0" w:color="000000"/>
            </w:tcBorders>
            <w:shd w:val="clear" w:color="auto" w:fill="FFFFFF"/>
            <w:vAlign w:val="bottom"/>
          </w:tcPr>
          <w:p w14:paraId="1FA82150" w14:textId="6865706B"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55" w:tooltip="EBITDA&#10; FY: 2014&#10; Period End Date: Sep-27-2014&#10; Filing Date: Nov-23-2016&#10; Period Type: Annual&#10; Value: 13,828.0, Currency: USD, Millions" w:history="1">
              <w:r w:rsidR="00CE45C0" w:rsidRPr="009F7B80">
                <w:rPr>
                  <w:rStyle w:val="Hyperlink"/>
                  <w:rFonts w:ascii="Verdana" w:hAnsi="Verdana"/>
                  <w:bCs/>
                  <w:color w:val="2F5496" w:themeColor="accent1" w:themeShade="BF"/>
                  <w:sz w:val="15"/>
                  <w:szCs w:val="15"/>
                  <w:u w:val="none"/>
                </w:rPr>
                <w:t>13,828.0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1012AB25" w14:textId="2A3F198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56" w:tooltip="EBITDA&#10; FY: 2015&#10; Period End Date: Oct-03-2015&#10; Filing Date: Nov-22-2017&#10; Period Type: Annual&#10; Value: 15,578.0, Currency: USD, Millions" w:history="1">
              <w:r w:rsidR="00CE45C0" w:rsidRPr="009F7B80">
                <w:rPr>
                  <w:rStyle w:val="Hyperlink"/>
                  <w:rFonts w:ascii="Verdana" w:hAnsi="Verdana"/>
                  <w:bCs/>
                  <w:color w:val="2F5496" w:themeColor="accent1" w:themeShade="BF"/>
                  <w:sz w:val="15"/>
                  <w:szCs w:val="15"/>
                  <w:u w:val="none"/>
                </w:rPr>
                <w:t>15,578.0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373C5CF2" w14:textId="30D25622"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57" w:tooltip="EBITDA&#10; FY: 2016&#10; Period End Date: Oct-01-2016&#10; Filing Date: Nov-21-2018&#10; Period Type: Annual&#10; Value: 17,014.0, Currency: USD, Millions" w:history="1">
              <w:r w:rsidR="00CE45C0" w:rsidRPr="009F7B80">
                <w:rPr>
                  <w:rStyle w:val="Hyperlink"/>
                  <w:rFonts w:ascii="Verdana" w:hAnsi="Verdana"/>
                  <w:bCs/>
                  <w:color w:val="2F5496" w:themeColor="accent1" w:themeShade="BF"/>
                  <w:sz w:val="15"/>
                  <w:szCs w:val="15"/>
                  <w:u w:val="none"/>
                </w:rPr>
                <w:t>17,014.0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21C673BA" w14:textId="61C42982"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58" w:tooltip="EBITDA&#10; FY: 2017&#10; Period End Date: Sep-30-2017&#10; Filing Date: Nov-21-2018&#10; Period Type: Annual&#10; Value: 16,770.0, Currency: USD, Millions" w:history="1">
              <w:r w:rsidR="00CE45C0" w:rsidRPr="009F7B80">
                <w:rPr>
                  <w:rStyle w:val="Hyperlink"/>
                  <w:rFonts w:ascii="Verdana" w:hAnsi="Verdana"/>
                  <w:bCs/>
                  <w:color w:val="2F5496" w:themeColor="accent1" w:themeShade="BF"/>
                  <w:sz w:val="15"/>
                  <w:szCs w:val="15"/>
                  <w:u w:val="none"/>
                </w:rPr>
                <w:t>16,770.0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555268CE" w14:textId="707B9B6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59" w:tooltip="EBITDA&#10; FY: 2018&#10; Period End Date: Sep-29-2018&#10; Filing Date: Nov-21-2018&#10; Period Type: Annual&#10; Value: 17,848.0, Currency: USD, Millions" w:history="1">
              <w:r w:rsidR="00CE45C0" w:rsidRPr="009F7B80">
                <w:rPr>
                  <w:rStyle w:val="Hyperlink"/>
                  <w:rFonts w:ascii="Verdana" w:hAnsi="Verdana"/>
                  <w:bCs/>
                  <w:color w:val="2F5496" w:themeColor="accent1" w:themeShade="BF"/>
                  <w:sz w:val="15"/>
                  <w:szCs w:val="15"/>
                  <w:u w:val="none"/>
                </w:rPr>
                <w:t>17,848.0</w:t>
              </w:r>
            </w:hyperlink>
            <w:r w:rsidR="00CE45C0" w:rsidRPr="009F7B80">
              <w:rPr>
                <w:rFonts w:ascii="Verdana" w:hAnsi="Verdana"/>
                <w:bCs/>
                <w:color w:val="2F5496" w:themeColor="accent1" w:themeShade="BF"/>
                <w:sz w:val="15"/>
                <w:szCs w:val="15"/>
              </w:rPr>
              <w:t xml:space="preserve"> </w:t>
            </w:r>
          </w:p>
        </w:tc>
      </w:tr>
      <w:tr w:rsidR="00CE45C0" w:rsidRPr="00DF015D" w14:paraId="1FB7A6FE"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28C015C8" w14:textId="77777777" w:rsidR="00CE45C0" w:rsidRPr="00DF015D" w:rsidRDefault="00CE45C0" w:rsidP="00CE45C0">
            <w:pPr>
              <w:autoSpaceDE w:val="0"/>
              <w:autoSpaceDN w:val="0"/>
              <w:adjustRightInd w:val="0"/>
              <w:rPr>
                <w:rFonts w:ascii="Arial" w:eastAsiaTheme="minorEastAsia" w:hAnsi="Arial" w:cs="Arial"/>
                <w:i/>
                <w:iCs/>
                <w:color w:val="262626"/>
                <w:sz w:val="16"/>
                <w:szCs w:val="16"/>
                <w:lang w:eastAsia="zh-CN"/>
              </w:rPr>
            </w:pPr>
            <w:r w:rsidRPr="00DF015D">
              <w:rPr>
                <w:rFonts w:ascii="Arial" w:eastAsiaTheme="minorEastAsia" w:hAnsi="Arial" w:cs="Arial"/>
                <w:i/>
                <w:iCs/>
                <w:color w:val="262626"/>
                <w:sz w:val="16"/>
                <w:szCs w:val="16"/>
                <w:lang w:eastAsia="zh-CN"/>
              </w:rPr>
              <w:t>  Margin %</w:t>
            </w:r>
          </w:p>
        </w:tc>
        <w:tc>
          <w:tcPr>
            <w:tcW w:w="936" w:type="dxa"/>
            <w:tcBorders>
              <w:bottom w:val="single" w:sz="8" w:space="0" w:color="000000"/>
              <w:right w:val="single" w:sz="8" w:space="0" w:color="000000"/>
            </w:tcBorders>
            <w:shd w:val="clear" w:color="auto" w:fill="FFFFFF"/>
            <w:vAlign w:val="bottom"/>
          </w:tcPr>
          <w:p w14:paraId="6C10622F" w14:textId="7F760F8B"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60" w:tooltip="Margin %&#10; FY: 2014&#10; Period End Date: Sep-27-2014&#10; Filing Date: Nov-23-2016&#10; Period Type: Annual&#10; Value: 28.3%" w:history="1">
              <w:r w:rsidR="00CE45C0" w:rsidRPr="009F7B80">
                <w:rPr>
                  <w:rStyle w:val="Hyperlink"/>
                  <w:rFonts w:ascii="Verdana" w:hAnsi="Verdana"/>
                  <w:i/>
                  <w:iCs/>
                  <w:color w:val="2F5496" w:themeColor="accent1" w:themeShade="BF"/>
                  <w:sz w:val="15"/>
                  <w:szCs w:val="15"/>
                  <w:u w:val="none"/>
                </w:rPr>
                <w:t>28.3%</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4B939EAF" w14:textId="67304C7B"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61" w:tooltip="Margin %&#10; FY: 2015&#10; Period End Date: Oct-03-2015&#10; Filing Date: Nov-22-2017&#10; Period Type: Annual&#10; Value: 29.7%" w:history="1">
              <w:r w:rsidR="00CE45C0" w:rsidRPr="009F7B80">
                <w:rPr>
                  <w:rStyle w:val="Hyperlink"/>
                  <w:rFonts w:ascii="Verdana" w:hAnsi="Verdana"/>
                  <w:i/>
                  <w:iCs/>
                  <w:color w:val="2F5496" w:themeColor="accent1" w:themeShade="BF"/>
                  <w:sz w:val="15"/>
                  <w:szCs w:val="15"/>
                  <w:u w:val="none"/>
                </w:rPr>
                <w:t>29.7%</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793B71EB" w14:textId="011236D9"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62" w:tooltip="Margin %&#10; FY: 2016&#10; Period End Date: Oct-01-2016&#10; Filing Date: Nov-21-2018&#10; Period Type: Annual&#10; Value: 30.6%" w:history="1">
              <w:r w:rsidR="00CE45C0" w:rsidRPr="009F7B80">
                <w:rPr>
                  <w:rStyle w:val="Hyperlink"/>
                  <w:rFonts w:ascii="Verdana" w:hAnsi="Verdana"/>
                  <w:i/>
                  <w:iCs/>
                  <w:color w:val="2F5496" w:themeColor="accent1" w:themeShade="BF"/>
                  <w:sz w:val="15"/>
                  <w:szCs w:val="15"/>
                  <w:u w:val="none"/>
                </w:rPr>
                <w:t>30.6%</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788E361C" w14:textId="4381EC10"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63" w:tooltip="Margin %&#10; FY: 2017&#10; Period End Date: Sep-30-2017&#10; Filing Date: Nov-21-2018&#10; Period Type: Annual&#10; Value: 30.4%" w:history="1">
              <w:r w:rsidR="00CE45C0" w:rsidRPr="009F7B80">
                <w:rPr>
                  <w:rStyle w:val="Hyperlink"/>
                  <w:rFonts w:ascii="Verdana" w:hAnsi="Verdana"/>
                  <w:i/>
                  <w:iCs/>
                  <w:color w:val="2F5496" w:themeColor="accent1" w:themeShade="BF"/>
                  <w:sz w:val="15"/>
                  <w:szCs w:val="15"/>
                  <w:u w:val="none"/>
                </w:rPr>
                <w:t>30.4%</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02BEC630" w14:textId="335D9669"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64" w:tooltip="Margin %&#10; FY: 2018&#10; Period End Date: Sep-29-2018&#10; Filing Date: Nov-21-2018&#10; Period Type: Annual&#10; Value: 30.0%" w:history="1">
              <w:r w:rsidR="00CE45C0" w:rsidRPr="009F7B80">
                <w:rPr>
                  <w:rStyle w:val="Hyperlink"/>
                  <w:rFonts w:ascii="Verdana" w:hAnsi="Verdana"/>
                  <w:i/>
                  <w:iCs/>
                  <w:color w:val="2F5496" w:themeColor="accent1" w:themeShade="BF"/>
                  <w:sz w:val="15"/>
                  <w:szCs w:val="15"/>
                  <w:u w:val="none"/>
                </w:rPr>
                <w:t>30.0%</w:t>
              </w:r>
            </w:hyperlink>
            <w:r w:rsidR="00CE45C0" w:rsidRPr="009F7B80">
              <w:rPr>
                <w:rFonts w:ascii="Verdana" w:hAnsi="Verdana"/>
                <w:i/>
                <w:iCs/>
                <w:color w:val="2F5496" w:themeColor="accent1" w:themeShade="BF"/>
                <w:sz w:val="15"/>
                <w:szCs w:val="15"/>
              </w:rPr>
              <w:t xml:space="preserve"> </w:t>
            </w:r>
          </w:p>
        </w:tc>
      </w:tr>
      <w:tr w:rsidR="00CE45C0" w:rsidRPr="00DF015D" w14:paraId="1522722C" w14:textId="77777777" w:rsidTr="00CE45C0">
        <w:tblPrEx>
          <w:tblBorders>
            <w:top w:val="none" w:sz="0" w:space="0" w:color="auto"/>
          </w:tblBorders>
        </w:tblPrEx>
        <w:trPr>
          <w:trHeight w:val="268"/>
        </w:trPr>
        <w:tc>
          <w:tcPr>
            <w:tcW w:w="2124" w:type="dxa"/>
            <w:tcBorders>
              <w:left w:val="single" w:sz="8" w:space="0" w:color="000000"/>
              <w:bottom w:val="single" w:sz="8" w:space="0" w:color="000000"/>
              <w:right w:val="single" w:sz="8" w:space="0" w:color="000000"/>
            </w:tcBorders>
            <w:shd w:val="clear" w:color="auto" w:fill="FFFFFF"/>
            <w:vAlign w:val="bottom"/>
          </w:tcPr>
          <w:p w14:paraId="638E32DE"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Net Income, Adj</w:t>
            </w:r>
          </w:p>
        </w:tc>
        <w:tc>
          <w:tcPr>
            <w:tcW w:w="936" w:type="dxa"/>
            <w:tcBorders>
              <w:bottom w:val="single" w:sz="8" w:space="0" w:color="000000"/>
              <w:right w:val="single" w:sz="8" w:space="0" w:color="000000"/>
            </w:tcBorders>
            <w:shd w:val="clear" w:color="auto" w:fill="FFFFFF"/>
            <w:vAlign w:val="bottom"/>
          </w:tcPr>
          <w:p w14:paraId="61424B42" w14:textId="5FCCE42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65" w:tooltip="Net Income&#10; FY: 2014&#10; Period End Date: Sep-27-2014&#10; Filing Date: Nov-23-2016&#10; Period Type: Annual&#10; Value: 7,501.0, Currency: USD, Millions" w:history="1">
              <w:r w:rsidR="00CE45C0" w:rsidRPr="009F7B80">
                <w:rPr>
                  <w:rStyle w:val="Hyperlink"/>
                  <w:rFonts w:ascii="Verdana" w:hAnsi="Verdana"/>
                  <w:bCs/>
                  <w:color w:val="2F5496" w:themeColor="accent1" w:themeShade="BF"/>
                  <w:sz w:val="15"/>
                  <w:szCs w:val="15"/>
                  <w:u w:val="none"/>
                </w:rPr>
                <w:t>7,501.0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474E104C" w14:textId="5FD5CFD7"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66" w:tooltip="Net Income&#10; FY: 2015&#10; Period End Date: Oct-03-2015&#10; Filing Date: Nov-22-2017&#10; Period Type: Annual&#10; Value: 8,382.0, Currency: USD, Millions" w:history="1">
              <w:r w:rsidR="00CE45C0" w:rsidRPr="009F7B80">
                <w:rPr>
                  <w:rStyle w:val="Hyperlink"/>
                  <w:rFonts w:ascii="Verdana" w:hAnsi="Verdana"/>
                  <w:bCs/>
                  <w:color w:val="2F5496" w:themeColor="accent1" w:themeShade="BF"/>
                  <w:sz w:val="15"/>
                  <w:szCs w:val="15"/>
                  <w:u w:val="none"/>
                </w:rPr>
                <w:t>8,382.0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18D40DFA" w14:textId="36E53146"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67" w:tooltip="Net Income&#10; FY: 2016&#10; Period End Date: Oct-01-2016&#10; Filing Date: Nov-21-2018&#10; Period Type: Annual&#10; Value: 9,391.0, Currency: USD, Millions" w:history="1">
              <w:r w:rsidR="00CE45C0" w:rsidRPr="009F7B80">
                <w:rPr>
                  <w:rStyle w:val="Hyperlink"/>
                  <w:rFonts w:ascii="Verdana" w:hAnsi="Verdana"/>
                  <w:bCs/>
                  <w:color w:val="2F5496" w:themeColor="accent1" w:themeShade="BF"/>
                  <w:sz w:val="15"/>
                  <w:szCs w:val="15"/>
                  <w:u w:val="none"/>
                </w:rPr>
                <w:t>9,391.0</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1A28E58C" w14:textId="466B8A72"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68" w:tooltip="Net Income&#10; FY: 2017&#10; Period End Date: Sep-30-2017&#10; Filing Date: Nov-21-2018&#10; Period Type: Annual&#10; Value: 8,980.0, Currency: USD, Millions" w:history="1">
              <w:r w:rsidR="00CE45C0" w:rsidRPr="009F7B80">
                <w:rPr>
                  <w:rStyle w:val="Hyperlink"/>
                  <w:rFonts w:ascii="Verdana" w:hAnsi="Verdana"/>
                  <w:bCs/>
                  <w:color w:val="2F5496" w:themeColor="accent1" w:themeShade="BF"/>
                  <w:sz w:val="15"/>
                  <w:szCs w:val="15"/>
                  <w:u w:val="none"/>
                </w:rPr>
                <w:t>8,980.0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2DFAE867" w14:textId="0DE9A375"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69" w:tooltip="Net Income&#10; FY: 2018&#10; Period End Date: Sep-29-2018&#10; Filing Date: Nov-21-2018&#10; Period Type: Annual&#10; Value: 12,598.0, Currency: USD, Millions" w:history="1">
              <w:r w:rsidR="00CE45C0" w:rsidRPr="009F7B80">
                <w:rPr>
                  <w:rStyle w:val="Hyperlink"/>
                  <w:rFonts w:ascii="Verdana" w:hAnsi="Verdana"/>
                  <w:bCs/>
                  <w:color w:val="2F5496" w:themeColor="accent1" w:themeShade="BF"/>
                  <w:sz w:val="15"/>
                  <w:szCs w:val="15"/>
                  <w:u w:val="none"/>
                </w:rPr>
                <w:t>12,598.0</w:t>
              </w:r>
            </w:hyperlink>
            <w:r w:rsidR="00CE45C0" w:rsidRPr="009F7B80">
              <w:rPr>
                <w:rFonts w:ascii="Verdana" w:hAnsi="Verdana"/>
                <w:bCs/>
                <w:color w:val="2F5496" w:themeColor="accent1" w:themeShade="BF"/>
                <w:sz w:val="15"/>
                <w:szCs w:val="15"/>
              </w:rPr>
              <w:t xml:space="preserve"> </w:t>
            </w:r>
          </w:p>
        </w:tc>
      </w:tr>
      <w:tr w:rsidR="00CE45C0" w:rsidRPr="00DF015D" w14:paraId="76DC98DA"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6582B0D0" w14:textId="77777777" w:rsidR="00CE45C0" w:rsidRPr="00DF015D" w:rsidRDefault="00CE45C0" w:rsidP="00CE45C0">
            <w:pPr>
              <w:autoSpaceDE w:val="0"/>
              <w:autoSpaceDN w:val="0"/>
              <w:adjustRightInd w:val="0"/>
              <w:rPr>
                <w:rFonts w:ascii="Arial" w:eastAsiaTheme="minorEastAsia" w:hAnsi="Arial" w:cs="Arial"/>
                <w:i/>
                <w:iCs/>
                <w:color w:val="262626"/>
                <w:sz w:val="16"/>
                <w:szCs w:val="16"/>
                <w:lang w:eastAsia="zh-CN"/>
              </w:rPr>
            </w:pPr>
            <w:r w:rsidRPr="00DF015D">
              <w:rPr>
                <w:rFonts w:ascii="Arial" w:eastAsiaTheme="minorEastAsia" w:hAnsi="Arial" w:cs="Arial"/>
                <w:i/>
                <w:iCs/>
                <w:color w:val="262626"/>
                <w:sz w:val="16"/>
                <w:szCs w:val="16"/>
                <w:lang w:eastAsia="zh-CN"/>
              </w:rPr>
              <w:t>  Margin %</w:t>
            </w:r>
          </w:p>
        </w:tc>
        <w:tc>
          <w:tcPr>
            <w:tcW w:w="936" w:type="dxa"/>
            <w:tcBorders>
              <w:bottom w:val="single" w:sz="8" w:space="0" w:color="000000"/>
              <w:right w:val="single" w:sz="8" w:space="0" w:color="000000"/>
            </w:tcBorders>
            <w:shd w:val="clear" w:color="auto" w:fill="FFFFFF"/>
            <w:vAlign w:val="bottom"/>
          </w:tcPr>
          <w:p w14:paraId="61C6098E" w14:textId="4D62CD0E"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70" w:tooltip="Margin %&#10; FY: 2014&#10; Period End Date: Sep-27-2014&#10; Filing Date: Nov-23-2016&#10; Period Type: Annual&#10; Value: 15.4%" w:history="1">
              <w:r w:rsidR="00CE45C0" w:rsidRPr="009F7B80">
                <w:rPr>
                  <w:rStyle w:val="Hyperlink"/>
                  <w:rFonts w:ascii="Verdana" w:hAnsi="Verdana"/>
                  <w:i/>
                  <w:iCs/>
                  <w:color w:val="2F5496" w:themeColor="accent1" w:themeShade="BF"/>
                  <w:sz w:val="15"/>
                  <w:szCs w:val="15"/>
                  <w:u w:val="none"/>
                </w:rPr>
                <w:t>15.4%</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05697F4E" w14:textId="501FA1A1"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71" w:tooltip="Margin %&#10; FY: 2015&#10; Period End Date: Oct-03-2015&#10; Filing Date: Nov-22-2017&#10; Period Type: Annual&#10; Value: 16.0%" w:history="1">
              <w:r w:rsidR="00CE45C0" w:rsidRPr="009F7B80">
                <w:rPr>
                  <w:rStyle w:val="Hyperlink"/>
                  <w:rFonts w:ascii="Verdana" w:hAnsi="Verdana"/>
                  <w:i/>
                  <w:iCs/>
                  <w:color w:val="2F5496" w:themeColor="accent1" w:themeShade="BF"/>
                  <w:sz w:val="15"/>
                  <w:szCs w:val="15"/>
                  <w:u w:val="none"/>
                </w:rPr>
                <w:t>16.0%</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3B458A55" w14:textId="56DADD3D"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72" w:tooltip="Margin %&#10; FY: 2016&#10; Period End Date: Oct-01-2016&#10; Filing Date: Nov-21-2018&#10; Period Type: Annual&#10; Value: 16.9%" w:history="1">
              <w:r w:rsidR="00CE45C0" w:rsidRPr="009F7B80">
                <w:rPr>
                  <w:rStyle w:val="Hyperlink"/>
                  <w:rFonts w:ascii="Verdana" w:hAnsi="Verdana"/>
                  <w:i/>
                  <w:iCs/>
                  <w:color w:val="2F5496" w:themeColor="accent1" w:themeShade="BF"/>
                  <w:sz w:val="15"/>
                  <w:szCs w:val="15"/>
                  <w:u w:val="none"/>
                </w:rPr>
                <w:t>16.9%</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75D8C527" w14:textId="60039991"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73" w:tooltip="Margin %&#10; FY: 2017&#10; Period End Date: Sep-30-2017&#10; Filing Date: Nov-21-2018&#10; Period Type: Annual&#10; Value: 16.3%" w:history="1">
              <w:r w:rsidR="00CE45C0" w:rsidRPr="009F7B80">
                <w:rPr>
                  <w:rStyle w:val="Hyperlink"/>
                  <w:rFonts w:ascii="Verdana" w:hAnsi="Verdana"/>
                  <w:i/>
                  <w:iCs/>
                  <w:color w:val="2F5496" w:themeColor="accent1" w:themeShade="BF"/>
                  <w:sz w:val="15"/>
                  <w:szCs w:val="15"/>
                  <w:u w:val="none"/>
                </w:rPr>
                <w:t>16.3%</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1810670D" w14:textId="4CCC2377"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74" w:tooltip="Margin %&#10; FY: 2018&#10; Period End Date: Sep-29-2018&#10; Filing Date: Nov-21-2018&#10; Period Type: Annual&#10; Value: 21.2%" w:history="1">
              <w:r w:rsidR="00CE45C0" w:rsidRPr="009F7B80">
                <w:rPr>
                  <w:rStyle w:val="Hyperlink"/>
                  <w:rFonts w:ascii="Verdana" w:hAnsi="Verdana"/>
                  <w:i/>
                  <w:iCs/>
                  <w:color w:val="2F5496" w:themeColor="accent1" w:themeShade="BF"/>
                  <w:sz w:val="15"/>
                  <w:szCs w:val="15"/>
                  <w:u w:val="none"/>
                </w:rPr>
                <w:t>21.2%</w:t>
              </w:r>
            </w:hyperlink>
          </w:p>
        </w:tc>
      </w:tr>
      <w:tr w:rsidR="00CE45C0" w:rsidRPr="00DF015D" w14:paraId="04A8A8C5"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shd w:val="clear" w:color="auto" w:fill="FFFFFF"/>
            <w:vAlign w:val="bottom"/>
          </w:tcPr>
          <w:p w14:paraId="07E0CC2C"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EPS, Adj</w:t>
            </w:r>
          </w:p>
        </w:tc>
        <w:tc>
          <w:tcPr>
            <w:tcW w:w="936" w:type="dxa"/>
            <w:tcBorders>
              <w:bottom w:val="single" w:sz="8" w:space="0" w:color="000000"/>
              <w:right w:val="single" w:sz="8" w:space="0" w:color="000000"/>
            </w:tcBorders>
            <w:shd w:val="clear" w:color="auto" w:fill="FFFFFF"/>
            <w:vAlign w:val="bottom"/>
          </w:tcPr>
          <w:p w14:paraId="560579E4" w14:textId="50E5FEF7"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75" w:tooltip="Diluted EPS Excl. Extra Items³&#10; FY: 2014&#10; Period End Date: Sep-27-2014&#10; Filing Date: Nov-23-2016&#10; Period Type: Annual&#10; Value: 4.26, Currency: USD" w:history="1">
              <w:r w:rsidR="00CE45C0" w:rsidRPr="009F7B80">
                <w:rPr>
                  <w:rStyle w:val="Hyperlink"/>
                  <w:rFonts w:ascii="Verdana" w:hAnsi="Verdana"/>
                  <w:bCs/>
                  <w:color w:val="2F5496" w:themeColor="accent1" w:themeShade="BF"/>
                  <w:sz w:val="15"/>
                  <w:szCs w:val="15"/>
                  <w:u w:val="none"/>
                </w:rPr>
                <w:t>4.26</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2B220BBA" w14:textId="387B6EF1"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76" w:tooltip="Diluted EPS Excl. Extra Items³&#10; FY: 2015&#10; Period End Date: Oct-03-2015&#10; Filing Date: Nov-22-2017&#10; Period Type: Annual&#10; Value: 4.90, Currency: USD" w:history="1">
              <w:r w:rsidR="00CE45C0" w:rsidRPr="009F7B80">
                <w:rPr>
                  <w:rStyle w:val="Hyperlink"/>
                  <w:rFonts w:ascii="Verdana" w:hAnsi="Verdana"/>
                  <w:bCs/>
                  <w:color w:val="2F5496" w:themeColor="accent1" w:themeShade="BF"/>
                  <w:sz w:val="15"/>
                  <w:szCs w:val="15"/>
                  <w:u w:val="none"/>
                </w:rPr>
                <w:t>4.90</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5428A7A0" w14:textId="4A41D76D"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77" w:tooltip="Diluted EPS Excl. Extra Items³&#10; FY: 2016&#10; Period End Date: Oct-01-2016&#10; Filing Date: Nov-21-2018&#10; Period Type: Annual&#10; Value: 5.73, Currency: USD" w:history="1">
              <w:r w:rsidR="00CE45C0" w:rsidRPr="009F7B80">
                <w:rPr>
                  <w:rStyle w:val="Hyperlink"/>
                  <w:rFonts w:ascii="Verdana" w:hAnsi="Verdana"/>
                  <w:bCs/>
                  <w:color w:val="2F5496" w:themeColor="accent1" w:themeShade="BF"/>
                  <w:sz w:val="15"/>
                  <w:szCs w:val="15"/>
                  <w:u w:val="none"/>
                </w:rPr>
                <w:t>5.73</w:t>
              </w:r>
            </w:hyperlink>
            <w:r w:rsidR="00CE45C0" w:rsidRPr="009F7B80">
              <w:rPr>
                <w:rFonts w:ascii="Verdana" w:hAnsi="Verdana"/>
                <w:b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36B382C9" w14:textId="1A0214AD"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78" w:tooltip="Diluted EPS Excl. Extra Items³&#10; FY: 2017&#10; Period End Date: Sep-30-2017&#10; Filing Date: Nov-21-2018&#10; Period Type: Annual&#10; Value: 5.69, Currency: USD" w:history="1">
              <w:r w:rsidR="00CE45C0" w:rsidRPr="009F7B80">
                <w:rPr>
                  <w:rStyle w:val="Hyperlink"/>
                  <w:rFonts w:ascii="Verdana" w:hAnsi="Verdana"/>
                  <w:bCs/>
                  <w:color w:val="2F5496" w:themeColor="accent1" w:themeShade="BF"/>
                  <w:sz w:val="15"/>
                  <w:szCs w:val="15"/>
                  <w:u w:val="none"/>
                </w:rPr>
                <w:t>5.69</w:t>
              </w:r>
            </w:hyperlink>
            <w:r w:rsidR="00CE45C0" w:rsidRPr="009F7B80">
              <w:rPr>
                <w:rFonts w:ascii="Verdana" w:hAnsi="Verdana"/>
                <w:b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1FAD34CF" w14:textId="155549AC"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79" w:tooltip="Diluted EPS Excl. Extra Items³&#10; FY: 2018&#10; Period End Date: Sep-29-2018&#10; Filing Date: Nov-21-2018&#10; Period Type: Annual&#10; Value: 8.36, Currency: USD" w:history="1">
              <w:r w:rsidR="00CE45C0" w:rsidRPr="009F7B80">
                <w:rPr>
                  <w:rStyle w:val="Hyperlink"/>
                  <w:rFonts w:ascii="Verdana" w:hAnsi="Verdana"/>
                  <w:bCs/>
                  <w:color w:val="2F5496" w:themeColor="accent1" w:themeShade="BF"/>
                  <w:sz w:val="15"/>
                  <w:szCs w:val="15"/>
                  <w:u w:val="none"/>
                </w:rPr>
                <w:t>8.36</w:t>
              </w:r>
            </w:hyperlink>
          </w:p>
        </w:tc>
      </w:tr>
      <w:tr w:rsidR="00CE45C0" w:rsidRPr="00DF015D" w14:paraId="33CB053B" w14:textId="77777777" w:rsidTr="00CE45C0">
        <w:tblPrEx>
          <w:tblBorders>
            <w:top w:val="none" w:sz="0" w:space="0" w:color="auto"/>
          </w:tblBorders>
        </w:tblPrEx>
        <w:trPr>
          <w:trHeight w:val="268"/>
        </w:trPr>
        <w:tc>
          <w:tcPr>
            <w:tcW w:w="2124" w:type="dxa"/>
            <w:tcBorders>
              <w:left w:val="single" w:sz="8" w:space="0" w:color="000000"/>
              <w:bottom w:val="single" w:sz="8" w:space="0" w:color="000000"/>
              <w:right w:val="single" w:sz="8" w:space="0" w:color="000000"/>
            </w:tcBorders>
            <w:shd w:val="clear" w:color="auto" w:fill="FFFFFF"/>
            <w:vAlign w:val="bottom"/>
          </w:tcPr>
          <w:p w14:paraId="555F3F2B" w14:textId="77777777" w:rsidR="00CE45C0" w:rsidRPr="00DF015D" w:rsidRDefault="00CE45C0" w:rsidP="00CE45C0">
            <w:pPr>
              <w:autoSpaceDE w:val="0"/>
              <w:autoSpaceDN w:val="0"/>
              <w:adjustRightInd w:val="0"/>
              <w:rPr>
                <w:rFonts w:ascii="Arial" w:eastAsiaTheme="minorEastAsia" w:hAnsi="Arial" w:cs="Arial"/>
                <w:i/>
                <w:iCs/>
                <w:color w:val="262626"/>
                <w:sz w:val="16"/>
                <w:szCs w:val="16"/>
                <w:lang w:eastAsia="zh-CN"/>
              </w:rPr>
            </w:pPr>
            <w:r w:rsidRPr="00DF015D">
              <w:rPr>
                <w:rFonts w:ascii="Arial" w:eastAsiaTheme="minorEastAsia" w:hAnsi="Arial" w:cs="Arial"/>
                <w:i/>
                <w:iCs/>
                <w:color w:val="262626"/>
                <w:sz w:val="16"/>
                <w:szCs w:val="16"/>
                <w:lang w:eastAsia="zh-CN"/>
              </w:rPr>
              <w:t>  Growth %, YoY</w:t>
            </w:r>
          </w:p>
        </w:tc>
        <w:tc>
          <w:tcPr>
            <w:tcW w:w="936" w:type="dxa"/>
            <w:tcBorders>
              <w:bottom w:val="single" w:sz="8" w:space="0" w:color="000000"/>
              <w:right w:val="single" w:sz="8" w:space="0" w:color="000000"/>
            </w:tcBorders>
            <w:shd w:val="clear" w:color="auto" w:fill="FFFFFF"/>
            <w:vAlign w:val="bottom"/>
          </w:tcPr>
          <w:p w14:paraId="420737E7" w14:textId="51E33A94"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80" w:tooltip="Growth Over Prior Year&#10; FY: 2014&#10; Period End Date: Sep-27-2014&#10; Filing Date: Nov-23-2016&#10; Period Type: Annual&#10; Value: 26.0%" w:history="1">
              <w:r w:rsidR="00CE45C0" w:rsidRPr="009F7B80">
                <w:rPr>
                  <w:rStyle w:val="Hyperlink"/>
                  <w:rFonts w:ascii="Verdana" w:hAnsi="Verdana"/>
                  <w:i/>
                  <w:iCs/>
                  <w:color w:val="2F5496" w:themeColor="accent1" w:themeShade="BF"/>
                  <w:sz w:val="15"/>
                  <w:szCs w:val="15"/>
                  <w:u w:val="none"/>
                </w:rPr>
                <w:t>26.0%</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29F8663F" w14:textId="7BE8CF13"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81" w:tooltip="Growth Over Prior Year&#10; FY: 2015&#10; Period End Date: Oct-03-2015&#10; Filing Date: Nov-22-2017&#10; Period Type: Annual&#10; Value: 15.0%" w:history="1">
              <w:r w:rsidR="00CE45C0" w:rsidRPr="009F7B80">
                <w:rPr>
                  <w:rStyle w:val="Hyperlink"/>
                  <w:rFonts w:ascii="Verdana" w:hAnsi="Verdana"/>
                  <w:i/>
                  <w:iCs/>
                  <w:color w:val="2F5496" w:themeColor="accent1" w:themeShade="BF"/>
                  <w:sz w:val="15"/>
                  <w:szCs w:val="15"/>
                  <w:u w:val="none"/>
                </w:rPr>
                <w:t>15.0%</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397743BF" w14:textId="63E8AD86"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82" w:tooltip="Growth Over Prior Year&#10; FY: 2016&#10; Period End Date: Oct-01-2016&#10; Filing Date: Nov-21-2018&#10; Period Type: Annual&#10; Value: 16.9%" w:history="1">
              <w:r w:rsidR="00CE45C0" w:rsidRPr="009F7B80">
                <w:rPr>
                  <w:rStyle w:val="Hyperlink"/>
                  <w:rFonts w:ascii="Verdana" w:hAnsi="Verdana"/>
                  <w:i/>
                  <w:iCs/>
                  <w:color w:val="2F5496" w:themeColor="accent1" w:themeShade="BF"/>
                  <w:sz w:val="15"/>
                  <w:szCs w:val="15"/>
                  <w:u w:val="none"/>
                </w:rPr>
                <w:t>16.9%</w:t>
              </w:r>
            </w:hyperlink>
            <w:r w:rsidR="00CE45C0" w:rsidRPr="009F7B80">
              <w:rPr>
                <w:rFonts w:ascii="Verdana" w:hAnsi="Verdana"/>
                <w:i/>
                <w:iCs/>
                <w:color w:val="2F5496" w:themeColor="accent1" w:themeShade="BF"/>
                <w:sz w:val="15"/>
                <w:szCs w:val="15"/>
              </w:rPr>
              <w:t xml:space="preserve"> </w:t>
            </w:r>
          </w:p>
        </w:tc>
        <w:tc>
          <w:tcPr>
            <w:tcW w:w="990" w:type="dxa"/>
            <w:tcBorders>
              <w:bottom w:val="single" w:sz="8" w:space="0" w:color="000000"/>
              <w:right w:val="single" w:sz="8" w:space="0" w:color="000000"/>
            </w:tcBorders>
            <w:shd w:val="clear" w:color="auto" w:fill="FFFFFF"/>
            <w:vAlign w:val="bottom"/>
          </w:tcPr>
          <w:p w14:paraId="2F6ECD74" w14:textId="298000B3"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83" w:tooltip="Growth Over Prior Year&#10; FY: 2017&#10; Period End Date: Sep-30-2017&#10; Filing Date: Nov-21-2018&#10; Period Type: Annual&#10; Value: (0.7%)" w:history="1">
              <w:r w:rsidR="00CE45C0" w:rsidRPr="009F7B80">
                <w:rPr>
                  <w:rStyle w:val="Hyperlink"/>
                  <w:rFonts w:ascii="Verdana" w:hAnsi="Verdana"/>
                  <w:i/>
                  <w:iCs/>
                  <w:color w:val="2F5496" w:themeColor="accent1" w:themeShade="BF"/>
                  <w:sz w:val="15"/>
                  <w:szCs w:val="15"/>
                  <w:u w:val="none"/>
                </w:rPr>
                <w:t>(0.7%)</w:t>
              </w:r>
            </w:hyperlink>
            <w:r w:rsidR="00CE45C0" w:rsidRPr="009F7B80">
              <w:rPr>
                <w:rFonts w:ascii="Verdana" w:hAnsi="Verdana"/>
                <w:i/>
                <w:iCs/>
                <w:color w:val="2F5496" w:themeColor="accent1" w:themeShade="BF"/>
                <w:sz w:val="15"/>
                <w:szCs w:val="15"/>
              </w:rPr>
              <w:t xml:space="preserve"> </w:t>
            </w:r>
          </w:p>
        </w:tc>
        <w:tc>
          <w:tcPr>
            <w:tcW w:w="900" w:type="dxa"/>
            <w:tcBorders>
              <w:bottom w:val="single" w:sz="8" w:space="0" w:color="000000"/>
              <w:right w:val="single" w:sz="8" w:space="0" w:color="000000"/>
            </w:tcBorders>
            <w:shd w:val="clear" w:color="auto" w:fill="FFFFFF"/>
            <w:vAlign w:val="bottom"/>
          </w:tcPr>
          <w:p w14:paraId="48CCB787" w14:textId="70D65B5F" w:rsidR="00CE45C0" w:rsidRPr="009F7B80" w:rsidRDefault="00D222D1" w:rsidP="00CE45C0">
            <w:pPr>
              <w:autoSpaceDE w:val="0"/>
              <w:autoSpaceDN w:val="0"/>
              <w:adjustRightInd w:val="0"/>
              <w:jc w:val="right"/>
              <w:rPr>
                <w:rFonts w:ascii="Arial" w:eastAsiaTheme="minorEastAsia" w:hAnsi="Arial" w:cs="Arial"/>
                <w:i/>
                <w:iCs/>
                <w:color w:val="2F5496" w:themeColor="accent1" w:themeShade="BF"/>
                <w:sz w:val="16"/>
                <w:szCs w:val="16"/>
                <w:lang w:eastAsia="zh-CN"/>
              </w:rPr>
            </w:pPr>
            <w:hyperlink r:id="rId84" w:tooltip="Growth Over Prior Year&#10; FY: 2018&#10; Period End Date: Sep-29-2018&#10; Filing Date: Nov-21-2018&#10; Period Type: Annual&#10; Value: 46.9%" w:history="1">
              <w:r w:rsidR="00CE45C0" w:rsidRPr="009F7B80">
                <w:rPr>
                  <w:rStyle w:val="Hyperlink"/>
                  <w:rFonts w:ascii="Verdana" w:hAnsi="Verdana"/>
                  <w:i/>
                  <w:iCs/>
                  <w:color w:val="2F5496" w:themeColor="accent1" w:themeShade="BF"/>
                  <w:sz w:val="15"/>
                  <w:szCs w:val="15"/>
                  <w:u w:val="none"/>
                </w:rPr>
                <w:t>46.9%</w:t>
              </w:r>
            </w:hyperlink>
            <w:r w:rsidR="00CE45C0" w:rsidRPr="009F7B80">
              <w:rPr>
                <w:rFonts w:ascii="Verdana" w:hAnsi="Verdana"/>
                <w:i/>
                <w:iCs/>
                <w:color w:val="2F5496" w:themeColor="accent1" w:themeShade="BF"/>
                <w:sz w:val="15"/>
                <w:szCs w:val="15"/>
              </w:rPr>
              <w:t xml:space="preserve"> </w:t>
            </w:r>
          </w:p>
        </w:tc>
      </w:tr>
      <w:tr w:rsidR="00CE45C0" w:rsidRPr="00DF015D" w14:paraId="72A7596F"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vAlign w:val="center"/>
          </w:tcPr>
          <w:p w14:paraId="0E94837A" w14:textId="77777777"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Current Ratio</w:t>
            </w:r>
          </w:p>
        </w:tc>
        <w:tc>
          <w:tcPr>
            <w:tcW w:w="936" w:type="dxa"/>
            <w:tcBorders>
              <w:bottom w:val="single" w:sz="8" w:space="0" w:color="000000"/>
              <w:right w:val="single" w:sz="8" w:space="0" w:color="000000"/>
            </w:tcBorders>
            <w:vAlign w:val="bottom"/>
          </w:tcPr>
          <w:p w14:paraId="72848708" w14:textId="4B8DA84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85" w:tooltip="Current Ratio&#10; FY: 2014&#10; Period End Date: Sep-27-2014&#10; Filing Date: Nov-23-2016&#10; Period Type: Annual&#10; Value: 1.1x" w:history="1">
              <w:r w:rsidR="00CE45C0" w:rsidRPr="009F7B80">
                <w:rPr>
                  <w:rStyle w:val="Hyperlink"/>
                  <w:rFonts w:ascii="Verdana" w:hAnsi="Verdana"/>
                  <w:color w:val="2F5496" w:themeColor="accent1" w:themeShade="BF"/>
                  <w:sz w:val="15"/>
                  <w:szCs w:val="15"/>
                  <w:u w:val="none"/>
                </w:rPr>
                <w:t>1.1x</w:t>
              </w:r>
            </w:hyperlink>
          </w:p>
        </w:tc>
        <w:tc>
          <w:tcPr>
            <w:tcW w:w="990" w:type="dxa"/>
            <w:tcBorders>
              <w:bottom w:val="single" w:sz="8" w:space="0" w:color="000000"/>
              <w:right w:val="single" w:sz="8" w:space="0" w:color="000000"/>
            </w:tcBorders>
            <w:vAlign w:val="bottom"/>
          </w:tcPr>
          <w:p w14:paraId="613D2215" w14:textId="3AFE997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86" w:tooltip="Current Ratio&#10; FY: 2015&#10; Period End Date: Oct-03-2015&#10; Filing Date: Nov-22-2017&#10; Period Type: Annual&#10; Value: 1.0x" w:history="1">
              <w:r w:rsidR="00CE45C0" w:rsidRPr="009F7B80">
                <w:rPr>
                  <w:rStyle w:val="Hyperlink"/>
                  <w:rFonts w:ascii="Verdana" w:hAnsi="Verdana"/>
                  <w:color w:val="2F5496" w:themeColor="accent1" w:themeShade="BF"/>
                  <w:sz w:val="15"/>
                  <w:szCs w:val="15"/>
                  <w:u w:val="none"/>
                </w:rPr>
                <w:t>1.0x</w:t>
              </w:r>
            </w:hyperlink>
          </w:p>
        </w:tc>
        <w:tc>
          <w:tcPr>
            <w:tcW w:w="900" w:type="dxa"/>
            <w:tcBorders>
              <w:bottom w:val="single" w:sz="8" w:space="0" w:color="000000"/>
              <w:right w:val="single" w:sz="8" w:space="0" w:color="000000"/>
            </w:tcBorders>
            <w:vAlign w:val="bottom"/>
          </w:tcPr>
          <w:p w14:paraId="01517A4A" w14:textId="63A269A5"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87" w:tooltip="Current Ratio&#10; FY: 2016&#10; Period End Date: Oct-01-2016&#10; Filing Date: Nov-21-2018&#10; Period Type: Annual&#10; Value: 1.0x" w:history="1">
              <w:r w:rsidR="00CE45C0" w:rsidRPr="009F7B80">
                <w:rPr>
                  <w:rStyle w:val="Hyperlink"/>
                  <w:rFonts w:ascii="Verdana" w:hAnsi="Verdana"/>
                  <w:color w:val="2F5496" w:themeColor="accent1" w:themeShade="BF"/>
                  <w:sz w:val="15"/>
                  <w:szCs w:val="15"/>
                  <w:u w:val="none"/>
                </w:rPr>
                <w:t>1.0x</w:t>
              </w:r>
            </w:hyperlink>
          </w:p>
        </w:tc>
        <w:tc>
          <w:tcPr>
            <w:tcW w:w="990" w:type="dxa"/>
            <w:tcBorders>
              <w:bottom w:val="single" w:sz="8" w:space="0" w:color="000000"/>
              <w:right w:val="single" w:sz="8" w:space="0" w:color="000000"/>
            </w:tcBorders>
            <w:vAlign w:val="bottom"/>
          </w:tcPr>
          <w:p w14:paraId="2DCD299F" w14:textId="06CEC9C3"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88" w:tooltip="Current Ratio&#10; FY: 2017&#10; Period End Date: Sep-30-2017&#10; Filing Date: Nov-21-2018&#10; Period Type: Annual&#10; Value: 0.8x" w:history="1">
              <w:r w:rsidR="00CE45C0" w:rsidRPr="009F7B80">
                <w:rPr>
                  <w:rStyle w:val="Hyperlink"/>
                  <w:rFonts w:ascii="Verdana" w:hAnsi="Verdana"/>
                  <w:color w:val="2F5496" w:themeColor="accent1" w:themeShade="BF"/>
                  <w:sz w:val="15"/>
                  <w:szCs w:val="15"/>
                  <w:u w:val="none"/>
                </w:rPr>
                <w:t>0.8x</w:t>
              </w:r>
            </w:hyperlink>
          </w:p>
        </w:tc>
        <w:tc>
          <w:tcPr>
            <w:tcW w:w="900" w:type="dxa"/>
            <w:tcBorders>
              <w:bottom w:val="single" w:sz="8" w:space="0" w:color="000000"/>
              <w:right w:val="single" w:sz="8" w:space="0" w:color="000000"/>
            </w:tcBorders>
            <w:shd w:val="clear" w:color="auto" w:fill="FFFFFF"/>
            <w:vAlign w:val="bottom"/>
          </w:tcPr>
          <w:p w14:paraId="32C29035" w14:textId="29AF9E0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89" w:tooltip="Current Ratio&#10; FY: 2018&#10; Period End Date: Sep-29-2018&#10; Filing Date: Nov-21-2018&#10; Period Type: Annual&#10; Value: 0.9x" w:history="1">
              <w:r w:rsidR="00CE45C0" w:rsidRPr="009F7B80">
                <w:rPr>
                  <w:rStyle w:val="Hyperlink"/>
                  <w:rFonts w:ascii="Verdana" w:hAnsi="Verdana"/>
                  <w:color w:val="2F5496" w:themeColor="accent1" w:themeShade="BF"/>
                  <w:sz w:val="15"/>
                  <w:szCs w:val="15"/>
                  <w:u w:val="none"/>
                </w:rPr>
                <w:t>0.9x</w:t>
              </w:r>
            </w:hyperlink>
          </w:p>
        </w:tc>
      </w:tr>
      <w:tr w:rsidR="00CE45C0" w:rsidRPr="00DF015D" w14:paraId="0698B831" w14:textId="77777777" w:rsidTr="00CE45C0">
        <w:tblPrEx>
          <w:tblBorders>
            <w:top w:val="none" w:sz="0" w:space="0" w:color="auto"/>
          </w:tblBorders>
        </w:tblPrEx>
        <w:trPr>
          <w:trHeight w:val="254"/>
        </w:trPr>
        <w:tc>
          <w:tcPr>
            <w:tcW w:w="2124" w:type="dxa"/>
            <w:tcBorders>
              <w:left w:val="single" w:sz="8" w:space="0" w:color="000000"/>
              <w:bottom w:val="single" w:sz="8" w:space="0" w:color="000000"/>
              <w:right w:val="single" w:sz="8" w:space="0" w:color="000000"/>
            </w:tcBorders>
            <w:vAlign w:val="center"/>
          </w:tcPr>
          <w:p w14:paraId="191EE074" w14:textId="2B9A2BF9"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R</w:t>
            </w:r>
            <w:r>
              <w:rPr>
                <w:rFonts w:ascii="Arial" w:eastAsiaTheme="minorEastAsia" w:hAnsi="Arial" w:cs="Arial"/>
                <w:sz w:val="16"/>
                <w:szCs w:val="16"/>
                <w:lang w:eastAsia="zh-CN"/>
              </w:rPr>
              <w:t>eturn on Equity %</w:t>
            </w:r>
          </w:p>
        </w:tc>
        <w:tc>
          <w:tcPr>
            <w:tcW w:w="936" w:type="dxa"/>
            <w:tcBorders>
              <w:bottom w:val="single" w:sz="8" w:space="0" w:color="000000"/>
              <w:right w:val="single" w:sz="8" w:space="0" w:color="000000"/>
            </w:tcBorders>
            <w:shd w:val="clear" w:color="auto" w:fill="FFFFFF"/>
            <w:vAlign w:val="bottom"/>
          </w:tcPr>
          <w:p w14:paraId="50956F9F" w14:textId="4D5A5E5C"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0" w:tooltip="Return on Equity %&#10; FY: 2014&#10; Period End Date: Sep-27-2014&#10; Filing Date: Nov-23-2016&#10; Period Type: Annual&#10; Value: 16.6%" w:history="1">
              <w:r w:rsidR="00CE45C0" w:rsidRPr="009F7B80">
                <w:rPr>
                  <w:rStyle w:val="Hyperlink"/>
                  <w:rFonts w:ascii="Verdana" w:hAnsi="Verdana"/>
                  <w:color w:val="2F5496" w:themeColor="accent1" w:themeShade="BF"/>
                  <w:sz w:val="15"/>
                  <w:szCs w:val="15"/>
                  <w:u w:val="none"/>
                </w:rPr>
                <w:t>16.6%</w:t>
              </w:r>
            </w:hyperlink>
          </w:p>
        </w:tc>
        <w:tc>
          <w:tcPr>
            <w:tcW w:w="990" w:type="dxa"/>
            <w:tcBorders>
              <w:bottom w:val="single" w:sz="8" w:space="0" w:color="000000"/>
              <w:right w:val="single" w:sz="8" w:space="0" w:color="000000"/>
            </w:tcBorders>
            <w:shd w:val="clear" w:color="auto" w:fill="FFFFFF"/>
            <w:vAlign w:val="bottom"/>
          </w:tcPr>
          <w:p w14:paraId="0FE80A6B" w14:textId="7F3E4AC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1" w:tooltip="Return on Equity %&#10; FY: 2015&#10; Period End Date: Oct-03-2015&#10; Filing Date: Nov-22-2017&#10; Period Type: Annual&#10; Value: 18.3%" w:history="1">
              <w:r w:rsidR="00CE45C0" w:rsidRPr="009F7B80">
                <w:rPr>
                  <w:rStyle w:val="Hyperlink"/>
                  <w:rFonts w:ascii="Verdana" w:hAnsi="Verdana"/>
                  <w:color w:val="2F5496" w:themeColor="accent1" w:themeShade="BF"/>
                  <w:sz w:val="15"/>
                  <w:szCs w:val="15"/>
                  <w:u w:val="none"/>
                </w:rPr>
                <w:t>18.3%</w:t>
              </w:r>
            </w:hyperlink>
          </w:p>
        </w:tc>
        <w:tc>
          <w:tcPr>
            <w:tcW w:w="900" w:type="dxa"/>
            <w:tcBorders>
              <w:bottom w:val="single" w:sz="8" w:space="0" w:color="000000"/>
              <w:right w:val="single" w:sz="8" w:space="0" w:color="000000"/>
            </w:tcBorders>
            <w:shd w:val="clear" w:color="auto" w:fill="FFFFFF"/>
            <w:vAlign w:val="bottom"/>
          </w:tcPr>
          <w:p w14:paraId="53E474AD" w14:textId="5B5664DC"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2" w:tooltip="Return on Equity %&#10; FY: 2016&#10; Period End Date: Oct-01-2016&#10; Filing Date: Nov-21-2018&#10; Period Type: Annual&#10; Value: 20.4%" w:history="1">
              <w:r w:rsidR="00CE45C0" w:rsidRPr="009F7B80">
                <w:rPr>
                  <w:rStyle w:val="Hyperlink"/>
                  <w:rFonts w:ascii="Verdana" w:hAnsi="Verdana"/>
                  <w:color w:val="2F5496" w:themeColor="accent1" w:themeShade="BF"/>
                  <w:sz w:val="15"/>
                  <w:szCs w:val="15"/>
                  <w:u w:val="none"/>
                </w:rPr>
                <w:t>20.4%</w:t>
              </w:r>
            </w:hyperlink>
          </w:p>
        </w:tc>
        <w:tc>
          <w:tcPr>
            <w:tcW w:w="990" w:type="dxa"/>
            <w:tcBorders>
              <w:bottom w:val="single" w:sz="8" w:space="0" w:color="000000"/>
              <w:right w:val="single" w:sz="8" w:space="0" w:color="000000"/>
            </w:tcBorders>
            <w:shd w:val="clear" w:color="auto" w:fill="FFFFFF"/>
            <w:vAlign w:val="bottom"/>
          </w:tcPr>
          <w:p w14:paraId="7E5CE776" w14:textId="62A2D9D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3" w:tooltip="Return on Equity %&#10; FY: 2017&#10; Period End Date: Sep-30-2017&#10; Filing Date: Nov-21-2018&#10; Period Type: Annual&#10; Value: 20.0%" w:history="1">
              <w:r w:rsidR="00CE45C0" w:rsidRPr="009F7B80">
                <w:rPr>
                  <w:rStyle w:val="Hyperlink"/>
                  <w:rFonts w:ascii="Verdana" w:hAnsi="Verdana"/>
                  <w:color w:val="2F5496" w:themeColor="accent1" w:themeShade="BF"/>
                  <w:sz w:val="15"/>
                  <w:szCs w:val="15"/>
                  <w:u w:val="none"/>
                </w:rPr>
                <w:t>20.0%</w:t>
              </w:r>
            </w:hyperlink>
          </w:p>
        </w:tc>
        <w:tc>
          <w:tcPr>
            <w:tcW w:w="900" w:type="dxa"/>
            <w:tcBorders>
              <w:bottom w:val="single" w:sz="8" w:space="0" w:color="000000"/>
              <w:right w:val="single" w:sz="8" w:space="0" w:color="000000"/>
            </w:tcBorders>
            <w:shd w:val="clear" w:color="auto" w:fill="FFFFFF"/>
            <w:vAlign w:val="bottom"/>
          </w:tcPr>
          <w:p w14:paraId="4D28992B" w14:textId="304F630C"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4" w:tooltip="Return on Equity %&#10; FY: 2018&#10; Period End Date: Sep-29-2018&#10; Filing Date: Nov-21-2018&#10; Period Type: Annual&#10; Value: 26.1%" w:history="1">
              <w:r w:rsidR="00CE45C0" w:rsidRPr="009F7B80">
                <w:rPr>
                  <w:rStyle w:val="Hyperlink"/>
                  <w:rFonts w:ascii="Verdana" w:hAnsi="Verdana"/>
                  <w:color w:val="2F5496" w:themeColor="accent1" w:themeShade="BF"/>
                  <w:sz w:val="15"/>
                  <w:szCs w:val="15"/>
                  <w:u w:val="none"/>
                </w:rPr>
                <w:t>26.1%</w:t>
              </w:r>
            </w:hyperlink>
          </w:p>
        </w:tc>
      </w:tr>
      <w:tr w:rsidR="00CE45C0" w:rsidRPr="00DF015D" w14:paraId="32AD329F" w14:textId="77777777" w:rsidTr="00CE45C0">
        <w:tblPrEx>
          <w:tblBorders>
            <w:top w:val="none" w:sz="0" w:space="0" w:color="auto"/>
          </w:tblBorders>
        </w:tblPrEx>
        <w:trPr>
          <w:trHeight w:val="268"/>
        </w:trPr>
        <w:tc>
          <w:tcPr>
            <w:tcW w:w="2124" w:type="dxa"/>
            <w:tcBorders>
              <w:left w:val="single" w:sz="8" w:space="0" w:color="000000"/>
              <w:bottom w:val="single" w:sz="8" w:space="0" w:color="000000"/>
              <w:right w:val="single" w:sz="8" w:space="0" w:color="000000"/>
            </w:tcBorders>
            <w:vAlign w:val="center"/>
          </w:tcPr>
          <w:p w14:paraId="2BDEF569" w14:textId="0F4E6995"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R</w:t>
            </w:r>
            <w:r>
              <w:rPr>
                <w:rFonts w:ascii="Arial" w:eastAsiaTheme="minorEastAsia" w:hAnsi="Arial" w:cs="Arial"/>
                <w:sz w:val="16"/>
                <w:szCs w:val="16"/>
                <w:lang w:eastAsia="zh-CN"/>
              </w:rPr>
              <w:t>eturn on Assets %</w:t>
            </w:r>
          </w:p>
        </w:tc>
        <w:tc>
          <w:tcPr>
            <w:tcW w:w="936" w:type="dxa"/>
            <w:tcBorders>
              <w:bottom w:val="single" w:sz="8" w:space="0" w:color="000000"/>
              <w:right w:val="single" w:sz="8" w:space="0" w:color="000000"/>
            </w:tcBorders>
            <w:shd w:val="clear" w:color="auto" w:fill="FFFFFF"/>
            <w:vAlign w:val="bottom"/>
          </w:tcPr>
          <w:p w14:paraId="23798D2C" w14:textId="2390FB1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5" w:tooltip="Return on Assets %&#10; FY: 2014&#10; Period End Date: Sep-27-2014&#10; Filing Date: Nov-23-2016&#10; Period Type: Annual&#10; Value: 8.7%" w:history="1">
              <w:r w:rsidR="00CE45C0" w:rsidRPr="009F7B80">
                <w:rPr>
                  <w:rStyle w:val="Hyperlink"/>
                  <w:rFonts w:ascii="Verdana" w:hAnsi="Verdana"/>
                  <w:color w:val="2F5496" w:themeColor="accent1" w:themeShade="BF"/>
                  <w:sz w:val="15"/>
                  <w:szCs w:val="15"/>
                  <w:u w:val="none"/>
                </w:rPr>
                <w:t>8.7%</w:t>
              </w:r>
            </w:hyperlink>
          </w:p>
        </w:tc>
        <w:tc>
          <w:tcPr>
            <w:tcW w:w="990" w:type="dxa"/>
            <w:tcBorders>
              <w:bottom w:val="single" w:sz="8" w:space="0" w:color="000000"/>
              <w:right w:val="single" w:sz="8" w:space="0" w:color="000000"/>
            </w:tcBorders>
            <w:shd w:val="clear" w:color="auto" w:fill="FFFFFF"/>
            <w:vAlign w:val="bottom"/>
          </w:tcPr>
          <w:p w14:paraId="0929842A" w14:textId="04387BFB"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6" w:tooltip="Return on Assets %&#10; FY: 2015&#10; Period End Date: Oct-03-2015&#10; Filing Date: Nov-22-2017&#10; Period Type: Annual&#10; Value: 9.6%" w:history="1">
              <w:r w:rsidR="00CE45C0" w:rsidRPr="009F7B80">
                <w:rPr>
                  <w:rStyle w:val="Hyperlink"/>
                  <w:rFonts w:ascii="Verdana" w:hAnsi="Verdana"/>
                  <w:color w:val="2F5496" w:themeColor="accent1" w:themeShade="BF"/>
                  <w:sz w:val="15"/>
                  <w:szCs w:val="15"/>
                  <w:u w:val="none"/>
                </w:rPr>
                <w:t>9.6%</w:t>
              </w:r>
            </w:hyperlink>
          </w:p>
        </w:tc>
        <w:tc>
          <w:tcPr>
            <w:tcW w:w="900" w:type="dxa"/>
            <w:tcBorders>
              <w:bottom w:val="single" w:sz="8" w:space="0" w:color="000000"/>
              <w:right w:val="single" w:sz="8" w:space="0" w:color="000000"/>
            </w:tcBorders>
            <w:shd w:val="clear" w:color="auto" w:fill="FFFFFF"/>
            <w:vAlign w:val="bottom"/>
          </w:tcPr>
          <w:p w14:paraId="18BFF50F" w14:textId="3996591C"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7" w:tooltip="Return on Assets %&#10; FY: 2016&#10; Period End Date: Oct-01-2016&#10; Filing Date: Nov-21-2018&#10; Period Type: Annual&#10; Value: 10.0%" w:history="1">
              <w:r w:rsidR="00CE45C0" w:rsidRPr="009F7B80">
                <w:rPr>
                  <w:rStyle w:val="Hyperlink"/>
                  <w:rFonts w:ascii="Verdana" w:hAnsi="Verdana"/>
                  <w:color w:val="2F5496" w:themeColor="accent1" w:themeShade="BF"/>
                  <w:sz w:val="15"/>
                  <w:szCs w:val="15"/>
                  <w:u w:val="none"/>
                </w:rPr>
                <w:t>10.0%</w:t>
              </w:r>
            </w:hyperlink>
          </w:p>
        </w:tc>
        <w:tc>
          <w:tcPr>
            <w:tcW w:w="990" w:type="dxa"/>
            <w:tcBorders>
              <w:bottom w:val="single" w:sz="8" w:space="0" w:color="000000"/>
              <w:right w:val="single" w:sz="8" w:space="0" w:color="000000"/>
            </w:tcBorders>
            <w:shd w:val="clear" w:color="auto" w:fill="FFFFFF"/>
            <w:vAlign w:val="bottom"/>
          </w:tcPr>
          <w:p w14:paraId="172903F6" w14:textId="1567360F"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8" w:tooltip="Return on Assets %&#10; FY: 2017&#10; Period End Date: Sep-30-2017&#10; Filing Date: Nov-21-2018&#10; Period Type: Annual&#10; Value: 9.3%" w:history="1">
              <w:r w:rsidR="00CE45C0" w:rsidRPr="009F7B80">
                <w:rPr>
                  <w:rStyle w:val="Hyperlink"/>
                  <w:rFonts w:ascii="Verdana" w:hAnsi="Verdana"/>
                  <w:color w:val="2F5496" w:themeColor="accent1" w:themeShade="BF"/>
                  <w:sz w:val="15"/>
                  <w:szCs w:val="15"/>
                  <w:u w:val="none"/>
                </w:rPr>
                <w:t>9.3%</w:t>
              </w:r>
            </w:hyperlink>
          </w:p>
        </w:tc>
        <w:tc>
          <w:tcPr>
            <w:tcW w:w="900" w:type="dxa"/>
            <w:tcBorders>
              <w:bottom w:val="single" w:sz="8" w:space="0" w:color="000000"/>
              <w:right w:val="single" w:sz="8" w:space="0" w:color="000000"/>
            </w:tcBorders>
            <w:shd w:val="clear" w:color="auto" w:fill="FFFFFF"/>
            <w:vAlign w:val="bottom"/>
          </w:tcPr>
          <w:p w14:paraId="1B89C119" w14:textId="754BC4EB"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99" w:tooltip="Return on Assets %&#10; FY: 2018&#10; Period End Date: Sep-29-2018&#10; Filing Date: Nov-21-2018&#10; Period Type: Annual&#10; Value: 9.5%" w:history="1">
              <w:r w:rsidR="00CE45C0" w:rsidRPr="009F7B80">
                <w:rPr>
                  <w:rStyle w:val="Hyperlink"/>
                  <w:rFonts w:ascii="Verdana" w:hAnsi="Verdana"/>
                  <w:color w:val="2F5496" w:themeColor="accent1" w:themeShade="BF"/>
                  <w:sz w:val="15"/>
                  <w:szCs w:val="15"/>
                  <w:u w:val="none"/>
                </w:rPr>
                <w:t>9.5%</w:t>
              </w:r>
            </w:hyperlink>
          </w:p>
        </w:tc>
      </w:tr>
      <w:tr w:rsidR="00CE45C0" w:rsidRPr="00DF015D" w14:paraId="7D435592" w14:textId="77777777" w:rsidTr="00CE45C0">
        <w:tblPrEx>
          <w:tblBorders>
            <w:top w:val="none" w:sz="0" w:space="0" w:color="auto"/>
          </w:tblBorders>
        </w:tblPrEx>
        <w:trPr>
          <w:trHeight w:val="290"/>
        </w:trPr>
        <w:tc>
          <w:tcPr>
            <w:tcW w:w="2124" w:type="dxa"/>
            <w:tcBorders>
              <w:left w:val="single" w:sz="8" w:space="0" w:color="000000"/>
              <w:bottom w:val="single" w:sz="8" w:space="0" w:color="000000"/>
              <w:right w:val="single" w:sz="8" w:space="0" w:color="000000"/>
            </w:tcBorders>
            <w:vAlign w:val="center"/>
          </w:tcPr>
          <w:p w14:paraId="397BD727" w14:textId="72E4D833"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 xml:space="preserve">Dividend Per </w:t>
            </w:r>
            <w:r>
              <w:rPr>
                <w:rFonts w:ascii="Arial" w:eastAsiaTheme="minorEastAsia" w:hAnsi="Arial" w:cs="Arial"/>
                <w:sz w:val="16"/>
                <w:szCs w:val="16"/>
                <w:lang w:eastAsia="zh-CN"/>
              </w:rPr>
              <w:t>Share</w:t>
            </w:r>
          </w:p>
        </w:tc>
        <w:tc>
          <w:tcPr>
            <w:tcW w:w="936" w:type="dxa"/>
            <w:tcBorders>
              <w:bottom w:val="single" w:sz="8" w:space="0" w:color="000000"/>
              <w:right w:val="single" w:sz="8" w:space="0" w:color="000000"/>
            </w:tcBorders>
            <w:shd w:val="clear" w:color="auto" w:fill="FFFFFF"/>
            <w:vAlign w:val="bottom"/>
          </w:tcPr>
          <w:p w14:paraId="5EF9C164" w14:textId="232B09F4"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0" w:tooltip="Dividends per Share&#10; FY: 2014&#10; Period End Date: Sep-27-2014&#10; Filing Date: Nov-23-2016&#10; Period Type: Annual&#10; Value: $ 1.15, Currency: USD" w:history="1">
              <w:r w:rsidR="00CE45C0" w:rsidRPr="009F7B80">
                <w:rPr>
                  <w:rStyle w:val="Hyperlink"/>
                  <w:rFonts w:ascii="Verdana" w:hAnsi="Verdana"/>
                  <w:color w:val="2F5496" w:themeColor="accent1" w:themeShade="BF"/>
                  <w:sz w:val="15"/>
                  <w:szCs w:val="15"/>
                  <w:u w:val="none"/>
                </w:rPr>
                <w:t>$ 1.15</w:t>
              </w:r>
            </w:hyperlink>
          </w:p>
        </w:tc>
        <w:tc>
          <w:tcPr>
            <w:tcW w:w="990" w:type="dxa"/>
            <w:tcBorders>
              <w:bottom w:val="single" w:sz="8" w:space="0" w:color="000000"/>
              <w:right w:val="single" w:sz="8" w:space="0" w:color="000000"/>
            </w:tcBorders>
            <w:shd w:val="clear" w:color="auto" w:fill="FFFFFF"/>
            <w:vAlign w:val="bottom"/>
          </w:tcPr>
          <w:p w14:paraId="2E7D0B72" w14:textId="68C28FEF"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1" w:tooltip="Dividends per Share&#10; FY: 2015&#10; Period End Date: Oct-03-2015&#10; Filing Date: Nov-22-2017&#10; Period Type: Annual&#10; Value: $ 1.37, Currency: USD" w:history="1">
              <w:r w:rsidR="00CE45C0" w:rsidRPr="009F7B80">
                <w:rPr>
                  <w:rStyle w:val="Hyperlink"/>
                  <w:rFonts w:ascii="Verdana" w:hAnsi="Verdana"/>
                  <w:color w:val="2F5496" w:themeColor="accent1" w:themeShade="BF"/>
                  <w:sz w:val="15"/>
                  <w:szCs w:val="15"/>
                  <w:u w:val="none"/>
                </w:rPr>
                <w:t>$ 1.37</w:t>
              </w:r>
            </w:hyperlink>
          </w:p>
        </w:tc>
        <w:tc>
          <w:tcPr>
            <w:tcW w:w="900" w:type="dxa"/>
            <w:tcBorders>
              <w:bottom w:val="single" w:sz="8" w:space="0" w:color="000000"/>
              <w:right w:val="single" w:sz="8" w:space="0" w:color="000000"/>
            </w:tcBorders>
            <w:shd w:val="clear" w:color="auto" w:fill="FFFFFF"/>
            <w:vAlign w:val="bottom"/>
          </w:tcPr>
          <w:p w14:paraId="0E2CE065" w14:textId="4E958431"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2" w:tooltip="Dividends per Share&#10; FY: 2016&#10; Period End Date: Oct-01-2016&#10; Filing Date: Nov-21-2018&#10; Period Type: Annual&#10; Value: $ 1.49, Currency: USD" w:history="1">
              <w:r w:rsidR="00CE45C0" w:rsidRPr="009F7B80">
                <w:rPr>
                  <w:rStyle w:val="Hyperlink"/>
                  <w:rFonts w:ascii="Verdana" w:hAnsi="Verdana"/>
                  <w:color w:val="2F5496" w:themeColor="accent1" w:themeShade="BF"/>
                  <w:sz w:val="15"/>
                  <w:szCs w:val="15"/>
                  <w:u w:val="none"/>
                </w:rPr>
                <w:t>$ 1.49</w:t>
              </w:r>
            </w:hyperlink>
          </w:p>
        </w:tc>
        <w:tc>
          <w:tcPr>
            <w:tcW w:w="990" w:type="dxa"/>
            <w:tcBorders>
              <w:bottom w:val="single" w:sz="8" w:space="0" w:color="000000"/>
              <w:right w:val="single" w:sz="8" w:space="0" w:color="000000"/>
            </w:tcBorders>
            <w:shd w:val="clear" w:color="auto" w:fill="FFFFFF"/>
            <w:vAlign w:val="bottom"/>
          </w:tcPr>
          <w:p w14:paraId="6AA93D35" w14:textId="0223FB8E"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3" w:tooltip="Dividends per Share&#10; FY: 2017&#10; Period End Date: Sep-30-2017&#10; Filing Date: Nov-21-2018&#10; Period Type: Annual&#10; Value: $ 1.62, Currency: USD" w:history="1">
              <w:r w:rsidR="00CE45C0" w:rsidRPr="009F7B80">
                <w:rPr>
                  <w:rStyle w:val="Hyperlink"/>
                  <w:rFonts w:ascii="Verdana" w:hAnsi="Verdana"/>
                  <w:color w:val="2F5496" w:themeColor="accent1" w:themeShade="BF"/>
                  <w:sz w:val="15"/>
                  <w:szCs w:val="15"/>
                  <w:u w:val="none"/>
                </w:rPr>
                <w:t>$ 1.62</w:t>
              </w:r>
            </w:hyperlink>
          </w:p>
        </w:tc>
        <w:tc>
          <w:tcPr>
            <w:tcW w:w="900" w:type="dxa"/>
            <w:tcBorders>
              <w:bottom w:val="single" w:sz="8" w:space="0" w:color="000000"/>
              <w:right w:val="single" w:sz="8" w:space="0" w:color="000000"/>
            </w:tcBorders>
            <w:shd w:val="clear" w:color="auto" w:fill="FFFFFF"/>
            <w:vAlign w:val="bottom"/>
          </w:tcPr>
          <w:p w14:paraId="799E1522" w14:textId="077A3F7F"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4" w:tooltip="Dividends per Share&#10; FY: 2018&#10; Period End Date: Sep-29-2018&#10; Filing Date: Nov-21-2018&#10; Period Type: Annual&#10; Value: $ 1.72, Currency: USD" w:history="1">
              <w:r w:rsidR="00CE45C0" w:rsidRPr="009F7B80">
                <w:rPr>
                  <w:rStyle w:val="Hyperlink"/>
                  <w:rFonts w:ascii="Verdana" w:hAnsi="Verdana"/>
                  <w:color w:val="2F5496" w:themeColor="accent1" w:themeShade="BF"/>
                  <w:sz w:val="15"/>
                  <w:szCs w:val="15"/>
                  <w:u w:val="none"/>
                </w:rPr>
                <w:t>$ 1.72</w:t>
              </w:r>
            </w:hyperlink>
          </w:p>
        </w:tc>
      </w:tr>
      <w:tr w:rsidR="00CE45C0" w:rsidRPr="00DF015D" w14:paraId="5959EAA5" w14:textId="77777777" w:rsidTr="00CE45C0">
        <w:trPr>
          <w:trHeight w:val="268"/>
        </w:trPr>
        <w:tc>
          <w:tcPr>
            <w:tcW w:w="2124" w:type="dxa"/>
            <w:tcBorders>
              <w:left w:val="single" w:sz="8" w:space="0" w:color="000000"/>
              <w:bottom w:val="single" w:sz="8" w:space="0" w:color="000000"/>
              <w:right w:val="single" w:sz="8" w:space="0" w:color="000000"/>
            </w:tcBorders>
            <w:vAlign w:val="center"/>
          </w:tcPr>
          <w:p w14:paraId="1B36C95D" w14:textId="4090E8D5" w:rsidR="00CE45C0" w:rsidRPr="00DF015D" w:rsidRDefault="00CE45C0" w:rsidP="00CE45C0">
            <w:pPr>
              <w:autoSpaceDE w:val="0"/>
              <w:autoSpaceDN w:val="0"/>
              <w:adjustRightInd w:val="0"/>
              <w:rPr>
                <w:rFonts w:ascii="Arial" w:eastAsiaTheme="minorEastAsia" w:hAnsi="Arial" w:cs="Arial"/>
                <w:sz w:val="16"/>
                <w:szCs w:val="16"/>
                <w:lang w:eastAsia="zh-CN"/>
              </w:rPr>
            </w:pPr>
            <w:r w:rsidRPr="00DF015D">
              <w:rPr>
                <w:rFonts w:ascii="Arial" w:eastAsiaTheme="minorEastAsia" w:hAnsi="Arial" w:cs="Arial"/>
                <w:sz w:val="16"/>
                <w:szCs w:val="16"/>
                <w:lang w:eastAsia="zh-CN"/>
              </w:rPr>
              <w:t>FCF</w:t>
            </w:r>
          </w:p>
        </w:tc>
        <w:tc>
          <w:tcPr>
            <w:tcW w:w="936" w:type="dxa"/>
            <w:tcBorders>
              <w:bottom w:val="single" w:sz="8" w:space="0" w:color="000000"/>
              <w:right w:val="single" w:sz="8" w:space="0" w:color="000000"/>
            </w:tcBorders>
            <w:shd w:val="clear" w:color="auto" w:fill="FFFFFF"/>
            <w:vAlign w:val="bottom"/>
          </w:tcPr>
          <w:p w14:paraId="1FD7AA10" w14:textId="30439D15"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5" w:tooltip="Unlevered Free Cash Flow&#10; FY: 2014&#10; Period End Date: Sep-27-2014&#10; Filing Date: Nov-23-2016&#10; Period Type: Annual&#10; Value: 6,063.5, Currency: USD, Millions" w:history="1">
              <w:r w:rsidR="00CE45C0" w:rsidRPr="009F7B80">
                <w:rPr>
                  <w:rStyle w:val="Hyperlink"/>
                  <w:rFonts w:ascii="Verdana" w:hAnsi="Verdana"/>
                  <w:color w:val="2F5496" w:themeColor="accent1" w:themeShade="BF"/>
                  <w:sz w:val="15"/>
                  <w:szCs w:val="15"/>
                  <w:u w:val="none"/>
                </w:rPr>
                <w:t>6,063.5</w:t>
              </w:r>
            </w:hyperlink>
          </w:p>
        </w:tc>
        <w:tc>
          <w:tcPr>
            <w:tcW w:w="990" w:type="dxa"/>
            <w:tcBorders>
              <w:bottom w:val="single" w:sz="8" w:space="0" w:color="000000"/>
              <w:right w:val="single" w:sz="8" w:space="0" w:color="000000"/>
            </w:tcBorders>
            <w:shd w:val="clear" w:color="auto" w:fill="FFFFFF"/>
            <w:vAlign w:val="bottom"/>
          </w:tcPr>
          <w:p w14:paraId="2FA3E0E9" w14:textId="3F18DFAF"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6" w:tooltip="Unlevered Free Cash Flow&#10; FY: 2015&#10; Period End Date: Oct-03-2015&#10; Filing Date: Nov-22-2017&#10; Period Type: Annual&#10; Value: 6,667.0, Currency: USD, Millions" w:history="1">
              <w:r w:rsidR="00CE45C0" w:rsidRPr="009F7B80">
                <w:rPr>
                  <w:rStyle w:val="Hyperlink"/>
                  <w:rFonts w:ascii="Verdana" w:hAnsi="Verdana"/>
                  <w:color w:val="2F5496" w:themeColor="accent1" w:themeShade="BF"/>
                  <w:sz w:val="15"/>
                  <w:szCs w:val="15"/>
                  <w:u w:val="none"/>
                </w:rPr>
                <w:t>6,667.0</w:t>
              </w:r>
            </w:hyperlink>
          </w:p>
        </w:tc>
        <w:tc>
          <w:tcPr>
            <w:tcW w:w="900" w:type="dxa"/>
            <w:tcBorders>
              <w:bottom w:val="single" w:sz="8" w:space="0" w:color="000000"/>
              <w:right w:val="single" w:sz="8" w:space="0" w:color="000000"/>
            </w:tcBorders>
            <w:shd w:val="clear" w:color="auto" w:fill="FFFFFF"/>
            <w:vAlign w:val="bottom"/>
          </w:tcPr>
          <w:p w14:paraId="3CF80DDB" w14:textId="0E926371"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7" w:tooltip="Unlevered Free Cash Flow&#10; FY: 2016&#10; Period End Date: Oct-01-2016&#10; Filing Date: Nov-21-2018&#10; Period Type: Annual&#10; Value: 8,718.4, Currency: USD, Millions" w:history="1">
              <w:r w:rsidR="00CE45C0" w:rsidRPr="009F7B80">
                <w:rPr>
                  <w:rStyle w:val="Hyperlink"/>
                  <w:rFonts w:ascii="Verdana" w:hAnsi="Verdana"/>
                  <w:color w:val="2F5496" w:themeColor="accent1" w:themeShade="BF"/>
                  <w:sz w:val="15"/>
                  <w:szCs w:val="15"/>
                  <w:u w:val="none"/>
                </w:rPr>
                <w:t>8,718.4</w:t>
              </w:r>
            </w:hyperlink>
          </w:p>
        </w:tc>
        <w:tc>
          <w:tcPr>
            <w:tcW w:w="990" w:type="dxa"/>
            <w:tcBorders>
              <w:bottom w:val="single" w:sz="8" w:space="0" w:color="000000"/>
              <w:right w:val="single" w:sz="8" w:space="0" w:color="000000"/>
            </w:tcBorders>
            <w:shd w:val="clear" w:color="auto" w:fill="FFFFFF"/>
            <w:vAlign w:val="bottom"/>
          </w:tcPr>
          <w:p w14:paraId="133861C7" w14:textId="3A7C32C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8" w:tooltip="Unlevered Free Cash Flow&#10; FY: 2017&#10; Period End Date: Sep-30-2017&#10; Filing Date: Nov-21-2018&#10; Period Type: Annual&#10; Value: 9,017.5, Currency: USD, Millions" w:history="1">
              <w:r w:rsidR="00CE45C0" w:rsidRPr="009F7B80">
                <w:rPr>
                  <w:rStyle w:val="Hyperlink"/>
                  <w:rFonts w:ascii="Verdana" w:hAnsi="Verdana"/>
                  <w:color w:val="2F5496" w:themeColor="accent1" w:themeShade="BF"/>
                  <w:sz w:val="15"/>
                  <w:szCs w:val="15"/>
                  <w:u w:val="none"/>
                </w:rPr>
                <w:t>9,017.5</w:t>
              </w:r>
            </w:hyperlink>
          </w:p>
        </w:tc>
        <w:tc>
          <w:tcPr>
            <w:tcW w:w="900" w:type="dxa"/>
            <w:tcBorders>
              <w:bottom w:val="single" w:sz="8" w:space="0" w:color="000000"/>
              <w:right w:val="single" w:sz="8" w:space="0" w:color="000000"/>
            </w:tcBorders>
            <w:shd w:val="clear" w:color="auto" w:fill="FFFFFF"/>
            <w:vAlign w:val="bottom"/>
          </w:tcPr>
          <w:p w14:paraId="750BD340" w14:textId="45FE5879" w:rsidR="00CE45C0" w:rsidRPr="009F7B80" w:rsidRDefault="00D222D1" w:rsidP="00CE45C0">
            <w:pPr>
              <w:autoSpaceDE w:val="0"/>
              <w:autoSpaceDN w:val="0"/>
              <w:adjustRightInd w:val="0"/>
              <w:jc w:val="right"/>
              <w:rPr>
                <w:rFonts w:ascii="Arial" w:eastAsiaTheme="minorEastAsia" w:hAnsi="Arial" w:cs="Arial"/>
                <w:color w:val="2F5496" w:themeColor="accent1" w:themeShade="BF"/>
                <w:sz w:val="16"/>
                <w:szCs w:val="16"/>
                <w:lang w:eastAsia="zh-CN"/>
              </w:rPr>
            </w:pPr>
            <w:hyperlink r:id="rId109" w:tooltip="Unlevered Free Cash Flow&#10; FY: 2018&#10; Period End Date: Sep-29-2018&#10; Filing Date: Nov-21-2018&#10; Period Type: Annual&#10; Value: 8,056.1, Currency: USD, Millions" w:history="1">
              <w:r w:rsidR="00CE45C0" w:rsidRPr="009F7B80">
                <w:rPr>
                  <w:rStyle w:val="Hyperlink"/>
                  <w:rFonts w:ascii="Verdana" w:hAnsi="Verdana"/>
                  <w:color w:val="2F5496" w:themeColor="accent1" w:themeShade="BF"/>
                  <w:sz w:val="15"/>
                  <w:szCs w:val="15"/>
                  <w:u w:val="none"/>
                </w:rPr>
                <w:t>8,056.1</w:t>
              </w:r>
            </w:hyperlink>
          </w:p>
        </w:tc>
      </w:tr>
    </w:tbl>
    <w:p w14:paraId="42E33025" w14:textId="119DC5FC" w:rsidR="00D01D00" w:rsidRPr="00C140B9" w:rsidRDefault="00D01D00" w:rsidP="002C4261">
      <w:pPr>
        <w:rPr>
          <w:rFonts w:ascii="Arial" w:hAnsi="Arial" w:cs="Arial"/>
          <w:noProof/>
          <w:sz w:val="22"/>
          <w:szCs w:val="22"/>
        </w:rPr>
      </w:pPr>
    </w:p>
    <w:p w14:paraId="3D15FFFD" w14:textId="59BFC809" w:rsidR="00D01D00" w:rsidRPr="00C140B9" w:rsidRDefault="00035F03" w:rsidP="002C4261">
      <w:pPr>
        <w:rPr>
          <w:rFonts w:ascii="Arial" w:hAnsi="Arial" w:cs="Arial"/>
          <w:noProof/>
          <w:sz w:val="22"/>
          <w:szCs w:val="22"/>
        </w:rPr>
      </w:pPr>
      <w:r>
        <w:rPr>
          <w:noProof/>
        </w:rPr>
        <w:drawing>
          <wp:anchor distT="0" distB="0" distL="114300" distR="114300" simplePos="0" relativeHeight="251760640" behindDoc="0" locked="0" layoutInCell="1" allowOverlap="1" wp14:anchorId="2559E006" wp14:editId="491BA5E3">
            <wp:simplePos x="0" y="0"/>
            <wp:positionH relativeFrom="margin">
              <wp:posOffset>5638800</wp:posOffset>
            </wp:positionH>
            <wp:positionV relativeFrom="paragraph">
              <wp:posOffset>113665</wp:posOffset>
            </wp:positionV>
            <wp:extent cx="1371600" cy="19392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371600" cy="1939290"/>
                    </a:xfrm>
                    <a:prstGeom prst="rect">
                      <a:avLst/>
                    </a:prstGeom>
                  </pic:spPr>
                </pic:pic>
              </a:graphicData>
            </a:graphic>
            <wp14:sizeRelH relativeFrom="margin">
              <wp14:pctWidth>0</wp14:pctWidth>
            </wp14:sizeRelH>
            <wp14:sizeRelV relativeFrom="margin">
              <wp14:pctHeight>0</wp14:pctHeight>
            </wp14:sizeRelV>
          </wp:anchor>
        </w:drawing>
      </w:r>
    </w:p>
    <w:p w14:paraId="3590F9D6" w14:textId="48496D42" w:rsidR="00564DC6" w:rsidRPr="00C140B9" w:rsidRDefault="00793C85" w:rsidP="006A4E30">
      <w:pPr>
        <w:jc w:val="both"/>
        <w:rPr>
          <w:rFonts w:ascii="Arial" w:hAnsi="Arial" w:cs="Arial"/>
          <w:noProof/>
          <w:sz w:val="22"/>
          <w:szCs w:val="22"/>
        </w:rPr>
      </w:pPr>
      <w:r>
        <w:rPr>
          <w:noProof/>
        </w:rPr>
        <w:drawing>
          <wp:anchor distT="0" distB="0" distL="114300" distR="114300" simplePos="0" relativeHeight="251761664" behindDoc="0" locked="0" layoutInCell="1" allowOverlap="1" wp14:anchorId="54D50E41" wp14:editId="04EEA08E">
            <wp:simplePos x="0" y="0"/>
            <wp:positionH relativeFrom="column">
              <wp:posOffset>2705100</wp:posOffset>
            </wp:positionH>
            <wp:positionV relativeFrom="paragraph">
              <wp:posOffset>8890</wp:posOffset>
            </wp:positionV>
            <wp:extent cx="2800350" cy="124269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800350" cy="1242695"/>
                    </a:xfrm>
                    <a:prstGeom prst="rect">
                      <a:avLst/>
                    </a:prstGeom>
                  </pic:spPr>
                </pic:pic>
              </a:graphicData>
            </a:graphic>
          </wp:anchor>
        </w:drawing>
      </w:r>
      <w:r w:rsidR="00C140B9" w:rsidRPr="00C140B9">
        <w:rPr>
          <w:rFonts w:ascii="Arial" w:hAnsi="Arial" w:cs="Arial"/>
          <w:noProof/>
          <w:sz w:val="22"/>
          <w:szCs w:val="22"/>
        </w:rPr>
        <w:t>Using the Discounted Cash Flow (DCF) model</w:t>
      </w:r>
      <w:r w:rsidR="00C140B9">
        <w:rPr>
          <w:rFonts w:ascii="Arial" w:hAnsi="Arial" w:cs="Arial"/>
          <w:noProof/>
          <w:sz w:val="22"/>
          <w:szCs w:val="22"/>
        </w:rPr>
        <w:t>, as shown in Appendix C</w:t>
      </w:r>
      <w:r w:rsidR="00564DC6">
        <w:rPr>
          <w:rFonts w:ascii="Arial" w:hAnsi="Arial" w:cs="Arial"/>
          <w:noProof/>
          <w:sz w:val="22"/>
          <w:szCs w:val="22"/>
        </w:rPr>
        <w:t>, we come up with an intrinsic value of $165.93</w:t>
      </w:r>
      <w:r w:rsidR="006A4E30">
        <w:rPr>
          <w:rFonts w:ascii="Arial" w:hAnsi="Arial" w:cs="Arial"/>
          <w:noProof/>
          <w:sz w:val="22"/>
          <w:szCs w:val="22"/>
        </w:rPr>
        <w:t xml:space="preserve"> using a terminal rate of 3</w:t>
      </w:r>
      <w:r w:rsidR="00035F03">
        <w:rPr>
          <w:rFonts w:ascii="Arial" w:hAnsi="Arial" w:cs="Arial"/>
          <w:noProof/>
          <w:sz w:val="22"/>
          <w:szCs w:val="22"/>
        </w:rPr>
        <w:t>.25</w:t>
      </w:r>
      <w:r w:rsidR="006A4E30">
        <w:rPr>
          <w:rFonts w:ascii="Arial" w:hAnsi="Arial" w:cs="Arial"/>
          <w:noProof/>
          <w:sz w:val="22"/>
          <w:szCs w:val="22"/>
        </w:rPr>
        <w:t>% and a WACC of 6% as calculated</w:t>
      </w:r>
      <w:r w:rsidR="006A4E30" w:rsidRPr="006A4E30">
        <w:rPr>
          <w:rFonts w:ascii="Arial" w:hAnsi="Arial" w:cs="Arial"/>
          <w:noProof/>
          <w:sz w:val="22"/>
          <w:szCs w:val="22"/>
        </w:rPr>
        <w:t xml:space="preserve"> at </w:t>
      </w:r>
      <w:r w:rsidR="006A4E30">
        <w:rPr>
          <w:rFonts w:ascii="Arial" w:hAnsi="Arial" w:cs="Arial"/>
          <w:noProof/>
          <w:sz w:val="22"/>
          <w:szCs w:val="22"/>
        </w:rPr>
        <w:t xml:space="preserve">right.  Based on the share price prior to our investment decision, we were comfortable that there was a significant margin of safety in our stock selection </w:t>
      </w:r>
      <w:r>
        <w:rPr>
          <w:rFonts w:ascii="Arial" w:hAnsi="Arial" w:cs="Arial"/>
          <w:noProof/>
          <w:sz w:val="22"/>
          <w:szCs w:val="22"/>
        </w:rPr>
        <w:t>so downside risk</w:t>
      </w:r>
      <w:r w:rsidR="006A4E30">
        <w:rPr>
          <w:rFonts w:ascii="Arial" w:hAnsi="Arial" w:cs="Arial"/>
          <w:noProof/>
          <w:sz w:val="22"/>
          <w:szCs w:val="22"/>
        </w:rPr>
        <w:t xml:space="preserve"> was </w:t>
      </w:r>
      <w:r>
        <w:rPr>
          <w:rFonts w:ascii="Arial" w:hAnsi="Arial" w:cs="Arial"/>
          <w:noProof/>
          <w:sz w:val="22"/>
          <w:szCs w:val="22"/>
        </w:rPr>
        <w:t xml:space="preserve">greatly </w:t>
      </w:r>
      <w:r w:rsidR="006A4E30">
        <w:rPr>
          <w:rFonts w:ascii="Arial" w:hAnsi="Arial" w:cs="Arial"/>
          <w:noProof/>
          <w:sz w:val="22"/>
          <w:szCs w:val="22"/>
        </w:rPr>
        <w:t>reduced.</w:t>
      </w:r>
      <w:r w:rsidR="00035F03">
        <w:rPr>
          <w:rFonts w:ascii="Arial" w:hAnsi="Arial" w:cs="Arial"/>
          <w:noProof/>
          <w:sz w:val="22"/>
          <w:szCs w:val="22"/>
        </w:rPr>
        <w:t xml:space="preserve">  Additionally, we did a sensitivity analysis, see Appendix E, where we changed our assumptions on the WACC and terminal rate, going above and below our initial assumptions. Even using a lower terminal rate and a higher WACC, it still showed an intrinsic value of $124.43 which leaves a 14% margin of safety off of the share price at investment.</w:t>
      </w:r>
    </w:p>
    <w:p w14:paraId="14417D38" w14:textId="77777777" w:rsidR="006A4E30" w:rsidRPr="00C140B9" w:rsidRDefault="006A4E30" w:rsidP="002C4261">
      <w:pPr>
        <w:rPr>
          <w:rFonts w:ascii="Arial" w:hAnsi="Arial" w:cs="Arial"/>
          <w:noProof/>
          <w:sz w:val="22"/>
          <w:szCs w:val="22"/>
        </w:rPr>
      </w:pPr>
    </w:p>
    <w:p w14:paraId="7613130B" w14:textId="5CDF2213" w:rsidR="00B33934" w:rsidRPr="004967FE" w:rsidRDefault="004967FE" w:rsidP="004967FE">
      <w:pPr>
        <w:jc w:val="both"/>
        <w:rPr>
          <w:rFonts w:ascii="Arial" w:hAnsi="Arial" w:cs="Arial"/>
          <w:noProof/>
          <w:sz w:val="22"/>
          <w:szCs w:val="22"/>
        </w:rPr>
      </w:pPr>
      <w:r w:rsidRPr="006A4E30">
        <w:rPr>
          <w:rFonts w:ascii="Arial" w:hAnsi="Arial" w:cs="Arial"/>
          <w:noProof/>
          <w:sz w:val="22"/>
          <w:szCs w:val="22"/>
        </w:rPr>
        <w:drawing>
          <wp:anchor distT="0" distB="0" distL="114300" distR="114300" simplePos="0" relativeHeight="251758592" behindDoc="0" locked="0" layoutInCell="1" allowOverlap="1" wp14:anchorId="0B011A4F" wp14:editId="26253DEF">
            <wp:simplePos x="0" y="0"/>
            <wp:positionH relativeFrom="margin">
              <wp:align>right</wp:align>
            </wp:positionH>
            <wp:positionV relativeFrom="paragraph">
              <wp:posOffset>636270</wp:posOffset>
            </wp:positionV>
            <wp:extent cx="4265930" cy="1035050"/>
            <wp:effectExtent l="0" t="0" r="127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 Pricing Model - Implied PE.PNG"/>
                    <pic:cNvPicPr/>
                  </pic:nvPicPr>
                  <pic:blipFill>
                    <a:blip r:embed="rId112">
                      <a:extLst>
                        <a:ext uri="{28A0092B-C50C-407E-A947-70E740481C1C}">
                          <a14:useLocalDpi xmlns:a14="http://schemas.microsoft.com/office/drawing/2010/main" val="0"/>
                        </a:ext>
                      </a:extLst>
                    </a:blip>
                    <a:stretch>
                      <a:fillRect/>
                    </a:stretch>
                  </pic:blipFill>
                  <pic:spPr>
                    <a:xfrm>
                      <a:off x="0" y="0"/>
                      <a:ext cx="4265930" cy="1035050"/>
                    </a:xfrm>
                    <a:prstGeom prst="rect">
                      <a:avLst/>
                    </a:prstGeom>
                  </pic:spPr>
                </pic:pic>
              </a:graphicData>
            </a:graphic>
          </wp:anchor>
        </w:drawing>
      </w:r>
      <w:r w:rsidR="00B33934" w:rsidRPr="004967FE">
        <w:rPr>
          <w:rFonts w:ascii="Arial" w:hAnsi="Arial" w:cs="Arial"/>
          <w:noProof/>
          <w:sz w:val="22"/>
          <w:szCs w:val="22"/>
        </w:rPr>
        <w:t xml:space="preserve">Using the </w:t>
      </w:r>
      <w:r>
        <w:rPr>
          <w:rFonts w:ascii="Arial" w:hAnsi="Arial" w:cs="Arial"/>
          <w:noProof/>
          <w:sz w:val="22"/>
          <w:szCs w:val="22"/>
        </w:rPr>
        <w:t>C</w:t>
      </w:r>
      <w:r w:rsidR="00B33934" w:rsidRPr="004967FE">
        <w:rPr>
          <w:rFonts w:ascii="Arial" w:hAnsi="Arial" w:cs="Arial"/>
          <w:noProof/>
          <w:sz w:val="22"/>
          <w:szCs w:val="22"/>
        </w:rPr>
        <w:t xml:space="preserve">omparable </w:t>
      </w:r>
      <w:r>
        <w:rPr>
          <w:rFonts w:ascii="Arial" w:hAnsi="Arial" w:cs="Arial"/>
          <w:noProof/>
          <w:sz w:val="22"/>
          <w:szCs w:val="22"/>
        </w:rPr>
        <w:t>C</w:t>
      </w:r>
      <w:r w:rsidR="00B33934" w:rsidRPr="004967FE">
        <w:rPr>
          <w:rFonts w:ascii="Arial" w:hAnsi="Arial" w:cs="Arial"/>
          <w:noProof/>
          <w:sz w:val="22"/>
          <w:szCs w:val="22"/>
        </w:rPr>
        <w:t xml:space="preserve">ompanies </w:t>
      </w:r>
      <w:r>
        <w:rPr>
          <w:rFonts w:ascii="Arial" w:hAnsi="Arial" w:cs="Arial"/>
          <w:noProof/>
          <w:sz w:val="22"/>
          <w:szCs w:val="22"/>
        </w:rPr>
        <w:t>M</w:t>
      </w:r>
      <w:r w:rsidR="00B33934" w:rsidRPr="004967FE">
        <w:rPr>
          <w:rFonts w:ascii="Arial" w:hAnsi="Arial" w:cs="Arial"/>
          <w:noProof/>
          <w:sz w:val="22"/>
          <w:szCs w:val="22"/>
        </w:rPr>
        <w:t>odel, as shown in Appendix D, we see that the median P/E ratio is 13.4x</w:t>
      </w:r>
      <w:r w:rsidRPr="004967FE">
        <w:rPr>
          <w:rFonts w:ascii="Arial" w:hAnsi="Arial" w:cs="Arial"/>
          <w:noProof/>
          <w:sz w:val="22"/>
          <w:szCs w:val="22"/>
        </w:rPr>
        <w:t>.  If we apply this to Disney, it would give us an implied price of $118.55 or 8.8% upside to the stock price of $108.97 at time of investment decision. However, since Disney is really does not have other companies that it is truly comparable to, it made more sense to use it’s own historical P/E ratio to determine its implied stock price.  As can be seen in the graph, if we use Disney’s five year historical P/E of 18.67, we get an implied stock price of $156.08 or a 43.23% upside.</w:t>
      </w:r>
      <w:r w:rsidR="00B25E51">
        <w:rPr>
          <w:rFonts w:ascii="Arial" w:hAnsi="Arial" w:cs="Arial"/>
          <w:noProof/>
          <w:sz w:val="22"/>
          <w:szCs w:val="22"/>
        </w:rPr>
        <w:t xml:space="preserve"> This is also more in line with our DCF implied price of $16</w:t>
      </w:r>
      <w:r w:rsidR="006D262B">
        <w:rPr>
          <w:rFonts w:ascii="Arial" w:hAnsi="Arial" w:cs="Arial"/>
          <w:noProof/>
          <w:sz w:val="22"/>
          <w:szCs w:val="22"/>
        </w:rPr>
        <w:t>5</w:t>
      </w:r>
      <w:r w:rsidR="00B25E51">
        <w:rPr>
          <w:rFonts w:ascii="Arial" w:hAnsi="Arial" w:cs="Arial"/>
          <w:noProof/>
          <w:sz w:val="22"/>
          <w:szCs w:val="22"/>
        </w:rPr>
        <w:t>.9</w:t>
      </w:r>
      <w:r w:rsidR="006D262B">
        <w:rPr>
          <w:rFonts w:ascii="Arial" w:hAnsi="Arial" w:cs="Arial"/>
          <w:noProof/>
          <w:sz w:val="22"/>
          <w:szCs w:val="22"/>
        </w:rPr>
        <w:t>3</w:t>
      </w:r>
      <w:r w:rsidR="00B25E51">
        <w:rPr>
          <w:rFonts w:ascii="Arial" w:hAnsi="Arial" w:cs="Arial"/>
          <w:noProof/>
          <w:sz w:val="22"/>
          <w:szCs w:val="22"/>
        </w:rPr>
        <w:t>.</w:t>
      </w:r>
    </w:p>
    <w:p w14:paraId="488BB44A" w14:textId="77B518D3" w:rsidR="00887AEE" w:rsidRDefault="00887AEE" w:rsidP="002C4261"/>
    <w:p w14:paraId="067268CC" w14:textId="59ACDD86" w:rsidR="0006253F" w:rsidRDefault="0006253F">
      <w:pPr>
        <w:rPr>
          <w:rFonts w:ascii="Arial" w:hAnsi="Arial" w:cs="Arial"/>
          <w:sz w:val="22"/>
          <w:szCs w:val="22"/>
        </w:rPr>
      </w:pPr>
      <w:r>
        <w:rPr>
          <w:rFonts w:ascii="Arial" w:hAnsi="Arial" w:cs="Arial"/>
          <w:sz w:val="22"/>
          <w:szCs w:val="22"/>
        </w:rPr>
        <w:br w:type="page"/>
      </w:r>
    </w:p>
    <w:p w14:paraId="57BB42D5" w14:textId="77777777" w:rsidR="00502FC5" w:rsidRPr="0006253F" w:rsidRDefault="00502FC5" w:rsidP="007E14F1">
      <w:pPr>
        <w:spacing w:before="240"/>
        <w:rPr>
          <w:rFonts w:ascii="Arial" w:hAnsi="Arial" w:cs="Arial"/>
          <w:sz w:val="22"/>
          <w:szCs w:val="22"/>
        </w:rPr>
      </w:pPr>
    </w:p>
    <w:p w14:paraId="1922CBDA" w14:textId="100C1AE4" w:rsidR="00F810DD" w:rsidRPr="00FB0D64" w:rsidRDefault="00F810DD" w:rsidP="00F810DD">
      <w:pPr>
        <w:rPr>
          <w:rFonts w:ascii="Arial" w:hAnsi="Arial" w:cs="Arial"/>
          <w:b/>
          <w:noProof/>
          <w:color w:val="002060"/>
          <w:sz w:val="32"/>
          <w:szCs w:val="32"/>
        </w:rPr>
      </w:pPr>
      <w:r w:rsidRPr="00FB0D64">
        <w:rPr>
          <w:rFonts w:ascii="Arial" w:hAnsi="Arial" w:cs="Arial"/>
          <w:b/>
          <w:noProof/>
          <w:color w:val="002060"/>
          <w:sz w:val="32"/>
          <w:szCs w:val="32"/>
        </w:rPr>
        <w:t>Conclusion</w:t>
      </w:r>
    </w:p>
    <w:p w14:paraId="04396ABB" w14:textId="71F15F7A" w:rsidR="00502FC5" w:rsidRPr="00FB0D64" w:rsidRDefault="00F810DD" w:rsidP="00FB0D64">
      <w:pPr>
        <w:spacing w:before="240"/>
        <w:ind w:firstLine="720"/>
        <w:jc w:val="both"/>
        <w:rPr>
          <w:rFonts w:ascii="Arial" w:hAnsi="Arial" w:cs="Arial"/>
          <w:color w:val="auto"/>
          <w:sz w:val="22"/>
          <w:szCs w:val="22"/>
        </w:rPr>
      </w:pPr>
      <w:r w:rsidRPr="00FB0D64">
        <w:rPr>
          <w:rFonts w:ascii="Arial" w:hAnsi="Arial" w:cs="Arial"/>
          <w:noProof/>
          <w:color w:val="auto"/>
          <w:sz w:val="22"/>
          <w:szCs w:val="22"/>
        </w:rPr>
        <w:drawing>
          <wp:anchor distT="0" distB="0" distL="114300" distR="114300" simplePos="0" relativeHeight="251746304" behindDoc="1" locked="0" layoutInCell="1" allowOverlap="1" wp14:anchorId="63AC56D9" wp14:editId="0886691B">
            <wp:simplePos x="0" y="0"/>
            <wp:positionH relativeFrom="margin">
              <wp:align>right</wp:align>
            </wp:positionH>
            <wp:positionV relativeFrom="paragraph">
              <wp:posOffset>156210</wp:posOffset>
            </wp:positionV>
            <wp:extent cx="3608070" cy="2032000"/>
            <wp:effectExtent l="0" t="0" r="0" b="6350"/>
            <wp:wrapTight wrapText="bothSides">
              <wp:wrapPolygon edited="0">
                <wp:start x="0" y="0"/>
                <wp:lineTo x="0" y="21465"/>
                <wp:lineTo x="21440" y="21465"/>
                <wp:lineTo x="21440" y="0"/>
                <wp:lineTo x="0" y="0"/>
              </wp:wrapPolygon>
            </wp:wrapTight>
            <wp:docPr id="11" name="Picture 11" descr="https://image.slidesharecdn.com/bobiger-150118233015-conversion-gate02/95/ceo-to-cto-bob-iger-walt-disney-company-2015-1-638.jpg?cb=142162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lidesharecdn.com/bobiger-150118233015-conversion-gate02/95/ceo-to-cto-bob-iger-walt-disney-company-2015-1-638.jpg?cb=14216238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807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E86" w:rsidRPr="00FB0D64">
        <w:rPr>
          <w:rFonts w:ascii="Arial" w:hAnsi="Arial" w:cs="Arial"/>
          <w:color w:val="auto"/>
          <w:sz w:val="22"/>
          <w:szCs w:val="22"/>
        </w:rPr>
        <w:t>In conclusion, we believed</w:t>
      </w:r>
      <w:r w:rsidR="00FB0D64" w:rsidRPr="00FB0D64">
        <w:rPr>
          <w:rFonts w:ascii="Arial" w:hAnsi="Arial" w:cs="Arial"/>
          <w:color w:val="auto"/>
          <w:sz w:val="22"/>
          <w:szCs w:val="22"/>
        </w:rPr>
        <w:t>,</w:t>
      </w:r>
      <w:r w:rsidR="00BC6E86" w:rsidRPr="00FB0D64">
        <w:rPr>
          <w:rFonts w:ascii="Arial" w:hAnsi="Arial" w:cs="Arial"/>
          <w:color w:val="auto"/>
          <w:sz w:val="22"/>
          <w:szCs w:val="22"/>
        </w:rPr>
        <w:t xml:space="preserve"> </w:t>
      </w:r>
      <w:r w:rsidR="00FB0D64" w:rsidRPr="00FB0D64">
        <w:rPr>
          <w:rFonts w:ascii="Arial" w:hAnsi="Arial" w:cs="Arial"/>
          <w:color w:val="auto"/>
          <w:sz w:val="22"/>
          <w:szCs w:val="22"/>
        </w:rPr>
        <w:t xml:space="preserve">based on our thorough analysis, </w:t>
      </w:r>
      <w:r w:rsidR="00BC6E86" w:rsidRPr="00FB0D64">
        <w:rPr>
          <w:rFonts w:ascii="Arial" w:hAnsi="Arial" w:cs="Arial"/>
          <w:color w:val="auto"/>
          <w:sz w:val="22"/>
          <w:szCs w:val="22"/>
        </w:rPr>
        <w:t xml:space="preserve">that the three to five-year outlook for Disney stock was poised for substantial appreciation when we purchased </w:t>
      </w:r>
      <w:r w:rsidR="00FB0D64" w:rsidRPr="00FB0D64">
        <w:rPr>
          <w:rFonts w:ascii="Arial" w:hAnsi="Arial" w:cs="Arial"/>
          <w:color w:val="auto"/>
          <w:sz w:val="22"/>
          <w:szCs w:val="22"/>
        </w:rPr>
        <w:t>1,070 shares</w:t>
      </w:r>
      <w:r w:rsidR="00BC6E86" w:rsidRPr="00FB0D64">
        <w:rPr>
          <w:rFonts w:ascii="Arial" w:hAnsi="Arial" w:cs="Arial"/>
          <w:color w:val="auto"/>
          <w:sz w:val="22"/>
          <w:szCs w:val="22"/>
        </w:rPr>
        <w:t xml:space="preserve"> back on January 25, 2019.  We have already seen nearly a 20% increase in stock price since purchasing</w:t>
      </w:r>
      <w:r w:rsidR="00FB0D64" w:rsidRPr="00FB0D64">
        <w:rPr>
          <w:rFonts w:ascii="Arial" w:hAnsi="Arial" w:cs="Arial"/>
          <w:color w:val="auto"/>
          <w:sz w:val="22"/>
          <w:szCs w:val="22"/>
        </w:rPr>
        <w:t xml:space="preserve"> (up from $111 to $132)</w:t>
      </w:r>
      <w:r w:rsidR="00BC6E86" w:rsidRPr="00FB0D64">
        <w:rPr>
          <w:rFonts w:ascii="Arial" w:hAnsi="Arial" w:cs="Arial"/>
          <w:color w:val="auto"/>
          <w:sz w:val="22"/>
          <w:szCs w:val="22"/>
        </w:rPr>
        <w:t xml:space="preserve"> and believe there is continued upside potential based on the drivers mentioned previously.  </w:t>
      </w:r>
      <w:r w:rsidR="00FB0D64" w:rsidRPr="00FB0D64">
        <w:rPr>
          <w:rFonts w:ascii="Arial" w:hAnsi="Arial" w:cs="Arial"/>
          <w:color w:val="auto"/>
          <w:sz w:val="22"/>
          <w:szCs w:val="22"/>
        </w:rPr>
        <w:t>Assuming</w:t>
      </w:r>
      <w:r w:rsidR="00BC6E86" w:rsidRPr="00FB0D64">
        <w:rPr>
          <w:rFonts w:ascii="Arial" w:hAnsi="Arial" w:cs="Arial"/>
          <w:color w:val="auto"/>
          <w:sz w:val="22"/>
          <w:szCs w:val="22"/>
        </w:rPr>
        <w:t xml:space="preserve"> the company continues to heed the words of Bog Iger here, we are confident </w:t>
      </w:r>
      <w:r w:rsidR="00FB0D64" w:rsidRPr="00FB0D64">
        <w:rPr>
          <w:rFonts w:ascii="Arial" w:hAnsi="Arial" w:cs="Arial"/>
          <w:color w:val="auto"/>
          <w:sz w:val="22"/>
          <w:szCs w:val="22"/>
        </w:rPr>
        <w:t>that</w:t>
      </w:r>
      <w:r w:rsidR="00BC6E86" w:rsidRPr="00FB0D64">
        <w:rPr>
          <w:rFonts w:ascii="Arial" w:hAnsi="Arial" w:cs="Arial"/>
          <w:color w:val="auto"/>
          <w:sz w:val="22"/>
          <w:szCs w:val="22"/>
        </w:rPr>
        <w:t xml:space="preserve"> our investment will reach </w:t>
      </w:r>
      <w:r w:rsidR="00FB0D64" w:rsidRPr="00FB0D64">
        <w:rPr>
          <w:rFonts w:ascii="Arial" w:hAnsi="Arial" w:cs="Arial"/>
          <w:color w:val="auto"/>
          <w:sz w:val="22"/>
          <w:szCs w:val="22"/>
        </w:rPr>
        <w:t>or exceed our price target of $156 within the next year</w:t>
      </w:r>
      <w:r w:rsidR="00BC6E86" w:rsidRPr="00FB0D64">
        <w:rPr>
          <w:rFonts w:ascii="Arial" w:hAnsi="Arial" w:cs="Arial"/>
          <w:color w:val="auto"/>
          <w:sz w:val="22"/>
          <w:szCs w:val="22"/>
        </w:rPr>
        <w:t>.</w:t>
      </w:r>
    </w:p>
    <w:p w14:paraId="4C7516AE" w14:textId="647EF6BA" w:rsidR="00502FC5" w:rsidRDefault="00502FC5">
      <w:r>
        <w:br w:type="page"/>
      </w:r>
    </w:p>
    <w:p w14:paraId="0B99622D" w14:textId="77777777" w:rsidR="003A5F3C" w:rsidRDefault="003A5F3C">
      <w:pPr>
        <w:rPr>
          <w:rFonts w:ascii="Arial" w:hAnsi="Arial" w:cs="Arial"/>
          <w:b/>
          <w:szCs w:val="24"/>
        </w:rPr>
      </w:pPr>
    </w:p>
    <w:p w14:paraId="6A83F39B" w14:textId="345195A0" w:rsidR="001B0712" w:rsidRPr="004932BB" w:rsidRDefault="001B0712">
      <w:pPr>
        <w:rPr>
          <w:rFonts w:ascii="Arial" w:hAnsi="Arial" w:cs="Arial"/>
          <w:b/>
          <w:color w:val="002060"/>
          <w:szCs w:val="24"/>
        </w:rPr>
      </w:pPr>
      <w:r w:rsidRPr="004932BB">
        <w:rPr>
          <w:rFonts w:ascii="Arial" w:hAnsi="Arial" w:cs="Arial"/>
          <w:b/>
          <w:color w:val="002060"/>
          <w:szCs w:val="24"/>
        </w:rPr>
        <w:t>Appendix A:</w:t>
      </w:r>
      <w:r w:rsidR="003A5F3C" w:rsidRPr="004932BB">
        <w:rPr>
          <w:rFonts w:ascii="Arial" w:hAnsi="Arial" w:cs="Arial"/>
          <w:b/>
          <w:color w:val="002060"/>
          <w:szCs w:val="24"/>
        </w:rPr>
        <w:t xml:space="preserve"> Quarterly Financials - Balance Sheet</w:t>
      </w:r>
    </w:p>
    <w:p w14:paraId="5F98CD5B" w14:textId="77777777" w:rsidR="001B0712" w:rsidRDefault="001B0712">
      <w:pPr>
        <w:rPr>
          <w:rFonts w:ascii="Arial" w:hAnsi="Arial" w:cs="Arial"/>
          <w:sz w:val="18"/>
          <w:szCs w:val="18"/>
        </w:rPr>
      </w:pPr>
    </w:p>
    <w:p w14:paraId="7BE87262" w14:textId="77777777" w:rsidR="001B0712" w:rsidRDefault="00F5218C" w:rsidP="003A5F3C">
      <w:pPr>
        <w:jc w:val="center"/>
        <w:rPr>
          <w:rFonts w:ascii="Arial" w:hAnsi="Arial" w:cs="Arial"/>
          <w:sz w:val="18"/>
          <w:szCs w:val="18"/>
        </w:rPr>
      </w:pPr>
      <w:r>
        <w:rPr>
          <w:noProof/>
        </w:rPr>
        <w:drawing>
          <wp:inline distT="0" distB="0" distL="0" distR="0" wp14:anchorId="4CA0B98E" wp14:editId="36E54160">
            <wp:extent cx="6445863" cy="8870950"/>
            <wp:effectExtent l="0" t="0" r="0"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51783" cy="8879097"/>
                    </a:xfrm>
                    <a:prstGeom prst="rect">
                      <a:avLst/>
                    </a:prstGeom>
                  </pic:spPr>
                </pic:pic>
              </a:graphicData>
            </a:graphic>
          </wp:inline>
        </w:drawing>
      </w:r>
    </w:p>
    <w:p w14:paraId="37C01BD7" w14:textId="77777777" w:rsidR="003A5F3C" w:rsidRDefault="003A5F3C" w:rsidP="001B0712">
      <w:pPr>
        <w:rPr>
          <w:rFonts w:ascii="Arial" w:hAnsi="Arial" w:cs="Arial"/>
          <w:b/>
          <w:szCs w:val="24"/>
        </w:rPr>
      </w:pPr>
    </w:p>
    <w:p w14:paraId="1F790B58" w14:textId="48BE2B02" w:rsidR="001B0712" w:rsidRPr="004932BB" w:rsidRDefault="001B0712" w:rsidP="001B0712">
      <w:pPr>
        <w:rPr>
          <w:rFonts w:ascii="Arial" w:hAnsi="Arial" w:cs="Arial"/>
          <w:b/>
          <w:color w:val="002060"/>
          <w:szCs w:val="24"/>
        </w:rPr>
      </w:pPr>
      <w:r w:rsidRPr="004932BB">
        <w:rPr>
          <w:rFonts w:ascii="Arial" w:hAnsi="Arial" w:cs="Arial"/>
          <w:b/>
          <w:color w:val="002060"/>
          <w:szCs w:val="24"/>
        </w:rPr>
        <w:t>Appendix B:</w:t>
      </w:r>
      <w:r w:rsidR="003A5F3C" w:rsidRPr="004932BB">
        <w:rPr>
          <w:rFonts w:ascii="Arial" w:hAnsi="Arial" w:cs="Arial"/>
          <w:b/>
          <w:color w:val="002060"/>
          <w:szCs w:val="24"/>
        </w:rPr>
        <w:t xml:space="preserve"> Quarterly Financials -  Income Statement &amp; Cash Flow Statement</w:t>
      </w:r>
    </w:p>
    <w:p w14:paraId="5CBAEB1A" w14:textId="77777777" w:rsidR="001B0712" w:rsidRPr="001B0712" w:rsidRDefault="001B0712" w:rsidP="001B0712">
      <w:pPr>
        <w:rPr>
          <w:rFonts w:ascii="Arial" w:hAnsi="Arial" w:cs="Arial"/>
          <w:b/>
          <w:szCs w:val="24"/>
        </w:rPr>
      </w:pPr>
    </w:p>
    <w:p w14:paraId="1A7478FB" w14:textId="32354B9D" w:rsidR="00F5218C" w:rsidRDefault="00F5218C" w:rsidP="003A5F3C">
      <w:pPr>
        <w:jc w:val="center"/>
        <w:rPr>
          <w:rFonts w:ascii="Arial" w:hAnsi="Arial" w:cs="Arial"/>
          <w:sz w:val="18"/>
          <w:szCs w:val="18"/>
        </w:rPr>
      </w:pPr>
      <w:r>
        <w:rPr>
          <w:noProof/>
        </w:rPr>
        <w:drawing>
          <wp:inline distT="0" distB="0" distL="0" distR="0" wp14:anchorId="5EA53F9D" wp14:editId="2895117F">
            <wp:extent cx="6451600" cy="8870949"/>
            <wp:effectExtent l="0" t="0" r="6350" b="698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60282" cy="8882887"/>
                    </a:xfrm>
                    <a:prstGeom prst="rect">
                      <a:avLst/>
                    </a:prstGeom>
                  </pic:spPr>
                </pic:pic>
              </a:graphicData>
            </a:graphic>
          </wp:inline>
        </w:drawing>
      </w:r>
    </w:p>
    <w:p w14:paraId="5E9B7447" w14:textId="49CD299D" w:rsidR="003A5F3C" w:rsidRPr="003A5F3C" w:rsidRDefault="003A5F3C" w:rsidP="003A5F3C">
      <w:pPr>
        <w:rPr>
          <w:rFonts w:ascii="Arial" w:hAnsi="Arial" w:cs="Arial"/>
          <w:szCs w:val="24"/>
        </w:rPr>
      </w:pPr>
    </w:p>
    <w:p w14:paraId="0CC8C0BB" w14:textId="63117998" w:rsidR="003A5F3C" w:rsidRPr="004932BB" w:rsidRDefault="003A5F3C" w:rsidP="003A5F3C">
      <w:pPr>
        <w:rPr>
          <w:rFonts w:ascii="Arial" w:hAnsi="Arial" w:cs="Arial"/>
          <w:b/>
          <w:color w:val="002060"/>
          <w:szCs w:val="24"/>
        </w:rPr>
      </w:pPr>
      <w:r w:rsidRPr="004932BB">
        <w:rPr>
          <w:rFonts w:ascii="Arial" w:hAnsi="Arial" w:cs="Arial"/>
          <w:b/>
          <w:color w:val="002060"/>
          <w:szCs w:val="24"/>
        </w:rPr>
        <w:t>Appendix C: Discounted Cash Flow Model</w:t>
      </w:r>
    </w:p>
    <w:p w14:paraId="0C967FDB" w14:textId="0607E74C" w:rsidR="003A5F3C" w:rsidRDefault="003A5F3C" w:rsidP="003A5F3C">
      <w:pPr>
        <w:autoSpaceDE w:val="0"/>
        <w:autoSpaceDN w:val="0"/>
        <w:adjustRightInd w:val="0"/>
        <w:rPr>
          <w:rFonts w:ascii="Arial" w:hAnsi="Arial" w:cs="Arial"/>
          <w:szCs w:val="24"/>
        </w:rPr>
      </w:pPr>
    </w:p>
    <w:tbl>
      <w:tblPr>
        <w:tblW w:w="8636" w:type="dxa"/>
        <w:tblLook w:val="04A0" w:firstRow="1" w:lastRow="0" w:firstColumn="1" w:lastColumn="0" w:noHBand="0" w:noVBand="1"/>
      </w:tblPr>
      <w:tblGrid>
        <w:gridCol w:w="2801"/>
        <w:gridCol w:w="1167"/>
        <w:gridCol w:w="1167"/>
        <w:gridCol w:w="1167"/>
        <w:gridCol w:w="1167"/>
        <w:gridCol w:w="1167"/>
      </w:tblGrid>
      <w:tr w:rsidR="006D262B" w:rsidRPr="006D262B" w14:paraId="60A51599" w14:textId="77777777" w:rsidTr="00F53827">
        <w:trPr>
          <w:trHeight w:val="246"/>
        </w:trPr>
        <w:tc>
          <w:tcPr>
            <w:tcW w:w="2801" w:type="dxa"/>
            <w:tcBorders>
              <w:top w:val="single" w:sz="8" w:space="0" w:color="auto"/>
              <w:left w:val="single" w:sz="8" w:space="0" w:color="auto"/>
              <w:bottom w:val="nil"/>
              <w:right w:val="nil"/>
            </w:tcBorders>
            <w:shd w:val="clear" w:color="000000" w:fill="B4C6E7"/>
            <w:noWrap/>
            <w:vAlign w:val="bottom"/>
            <w:hideMark/>
          </w:tcPr>
          <w:p w14:paraId="00AF1183" w14:textId="77777777" w:rsidR="006D262B" w:rsidRPr="006D262B" w:rsidRDefault="006D262B" w:rsidP="006D262B">
            <w:pPr>
              <w:rPr>
                <w:rFonts w:ascii="Times New Roman" w:hAnsi="Times New Roman"/>
                <w:b/>
                <w:bCs/>
                <w:szCs w:val="24"/>
              </w:rPr>
            </w:pPr>
            <w:r w:rsidRPr="006D262B">
              <w:rPr>
                <w:rFonts w:ascii="Times New Roman" w:hAnsi="Times New Roman"/>
                <w:b/>
                <w:bCs/>
                <w:szCs w:val="24"/>
              </w:rPr>
              <w:t>Disney (NYSE:DIS)</w:t>
            </w:r>
          </w:p>
        </w:tc>
        <w:tc>
          <w:tcPr>
            <w:tcW w:w="1167" w:type="dxa"/>
            <w:tcBorders>
              <w:top w:val="single" w:sz="8" w:space="0" w:color="auto"/>
              <w:left w:val="nil"/>
              <w:bottom w:val="nil"/>
              <w:right w:val="nil"/>
            </w:tcBorders>
            <w:shd w:val="clear" w:color="auto" w:fill="auto"/>
            <w:noWrap/>
            <w:vAlign w:val="bottom"/>
            <w:hideMark/>
          </w:tcPr>
          <w:p w14:paraId="573F80B7"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single" w:sz="8" w:space="0" w:color="auto"/>
              <w:left w:val="nil"/>
              <w:bottom w:val="nil"/>
              <w:right w:val="nil"/>
            </w:tcBorders>
            <w:shd w:val="clear" w:color="auto" w:fill="auto"/>
            <w:noWrap/>
            <w:vAlign w:val="bottom"/>
            <w:hideMark/>
          </w:tcPr>
          <w:p w14:paraId="3A39DA2D"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single" w:sz="8" w:space="0" w:color="auto"/>
              <w:left w:val="nil"/>
              <w:bottom w:val="nil"/>
              <w:right w:val="nil"/>
            </w:tcBorders>
            <w:shd w:val="clear" w:color="auto" w:fill="auto"/>
            <w:noWrap/>
            <w:vAlign w:val="bottom"/>
            <w:hideMark/>
          </w:tcPr>
          <w:p w14:paraId="5873D2A7"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single" w:sz="8" w:space="0" w:color="auto"/>
              <w:left w:val="nil"/>
              <w:bottom w:val="nil"/>
              <w:right w:val="nil"/>
            </w:tcBorders>
            <w:shd w:val="clear" w:color="auto" w:fill="auto"/>
            <w:noWrap/>
            <w:vAlign w:val="bottom"/>
            <w:hideMark/>
          </w:tcPr>
          <w:p w14:paraId="6E65367E"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single" w:sz="8" w:space="0" w:color="auto"/>
              <w:left w:val="nil"/>
              <w:bottom w:val="nil"/>
              <w:right w:val="single" w:sz="8" w:space="0" w:color="auto"/>
            </w:tcBorders>
            <w:shd w:val="clear" w:color="auto" w:fill="auto"/>
            <w:noWrap/>
            <w:vAlign w:val="bottom"/>
            <w:hideMark/>
          </w:tcPr>
          <w:p w14:paraId="3BE87A35"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r>
      <w:tr w:rsidR="00F53827" w:rsidRPr="006D262B" w14:paraId="4D566C10"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383A8053"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($MM)</w:t>
            </w:r>
          </w:p>
        </w:tc>
        <w:tc>
          <w:tcPr>
            <w:tcW w:w="1167" w:type="dxa"/>
            <w:tcBorders>
              <w:top w:val="nil"/>
              <w:left w:val="nil"/>
              <w:bottom w:val="nil"/>
              <w:right w:val="nil"/>
            </w:tcBorders>
            <w:shd w:val="clear" w:color="000000" w:fill="D9E1F2"/>
            <w:noWrap/>
            <w:vAlign w:val="bottom"/>
            <w:hideMark/>
          </w:tcPr>
          <w:p w14:paraId="3759BFA7" w14:textId="77777777" w:rsidR="006D262B" w:rsidRPr="006D262B" w:rsidRDefault="006D262B" w:rsidP="006D262B">
            <w:pPr>
              <w:jc w:val="center"/>
              <w:rPr>
                <w:rFonts w:ascii="Times New Roman" w:hAnsi="Times New Roman"/>
                <w:b/>
                <w:bCs/>
                <w:color w:val="auto"/>
                <w:szCs w:val="24"/>
                <w:u w:val="single"/>
              </w:rPr>
            </w:pPr>
            <w:r w:rsidRPr="006D262B">
              <w:rPr>
                <w:rFonts w:ascii="Times New Roman" w:hAnsi="Times New Roman"/>
                <w:b/>
                <w:bCs/>
                <w:color w:val="auto"/>
                <w:szCs w:val="24"/>
                <w:u w:val="single"/>
              </w:rPr>
              <w:t>2014</w:t>
            </w:r>
          </w:p>
        </w:tc>
        <w:tc>
          <w:tcPr>
            <w:tcW w:w="1167" w:type="dxa"/>
            <w:tcBorders>
              <w:top w:val="nil"/>
              <w:left w:val="nil"/>
              <w:bottom w:val="nil"/>
              <w:right w:val="nil"/>
            </w:tcBorders>
            <w:shd w:val="clear" w:color="000000" w:fill="D9E1F2"/>
            <w:noWrap/>
            <w:vAlign w:val="bottom"/>
            <w:hideMark/>
          </w:tcPr>
          <w:p w14:paraId="091A38CC" w14:textId="77777777" w:rsidR="006D262B" w:rsidRPr="006D262B" w:rsidRDefault="006D262B" w:rsidP="006D262B">
            <w:pPr>
              <w:jc w:val="center"/>
              <w:rPr>
                <w:rFonts w:ascii="Times New Roman" w:hAnsi="Times New Roman"/>
                <w:b/>
                <w:bCs/>
                <w:color w:val="auto"/>
                <w:szCs w:val="24"/>
                <w:u w:val="single"/>
              </w:rPr>
            </w:pPr>
            <w:r w:rsidRPr="006D262B">
              <w:rPr>
                <w:rFonts w:ascii="Times New Roman" w:hAnsi="Times New Roman"/>
                <w:b/>
                <w:bCs/>
                <w:color w:val="auto"/>
                <w:szCs w:val="24"/>
                <w:u w:val="single"/>
              </w:rPr>
              <w:t>2015</w:t>
            </w:r>
          </w:p>
        </w:tc>
        <w:tc>
          <w:tcPr>
            <w:tcW w:w="1167" w:type="dxa"/>
            <w:tcBorders>
              <w:top w:val="nil"/>
              <w:left w:val="nil"/>
              <w:bottom w:val="nil"/>
              <w:right w:val="nil"/>
            </w:tcBorders>
            <w:shd w:val="clear" w:color="000000" w:fill="D9E1F2"/>
            <w:noWrap/>
            <w:vAlign w:val="bottom"/>
            <w:hideMark/>
          </w:tcPr>
          <w:p w14:paraId="4E019664" w14:textId="77777777" w:rsidR="006D262B" w:rsidRPr="006D262B" w:rsidRDefault="006D262B" w:rsidP="006D262B">
            <w:pPr>
              <w:jc w:val="center"/>
              <w:rPr>
                <w:rFonts w:ascii="Times New Roman" w:hAnsi="Times New Roman"/>
                <w:b/>
                <w:bCs/>
                <w:color w:val="auto"/>
                <w:szCs w:val="24"/>
                <w:u w:val="single"/>
              </w:rPr>
            </w:pPr>
            <w:r w:rsidRPr="006D262B">
              <w:rPr>
                <w:rFonts w:ascii="Times New Roman" w:hAnsi="Times New Roman"/>
                <w:b/>
                <w:bCs/>
                <w:color w:val="auto"/>
                <w:szCs w:val="24"/>
                <w:u w:val="single"/>
              </w:rPr>
              <w:t>2016</w:t>
            </w:r>
          </w:p>
        </w:tc>
        <w:tc>
          <w:tcPr>
            <w:tcW w:w="1167" w:type="dxa"/>
            <w:tcBorders>
              <w:top w:val="nil"/>
              <w:left w:val="nil"/>
              <w:bottom w:val="nil"/>
              <w:right w:val="nil"/>
            </w:tcBorders>
            <w:shd w:val="clear" w:color="000000" w:fill="D9E1F2"/>
            <w:noWrap/>
            <w:vAlign w:val="bottom"/>
            <w:hideMark/>
          </w:tcPr>
          <w:p w14:paraId="2DF36195" w14:textId="77777777" w:rsidR="006D262B" w:rsidRPr="006D262B" w:rsidRDefault="006D262B" w:rsidP="006D262B">
            <w:pPr>
              <w:jc w:val="center"/>
              <w:rPr>
                <w:rFonts w:ascii="Times New Roman" w:hAnsi="Times New Roman"/>
                <w:b/>
                <w:bCs/>
                <w:color w:val="auto"/>
                <w:szCs w:val="24"/>
                <w:u w:val="single"/>
              </w:rPr>
            </w:pPr>
            <w:r w:rsidRPr="006D262B">
              <w:rPr>
                <w:rFonts w:ascii="Times New Roman" w:hAnsi="Times New Roman"/>
                <w:b/>
                <w:bCs/>
                <w:color w:val="auto"/>
                <w:szCs w:val="24"/>
                <w:u w:val="single"/>
              </w:rPr>
              <w:t>2017</w:t>
            </w:r>
          </w:p>
        </w:tc>
        <w:tc>
          <w:tcPr>
            <w:tcW w:w="1167" w:type="dxa"/>
            <w:tcBorders>
              <w:top w:val="nil"/>
              <w:left w:val="nil"/>
              <w:bottom w:val="nil"/>
              <w:right w:val="single" w:sz="8" w:space="0" w:color="auto"/>
            </w:tcBorders>
            <w:shd w:val="clear" w:color="000000" w:fill="D9E1F2"/>
            <w:noWrap/>
            <w:vAlign w:val="bottom"/>
            <w:hideMark/>
          </w:tcPr>
          <w:p w14:paraId="6CF35024" w14:textId="77777777" w:rsidR="006D262B" w:rsidRPr="006D262B" w:rsidRDefault="006D262B" w:rsidP="006D262B">
            <w:pPr>
              <w:jc w:val="center"/>
              <w:rPr>
                <w:rFonts w:ascii="Times New Roman" w:hAnsi="Times New Roman"/>
                <w:b/>
                <w:bCs/>
                <w:color w:val="auto"/>
                <w:szCs w:val="24"/>
                <w:u w:val="single"/>
              </w:rPr>
            </w:pPr>
            <w:r w:rsidRPr="006D262B">
              <w:rPr>
                <w:rFonts w:ascii="Times New Roman" w:hAnsi="Times New Roman"/>
                <w:b/>
                <w:bCs/>
                <w:color w:val="auto"/>
                <w:szCs w:val="24"/>
                <w:u w:val="single"/>
              </w:rPr>
              <w:t>2018</w:t>
            </w:r>
          </w:p>
        </w:tc>
      </w:tr>
      <w:tr w:rsidR="006D262B" w:rsidRPr="006D262B" w14:paraId="7BB3CEA3"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077C8CBD"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NOPAT</w:t>
            </w:r>
          </w:p>
        </w:tc>
        <w:tc>
          <w:tcPr>
            <w:tcW w:w="1167" w:type="dxa"/>
            <w:tcBorders>
              <w:top w:val="nil"/>
              <w:left w:val="nil"/>
              <w:bottom w:val="nil"/>
              <w:right w:val="nil"/>
            </w:tcBorders>
            <w:shd w:val="clear" w:color="auto" w:fill="auto"/>
            <w:noWrap/>
            <w:vAlign w:val="bottom"/>
            <w:hideMark/>
          </w:tcPr>
          <w:p w14:paraId="502FE9DA"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7,386 </w:t>
            </w:r>
          </w:p>
        </w:tc>
        <w:tc>
          <w:tcPr>
            <w:tcW w:w="1167" w:type="dxa"/>
            <w:tcBorders>
              <w:top w:val="nil"/>
              <w:left w:val="nil"/>
              <w:bottom w:val="nil"/>
              <w:right w:val="nil"/>
            </w:tcBorders>
            <w:shd w:val="clear" w:color="auto" w:fill="auto"/>
            <w:noWrap/>
            <w:vAlign w:val="bottom"/>
            <w:hideMark/>
          </w:tcPr>
          <w:p w14:paraId="592B3D11"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8,318 </w:t>
            </w:r>
          </w:p>
        </w:tc>
        <w:tc>
          <w:tcPr>
            <w:tcW w:w="1167" w:type="dxa"/>
            <w:tcBorders>
              <w:top w:val="nil"/>
              <w:left w:val="nil"/>
              <w:bottom w:val="nil"/>
              <w:right w:val="nil"/>
            </w:tcBorders>
            <w:shd w:val="clear" w:color="auto" w:fill="auto"/>
            <w:noWrap/>
            <w:vAlign w:val="bottom"/>
            <w:hideMark/>
          </w:tcPr>
          <w:p w14:paraId="6AD28C17"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9,185 </w:t>
            </w:r>
          </w:p>
        </w:tc>
        <w:tc>
          <w:tcPr>
            <w:tcW w:w="1167" w:type="dxa"/>
            <w:tcBorders>
              <w:top w:val="nil"/>
              <w:left w:val="nil"/>
              <w:bottom w:val="nil"/>
              <w:right w:val="nil"/>
            </w:tcBorders>
            <w:shd w:val="clear" w:color="auto" w:fill="auto"/>
            <w:noWrap/>
            <w:vAlign w:val="bottom"/>
            <w:hideMark/>
          </w:tcPr>
          <w:p w14:paraId="2A55432C"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8,854 </w:t>
            </w:r>
          </w:p>
        </w:tc>
        <w:tc>
          <w:tcPr>
            <w:tcW w:w="1167" w:type="dxa"/>
            <w:tcBorders>
              <w:top w:val="nil"/>
              <w:left w:val="nil"/>
              <w:bottom w:val="nil"/>
              <w:right w:val="single" w:sz="8" w:space="0" w:color="auto"/>
            </w:tcBorders>
            <w:shd w:val="clear" w:color="auto" w:fill="auto"/>
            <w:noWrap/>
            <w:vAlign w:val="bottom"/>
            <w:hideMark/>
          </w:tcPr>
          <w:p w14:paraId="23FEA95B"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9,273 </w:t>
            </w:r>
          </w:p>
        </w:tc>
      </w:tr>
      <w:tr w:rsidR="006D262B" w:rsidRPr="006D262B" w14:paraId="2757C2D6"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3C0B4777"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Invested capital</w:t>
            </w:r>
          </w:p>
        </w:tc>
        <w:tc>
          <w:tcPr>
            <w:tcW w:w="1167" w:type="dxa"/>
            <w:tcBorders>
              <w:top w:val="nil"/>
              <w:left w:val="nil"/>
              <w:bottom w:val="nil"/>
              <w:right w:val="nil"/>
            </w:tcBorders>
            <w:shd w:val="clear" w:color="auto" w:fill="auto"/>
            <w:noWrap/>
            <w:vAlign w:val="bottom"/>
            <w:hideMark/>
          </w:tcPr>
          <w:p w14:paraId="17C16AA3"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11,104 </w:t>
            </w:r>
          </w:p>
        </w:tc>
        <w:tc>
          <w:tcPr>
            <w:tcW w:w="1167" w:type="dxa"/>
            <w:tcBorders>
              <w:top w:val="nil"/>
              <w:left w:val="nil"/>
              <w:bottom w:val="nil"/>
              <w:right w:val="nil"/>
            </w:tcBorders>
            <w:shd w:val="clear" w:color="auto" w:fill="auto"/>
            <w:noWrap/>
            <w:vAlign w:val="bottom"/>
            <w:hideMark/>
          </w:tcPr>
          <w:p w14:paraId="7224B0D9"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14,206 </w:t>
            </w:r>
          </w:p>
        </w:tc>
        <w:tc>
          <w:tcPr>
            <w:tcW w:w="1167" w:type="dxa"/>
            <w:tcBorders>
              <w:top w:val="nil"/>
              <w:left w:val="nil"/>
              <w:bottom w:val="nil"/>
              <w:right w:val="nil"/>
            </w:tcBorders>
            <w:shd w:val="clear" w:color="auto" w:fill="auto"/>
            <w:noWrap/>
            <w:vAlign w:val="bottom"/>
            <w:hideMark/>
          </w:tcPr>
          <w:p w14:paraId="04A17989"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16,712 </w:t>
            </w:r>
          </w:p>
        </w:tc>
        <w:tc>
          <w:tcPr>
            <w:tcW w:w="1167" w:type="dxa"/>
            <w:tcBorders>
              <w:top w:val="nil"/>
              <w:left w:val="nil"/>
              <w:bottom w:val="nil"/>
              <w:right w:val="nil"/>
            </w:tcBorders>
            <w:shd w:val="clear" w:color="auto" w:fill="auto"/>
            <w:noWrap/>
            <w:vAlign w:val="bottom"/>
            <w:hideMark/>
          </w:tcPr>
          <w:p w14:paraId="41C02442"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16,789 </w:t>
            </w:r>
          </w:p>
        </w:tc>
        <w:tc>
          <w:tcPr>
            <w:tcW w:w="1167" w:type="dxa"/>
            <w:tcBorders>
              <w:top w:val="nil"/>
              <w:left w:val="nil"/>
              <w:bottom w:val="nil"/>
              <w:right w:val="single" w:sz="8" w:space="0" w:color="auto"/>
            </w:tcBorders>
            <w:shd w:val="clear" w:color="auto" w:fill="auto"/>
            <w:noWrap/>
            <w:vAlign w:val="bottom"/>
            <w:hideMark/>
          </w:tcPr>
          <w:p w14:paraId="033BC741"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 xml:space="preserve">   17,243 </w:t>
            </w:r>
          </w:p>
        </w:tc>
      </w:tr>
      <w:tr w:rsidR="006D262B" w:rsidRPr="006D262B" w14:paraId="01A13E2C"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6CDA4463"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Return on invested capital</w:t>
            </w:r>
          </w:p>
        </w:tc>
        <w:tc>
          <w:tcPr>
            <w:tcW w:w="1167" w:type="dxa"/>
            <w:tcBorders>
              <w:top w:val="nil"/>
              <w:left w:val="nil"/>
              <w:bottom w:val="nil"/>
              <w:right w:val="nil"/>
            </w:tcBorders>
            <w:shd w:val="clear" w:color="auto" w:fill="auto"/>
            <w:noWrap/>
            <w:vAlign w:val="bottom"/>
            <w:hideMark/>
          </w:tcPr>
          <w:p w14:paraId="0C7E8719"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66.5%</w:t>
            </w:r>
          </w:p>
        </w:tc>
        <w:tc>
          <w:tcPr>
            <w:tcW w:w="1167" w:type="dxa"/>
            <w:tcBorders>
              <w:top w:val="nil"/>
              <w:left w:val="nil"/>
              <w:bottom w:val="nil"/>
              <w:right w:val="nil"/>
            </w:tcBorders>
            <w:shd w:val="clear" w:color="auto" w:fill="auto"/>
            <w:noWrap/>
            <w:vAlign w:val="bottom"/>
            <w:hideMark/>
          </w:tcPr>
          <w:p w14:paraId="6D118ABE"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58.6%</w:t>
            </w:r>
          </w:p>
        </w:tc>
        <w:tc>
          <w:tcPr>
            <w:tcW w:w="1167" w:type="dxa"/>
            <w:tcBorders>
              <w:top w:val="nil"/>
              <w:left w:val="nil"/>
              <w:bottom w:val="nil"/>
              <w:right w:val="nil"/>
            </w:tcBorders>
            <w:shd w:val="clear" w:color="auto" w:fill="auto"/>
            <w:noWrap/>
            <w:vAlign w:val="bottom"/>
            <w:hideMark/>
          </w:tcPr>
          <w:p w14:paraId="550491DC"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55.0%</w:t>
            </w:r>
          </w:p>
        </w:tc>
        <w:tc>
          <w:tcPr>
            <w:tcW w:w="1167" w:type="dxa"/>
            <w:tcBorders>
              <w:top w:val="nil"/>
              <w:left w:val="nil"/>
              <w:bottom w:val="nil"/>
              <w:right w:val="nil"/>
            </w:tcBorders>
            <w:shd w:val="clear" w:color="auto" w:fill="auto"/>
            <w:noWrap/>
            <w:vAlign w:val="bottom"/>
            <w:hideMark/>
          </w:tcPr>
          <w:p w14:paraId="2B5C820F"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52.7%</w:t>
            </w:r>
          </w:p>
        </w:tc>
        <w:tc>
          <w:tcPr>
            <w:tcW w:w="1167" w:type="dxa"/>
            <w:tcBorders>
              <w:top w:val="nil"/>
              <w:left w:val="nil"/>
              <w:bottom w:val="nil"/>
              <w:right w:val="single" w:sz="8" w:space="0" w:color="auto"/>
            </w:tcBorders>
            <w:shd w:val="clear" w:color="auto" w:fill="auto"/>
            <w:noWrap/>
            <w:vAlign w:val="bottom"/>
            <w:hideMark/>
          </w:tcPr>
          <w:p w14:paraId="16F64AD3"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53.8%</w:t>
            </w:r>
          </w:p>
        </w:tc>
      </w:tr>
      <w:tr w:rsidR="006D262B" w:rsidRPr="006D262B" w14:paraId="16C201B9"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21DAD655"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Working Capital</w:t>
            </w:r>
          </w:p>
        </w:tc>
        <w:tc>
          <w:tcPr>
            <w:tcW w:w="1167" w:type="dxa"/>
            <w:tcBorders>
              <w:top w:val="nil"/>
              <w:left w:val="nil"/>
              <w:bottom w:val="nil"/>
              <w:right w:val="nil"/>
            </w:tcBorders>
            <w:shd w:val="clear" w:color="auto" w:fill="auto"/>
            <w:noWrap/>
            <w:vAlign w:val="bottom"/>
            <w:hideMark/>
          </w:tcPr>
          <w:p w14:paraId="635D4522"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1884.00</w:t>
            </w:r>
          </w:p>
        </w:tc>
        <w:tc>
          <w:tcPr>
            <w:tcW w:w="1167" w:type="dxa"/>
            <w:tcBorders>
              <w:top w:val="nil"/>
              <w:left w:val="nil"/>
              <w:bottom w:val="nil"/>
              <w:right w:val="nil"/>
            </w:tcBorders>
            <w:shd w:val="clear" w:color="auto" w:fill="auto"/>
            <w:noWrap/>
            <w:vAlign w:val="bottom"/>
            <w:hideMark/>
          </w:tcPr>
          <w:p w14:paraId="0C320EEC"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424.00</w:t>
            </w:r>
          </w:p>
        </w:tc>
        <w:tc>
          <w:tcPr>
            <w:tcW w:w="1167" w:type="dxa"/>
            <w:tcBorders>
              <w:top w:val="nil"/>
              <w:left w:val="nil"/>
              <w:bottom w:val="nil"/>
              <w:right w:val="nil"/>
            </w:tcBorders>
            <w:shd w:val="clear" w:color="auto" w:fill="auto"/>
            <w:noWrap/>
            <w:vAlign w:val="bottom"/>
            <w:hideMark/>
          </w:tcPr>
          <w:p w14:paraId="77731C31"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124.00</w:t>
            </w:r>
          </w:p>
        </w:tc>
        <w:tc>
          <w:tcPr>
            <w:tcW w:w="1167" w:type="dxa"/>
            <w:tcBorders>
              <w:top w:val="nil"/>
              <w:left w:val="nil"/>
              <w:bottom w:val="nil"/>
              <w:right w:val="nil"/>
            </w:tcBorders>
            <w:shd w:val="clear" w:color="auto" w:fill="auto"/>
            <w:noWrap/>
            <w:vAlign w:val="bottom"/>
            <w:hideMark/>
          </w:tcPr>
          <w:p w14:paraId="160D874E"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-3706.00</w:t>
            </w:r>
          </w:p>
        </w:tc>
        <w:tc>
          <w:tcPr>
            <w:tcW w:w="1167" w:type="dxa"/>
            <w:tcBorders>
              <w:top w:val="nil"/>
              <w:left w:val="nil"/>
              <w:bottom w:val="nil"/>
              <w:right w:val="single" w:sz="8" w:space="0" w:color="auto"/>
            </w:tcBorders>
            <w:shd w:val="clear" w:color="auto" w:fill="auto"/>
            <w:noWrap/>
            <w:vAlign w:val="bottom"/>
            <w:hideMark/>
          </w:tcPr>
          <w:p w14:paraId="200C666C"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-1035.00</w:t>
            </w:r>
          </w:p>
        </w:tc>
      </w:tr>
      <w:tr w:rsidR="006D262B" w:rsidRPr="006D262B" w14:paraId="21076BE2"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2BC8CA6F"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Change in WC</w:t>
            </w:r>
          </w:p>
        </w:tc>
        <w:tc>
          <w:tcPr>
            <w:tcW w:w="1167" w:type="dxa"/>
            <w:tcBorders>
              <w:top w:val="nil"/>
              <w:left w:val="nil"/>
              <w:bottom w:val="nil"/>
              <w:right w:val="nil"/>
            </w:tcBorders>
            <w:shd w:val="clear" w:color="auto" w:fill="auto"/>
            <w:noWrap/>
            <w:vAlign w:val="bottom"/>
            <w:hideMark/>
          </w:tcPr>
          <w:p w14:paraId="510ACEF4"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-521.00</w:t>
            </w:r>
          </w:p>
        </w:tc>
        <w:tc>
          <w:tcPr>
            <w:tcW w:w="1167" w:type="dxa"/>
            <w:tcBorders>
              <w:top w:val="nil"/>
              <w:left w:val="nil"/>
              <w:bottom w:val="nil"/>
              <w:right w:val="nil"/>
            </w:tcBorders>
            <w:shd w:val="clear" w:color="auto" w:fill="auto"/>
            <w:noWrap/>
            <w:vAlign w:val="bottom"/>
            <w:hideMark/>
          </w:tcPr>
          <w:p w14:paraId="26B23D2F"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-1460.00</w:t>
            </w:r>
          </w:p>
        </w:tc>
        <w:tc>
          <w:tcPr>
            <w:tcW w:w="1167" w:type="dxa"/>
            <w:tcBorders>
              <w:top w:val="nil"/>
              <w:left w:val="nil"/>
              <w:bottom w:val="nil"/>
              <w:right w:val="nil"/>
            </w:tcBorders>
            <w:shd w:val="clear" w:color="auto" w:fill="auto"/>
            <w:noWrap/>
            <w:vAlign w:val="bottom"/>
            <w:hideMark/>
          </w:tcPr>
          <w:p w14:paraId="1EE2060C"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-300.00</w:t>
            </w:r>
          </w:p>
        </w:tc>
        <w:tc>
          <w:tcPr>
            <w:tcW w:w="1167" w:type="dxa"/>
            <w:tcBorders>
              <w:top w:val="nil"/>
              <w:left w:val="nil"/>
              <w:bottom w:val="nil"/>
              <w:right w:val="nil"/>
            </w:tcBorders>
            <w:shd w:val="clear" w:color="auto" w:fill="auto"/>
            <w:noWrap/>
            <w:vAlign w:val="bottom"/>
            <w:hideMark/>
          </w:tcPr>
          <w:p w14:paraId="600EC942"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-3830.00</w:t>
            </w:r>
          </w:p>
        </w:tc>
        <w:tc>
          <w:tcPr>
            <w:tcW w:w="1167" w:type="dxa"/>
            <w:tcBorders>
              <w:top w:val="nil"/>
              <w:left w:val="nil"/>
              <w:bottom w:val="nil"/>
              <w:right w:val="single" w:sz="8" w:space="0" w:color="auto"/>
            </w:tcBorders>
            <w:shd w:val="clear" w:color="auto" w:fill="auto"/>
            <w:noWrap/>
            <w:vAlign w:val="bottom"/>
            <w:hideMark/>
          </w:tcPr>
          <w:p w14:paraId="324BCD15"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2671.00</w:t>
            </w:r>
          </w:p>
        </w:tc>
      </w:tr>
      <w:tr w:rsidR="006D262B" w:rsidRPr="006D262B" w14:paraId="0F709C2C"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34C27AFE"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CAPEX</w:t>
            </w:r>
          </w:p>
        </w:tc>
        <w:tc>
          <w:tcPr>
            <w:tcW w:w="1167" w:type="dxa"/>
            <w:tcBorders>
              <w:top w:val="nil"/>
              <w:left w:val="nil"/>
              <w:bottom w:val="nil"/>
              <w:right w:val="nil"/>
            </w:tcBorders>
            <w:shd w:val="clear" w:color="auto" w:fill="auto"/>
            <w:noWrap/>
            <w:vAlign w:val="bottom"/>
            <w:hideMark/>
          </w:tcPr>
          <w:p w14:paraId="23F53D77"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3315.00</w:t>
            </w:r>
          </w:p>
        </w:tc>
        <w:tc>
          <w:tcPr>
            <w:tcW w:w="1167" w:type="dxa"/>
            <w:tcBorders>
              <w:top w:val="nil"/>
              <w:left w:val="nil"/>
              <w:bottom w:val="nil"/>
              <w:right w:val="nil"/>
            </w:tcBorders>
            <w:shd w:val="clear" w:color="auto" w:fill="auto"/>
            <w:noWrap/>
            <w:vAlign w:val="bottom"/>
            <w:hideMark/>
          </w:tcPr>
          <w:p w14:paraId="1243B3E2"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4272.00</w:t>
            </w:r>
          </w:p>
        </w:tc>
        <w:tc>
          <w:tcPr>
            <w:tcW w:w="1167" w:type="dxa"/>
            <w:tcBorders>
              <w:top w:val="nil"/>
              <w:left w:val="nil"/>
              <w:bottom w:val="nil"/>
              <w:right w:val="nil"/>
            </w:tcBorders>
            <w:shd w:val="clear" w:color="auto" w:fill="auto"/>
            <w:noWrap/>
            <w:vAlign w:val="bottom"/>
            <w:hideMark/>
          </w:tcPr>
          <w:p w14:paraId="4A589AAD"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4768.00</w:t>
            </w:r>
          </w:p>
        </w:tc>
        <w:tc>
          <w:tcPr>
            <w:tcW w:w="1167" w:type="dxa"/>
            <w:tcBorders>
              <w:top w:val="nil"/>
              <w:left w:val="nil"/>
              <w:bottom w:val="nil"/>
              <w:right w:val="nil"/>
            </w:tcBorders>
            <w:shd w:val="clear" w:color="auto" w:fill="auto"/>
            <w:noWrap/>
            <w:vAlign w:val="bottom"/>
            <w:hideMark/>
          </w:tcPr>
          <w:p w14:paraId="4432B3D1"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3630.00</w:t>
            </w:r>
          </w:p>
        </w:tc>
        <w:tc>
          <w:tcPr>
            <w:tcW w:w="1167" w:type="dxa"/>
            <w:tcBorders>
              <w:top w:val="nil"/>
              <w:left w:val="nil"/>
              <w:bottom w:val="nil"/>
              <w:right w:val="single" w:sz="8" w:space="0" w:color="auto"/>
            </w:tcBorders>
            <w:shd w:val="clear" w:color="auto" w:fill="auto"/>
            <w:noWrap/>
            <w:vAlign w:val="bottom"/>
            <w:hideMark/>
          </w:tcPr>
          <w:p w14:paraId="68293203"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4440.00</w:t>
            </w:r>
          </w:p>
        </w:tc>
      </w:tr>
      <w:tr w:rsidR="006D262B" w:rsidRPr="006D262B" w14:paraId="31DFD678"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6E23F9DB"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Dep &amp; Amort</w:t>
            </w:r>
          </w:p>
        </w:tc>
        <w:tc>
          <w:tcPr>
            <w:tcW w:w="1167" w:type="dxa"/>
            <w:tcBorders>
              <w:top w:val="nil"/>
              <w:left w:val="nil"/>
              <w:bottom w:val="nil"/>
              <w:right w:val="nil"/>
            </w:tcBorders>
            <w:shd w:val="clear" w:color="auto" w:fill="auto"/>
            <w:noWrap/>
            <w:vAlign w:val="bottom"/>
            <w:hideMark/>
          </w:tcPr>
          <w:p w14:paraId="75353766"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2288.00</w:t>
            </w:r>
          </w:p>
        </w:tc>
        <w:tc>
          <w:tcPr>
            <w:tcW w:w="1167" w:type="dxa"/>
            <w:tcBorders>
              <w:top w:val="nil"/>
              <w:left w:val="nil"/>
              <w:bottom w:val="nil"/>
              <w:right w:val="nil"/>
            </w:tcBorders>
            <w:shd w:val="clear" w:color="auto" w:fill="auto"/>
            <w:noWrap/>
            <w:vAlign w:val="bottom"/>
            <w:hideMark/>
          </w:tcPr>
          <w:p w14:paraId="159B332D"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2354.00</w:t>
            </w:r>
          </w:p>
        </w:tc>
        <w:tc>
          <w:tcPr>
            <w:tcW w:w="1167" w:type="dxa"/>
            <w:tcBorders>
              <w:top w:val="nil"/>
              <w:left w:val="nil"/>
              <w:bottom w:val="nil"/>
              <w:right w:val="nil"/>
            </w:tcBorders>
            <w:shd w:val="clear" w:color="auto" w:fill="auto"/>
            <w:noWrap/>
            <w:vAlign w:val="bottom"/>
            <w:hideMark/>
          </w:tcPr>
          <w:p w14:paraId="7E070735"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2527.00</w:t>
            </w:r>
          </w:p>
        </w:tc>
        <w:tc>
          <w:tcPr>
            <w:tcW w:w="1167" w:type="dxa"/>
            <w:tcBorders>
              <w:top w:val="nil"/>
              <w:left w:val="nil"/>
              <w:bottom w:val="nil"/>
              <w:right w:val="nil"/>
            </w:tcBorders>
            <w:shd w:val="clear" w:color="auto" w:fill="auto"/>
            <w:noWrap/>
            <w:vAlign w:val="bottom"/>
            <w:hideMark/>
          </w:tcPr>
          <w:p w14:paraId="6EAC6F7E"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2782.00</w:t>
            </w:r>
          </w:p>
        </w:tc>
        <w:tc>
          <w:tcPr>
            <w:tcW w:w="1167" w:type="dxa"/>
            <w:tcBorders>
              <w:top w:val="nil"/>
              <w:left w:val="nil"/>
              <w:bottom w:val="nil"/>
              <w:right w:val="single" w:sz="8" w:space="0" w:color="auto"/>
            </w:tcBorders>
            <w:shd w:val="clear" w:color="auto" w:fill="auto"/>
            <w:noWrap/>
            <w:vAlign w:val="bottom"/>
            <w:hideMark/>
          </w:tcPr>
          <w:p w14:paraId="683E1CB2"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3011.00</w:t>
            </w:r>
          </w:p>
        </w:tc>
      </w:tr>
      <w:tr w:rsidR="006D262B" w:rsidRPr="006D262B" w14:paraId="26E79352"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73339275" w14:textId="77777777" w:rsidR="006D262B" w:rsidRPr="006D262B" w:rsidRDefault="006D262B" w:rsidP="006D262B">
            <w:pPr>
              <w:rPr>
                <w:rFonts w:ascii="Times New Roman" w:hAnsi="Times New Roman"/>
                <w:color w:val="auto"/>
                <w:szCs w:val="24"/>
              </w:rPr>
            </w:pPr>
            <w:r w:rsidRPr="006D262B">
              <w:rPr>
                <w:rFonts w:ascii="Times New Roman" w:hAnsi="Times New Roman"/>
                <w:color w:val="auto"/>
                <w:szCs w:val="24"/>
              </w:rPr>
              <w:t>FCF</w:t>
            </w:r>
          </w:p>
        </w:tc>
        <w:tc>
          <w:tcPr>
            <w:tcW w:w="1167" w:type="dxa"/>
            <w:tcBorders>
              <w:top w:val="nil"/>
              <w:left w:val="nil"/>
              <w:bottom w:val="nil"/>
              <w:right w:val="nil"/>
            </w:tcBorders>
            <w:shd w:val="clear" w:color="auto" w:fill="auto"/>
            <w:noWrap/>
            <w:vAlign w:val="bottom"/>
            <w:hideMark/>
          </w:tcPr>
          <w:p w14:paraId="1C867CAE"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6879.60</w:t>
            </w:r>
          </w:p>
        </w:tc>
        <w:tc>
          <w:tcPr>
            <w:tcW w:w="1167" w:type="dxa"/>
            <w:tcBorders>
              <w:top w:val="nil"/>
              <w:left w:val="nil"/>
              <w:bottom w:val="nil"/>
              <w:right w:val="nil"/>
            </w:tcBorders>
            <w:shd w:val="clear" w:color="auto" w:fill="auto"/>
            <w:noWrap/>
            <w:vAlign w:val="bottom"/>
            <w:hideMark/>
          </w:tcPr>
          <w:p w14:paraId="6E69E185"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7859.90</w:t>
            </w:r>
          </w:p>
        </w:tc>
        <w:tc>
          <w:tcPr>
            <w:tcW w:w="1167" w:type="dxa"/>
            <w:tcBorders>
              <w:top w:val="nil"/>
              <w:left w:val="nil"/>
              <w:bottom w:val="nil"/>
              <w:right w:val="nil"/>
            </w:tcBorders>
            <w:shd w:val="clear" w:color="auto" w:fill="auto"/>
            <w:noWrap/>
            <w:vAlign w:val="bottom"/>
            <w:hideMark/>
          </w:tcPr>
          <w:p w14:paraId="6EFDA200"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7243.76</w:t>
            </w:r>
          </w:p>
        </w:tc>
        <w:tc>
          <w:tcPr>
            <w:tcW w:w="1167" w:type="dxa"/>
            <w:tcBorders>
              <w:top w:val="nil"/>
              <w:left w:val="nil"/>
              <w:bottom w:val="nil"/>
              <w:right w:val="nil"/>
            </w:tcBorders>
            <w:shd w:val="clear" w:color="auto" w:fill="auto"/>
            <w:noWrap/>
            <w:vAlign w:val="bottom"/>
            <w:hideMark/>
          </w:tcPr>
          <w:p w14:paraId="133CCF6A"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11836.40</w:t>
            </w:r>
          </w:p>
        </w:tc>
        <w:tc>
          <w:tcPr>
            <w:tcW w:w="1167" w:type="dxa"/>
            <w:tcBorders>
              <w:top w:val="nil"/>
              <w:left w:val="nil"/>
              <w:bottom w:val="nil"/>
              <w:right w:val="single" w:sz="8" w:space="0" w:color="auto"/>
            </w:tcBorders>
            <w:shd w:val="clear" w:color="auto" w:fill="auto"/>
            <w:noWrap/>
            <w:vAlign w:val="bottom"/>
            <w:hideMark/>
          </w:tcPr>
          <w:p w14:paraId="1EEDE143" w14:textId="77777777" w:rsidR="006D262B" w:rsidRPr="006D262B" w:rsidRDefault="006D262B" w:rsidP="006D262B">
            <w:pPr>
              <w:jc w:val="right"/>
              <w:rPr>
                <w:rFonts w:ascii="Times New Roman" w:hAnsi="Times New Roman"/>
                <w:color w:val="auto"/>
                <w:szCs w:val="24"/>
              </w:rPr>
            </w:pPr>
            <w:r w:rsidRPr="006D262B">
              <w:rPr>
                <w:rFonts w:ascii="Times New Roman" w:hAnsi="Times New Roman"/>
                <w:color w:val="auto"/>
                <w:szCs w:val="24"/>
              </w:rPr>
              <w:t>5173.13</w:t>
            </w:r>
          </w:p>
        </w:tc>
      </w:tr>
      <w:tr w:rsidR="006D262B" w:rsidRPr="006D262B" w14:paraId="3C59A168"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1D0B6B4F" w14:textId="77777777" w:rsidR="006D262B" w:rsidRPr="006D262B" w:rsidRDefault="006D262B" w:rsidP="006D262B">
            <w:pPr>
              <w:rPr>
                <w:rFonts w:ascii="Times New Roman" w:hAnsi="Times New Roman"/>
                <w:b/>
                <w:bCs/>
                <w:color w:val="auto"/>
                <w:szCs w:val="24"/>
              </w:rPr>
            </w:pPr>
            <w:r w:rsidRPr="006D262B">
              <w:rPr>
                <w:rFonts w:ascii="Times New Roman" w:hAnsi="Times New Roman"/>
                <w:b/>
                <w:bCs/>
                <w:color w:val="auto"/>
                <w:szCs w:val="24"/>
              </w:rPr>
              <w:t>FCF per Share</w:t>
            </w:r>
          </w:p>
        </w:tc>
        <w:tc>
          <w:tcPr>
            <w:tcW w:w="1167" w:type="dxa"/>
            <w:tcBorders>
              <w:top w:val="nil"/>
              <w:left w:val="nil"/>
              <w:bottom w:val="nil"/>
              <w:right w:val="nil"/>
            </w:tcBorders>
            <w:shd w:val="clear" w:color="auto" w:fill="auto"/>
            <w:noWrap/>
            <w:vAlign w:val="bottom"/>
            <w:hideMark/>
          </w:tcPr>
          <w:p w14:paraId="5A208A38" w14:textId="77777777" w:rsidR="006D262B" w:rsidRPr="006D262B" w:rsidRDefault="006D262B" w:rsidP="006D262B">
            <w:pPr>
              <w:jc w:val="right"/>
              <w:rPr>
                <w:rFonts w:ascii="Times New Roman" w:hAnsi="Times New Roman"/>
                <w:b/>
                <w:bCs/>
                <w:color w:val="auto"/>
                <w:szCs w:val="24"/>
              </w:rPr>
            </w:pPr>
            <w:r w:rsidRPr="006D262B">
              <w:rPr>
                <w:rFonts w:ascii="Times New Roman" w:hAnsi="Times New Roman"/>
                <w:b/>
                <w:bCs/>
                <w:color w:val="auto"/>
                <w:szCs w:val="24"/>
              </w:rPr>
              <w:t>4.047</w:t>
            </w:r>
          </w:p>
        </w:tc>
        <w:tc>
          <w:tcPr>
            <w:tcW w:w="1167" w:type="dxa"/>
            <w:tcBorders>
              <w:top w:val="nil"/>
              <w:left w:val="nil"/>
              <w:bottom w:val="nil"/>
              <w:right w:val="nil"/>
            </w:tcBorders>
            <w:shd w:val="clear" w:color="auto" w:fill="auto"/>
            <w:noWrap/>
            <w:vAlign w:val="bottom"/>
            <w:hideMark/>
          </w:tcPr>
          <w:p w14:paraId="2D635BFD" w14:textId="77777777" w:rsidR="006D262B" w:rsidRPr="006D262B" w:rsidRDefault="006D262B" w:rsidP="006D262B">
            <w:pPr>
              <w:jc w:val="right"/>
              <w:rPr>
                <w:rFonts w:ascii="Times New Roman" w:hAnsi="Times New Roman"/>
                <w:b/>
                <w:bCs/>
                <w:color w:val="auto"/>
                <w:szCs w:val="24"/>
              </w:rPr>
            </w:pPr>
            <w:r w:rsidRPr="006D262B">
              <w:rPr>
                <w:rFonts w:ascii="Times New Roman" w:hAnsi="Times New Roman"/>
                <w:b/>
                <w:bCs/>
                <w:color w:val="auto"/>
                <w:szCs w:val="24"/>
              </w:rPr>
              <w:t>4.912</w:t>
            </w:r>
          </w:p>
        </w:tc>
        <w:tc>
          <w:tcPr>
            <w:tcW w:w="1167" w:type="dxa"/>
            <w:tcBorders>
              <w:top w:val="nil"/>
              <w:left w:val="nil"/>
              <w:bottom w:val="nil"/>
              <w:right w:val="nil"/>
            </w:tcBorders>
            <w:shd w:val="clear" w:color="auto" w:fill="auto"/>
            <w:noWrap/>
            <w:vAlign w:val="bottom"/>
            <w:hideMark/>
          </w:tcPr>
          <w:p w14:paraId="57CCC3FD" w14:textId="77777777" w:rsidR="006D262B" w:rsidRPr="006D262B" w:rsidRDefault="006D262B" w:rsidP="006D262B">
            <w:pPr>
              <w:jc w:val="right"/>
              <w:rPr>
                <w:rFonts w:ascii="Times New Roman" w:hAnsi="Times New Roman"/>
                <w:b/>
                <w:bCs/>
                <w:color w:val="auto"/>
                <w:szCs w:val="24"/>
              </w:rPr>
            </w:pPr>
            <w:r w:rsidRPr="006D262B">
              <w:rPr>
                <w:rFonts w:ascii="Times New Roman" w:hAnsi="Times New Roman"/>
                <w:b/>
                <w:bCs/>
                <w:color w:val="auto"/>
                <w:szCs w:val="24"/>
              </w:rPr>
              <w:t>4.527</w:t>
            </w:r>
          </w:p>
        </w:tc>
        <w:tc>
          <w:tcPr>
            <w:tcW w:w="1167" w:type="dxa"/>
            <w:tcBorders>
              <w:top w:val="nil"/>
              <w:left w:val="nil"/>
              <w:bottom w:val="nil"/>
              <w:right w:val="nil"/>
            </w:tcBorders>
            <w:shd w:val="clear" w:color="auto" w:fill="auto"/>
            <w:noWrap/>
            <w:vAlign w:val="bottom"/>
            <w:hideMark/>
          </w:tcPr>
          <w:p w14:paraId="65879AE6" w14:textId="77777777" w:rsidR="006D262B" w:rsidRPr="006D262B" w:rsidRDefault="006D262B" w:rsidP="006D262B">
            <w:pPr>
              <w:jc w:val="right"/>
              <w:rPr>
                <w:rFonts w:ascii="Times New Roman" w:hAnsi="Times New Roman"/>
                <w:b/>
                <w:bCs/>
                <w:color w:val="auto"/>
                <w:szCs w:val="24"/>
              </w:rPr>
            </w:pPr>
            <w:r w:rsidRPr="006D262B">
              <w:rPr>
                <w:rFonts w:ascii="Times New Roman" w:hAnsi="Times New Roman"/>
                <w:b/>
                <w:bCs/>
                <w:color w:val="auto"/>
                <w:szCs w:val="24"/>
              </w:rPr>
              <w:t>7.891</w:t>
            </w:r>
          </w:p>
        </w:tc>
        <w:tc>
          <w:tcPr>
            <w:tcW w:w="1167" w:type="dxa"/>
            <w:tcBorders>
              <w:top w:val="nil"/>
              <w:left w:val="nil"/>
              <w:bottom w:val="nil"/>
              <w:right w:val="single" w:sz="8" w:space="0" w:color="auto"/>
            </w:tcBorders>
            <w:shd w:val="clear" w:color="auto" w:fill="auto"/>
            <w:noWrap/>
            <w:vAlign w:val="bottom"/>
            <w:hideMark/>
          </w:tcPr>
          <w:p w14:paraId="1E4E492A" w14:textId="77777777" w:rsidR="006D262B" w:rsidRPr="006D262B" w:rsidRDefault="006D262B" w:rsidP="006D262B">
            <w:pPr>
              <w:jc w:val="right"/>
              <w:rPr>
                <w:rFonts w:ascii="Times New Roman" w:hAnsi="Times New Roman"/>
                <w:b/>
                <w:bCs/>
                <w:color w:val="auto"/>
                <w:szCs w:val="24"/>
              </w:rPr>
            </w:pPr>
            <w:r w:rsidRPr="006D262B">
              <w:rPr>
                <w:rFonts w:ascii="Times New Roman" w:hAnsi="Times New Roman"/>
                <w:b/>
                <w:bCs/>
                <w:color w:val="auto"/>
                <w:szCs w:val="24"/>
              </w:rPr>
              <w:t>3.495</w:t>
            </w:r>
          </w:p>
        </w:tc>
      </w:tr>
      <w:tr w:rsidR="006D262B" w:rsidRPr="006D262B" w14:paraId="7174E744"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5591E1C1"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nil"/>
              <w:left w:val="nil"/>
              <w:bottom w:val="nil"/>
              <w:right w:val="nil"/>
            </w:tcBorders>
            <w:shd w:val="clear" w:color="auto" w:fill="auto"/>
            <w:noWrap/>
            <w:vAlign w:val="bottom"/>
            <w:hideMark/>
          </w:tcPr>
          <w:p w14:paraId="588E942F" w14:textId="77777777" w:rsidR="006D262B" w:rsidRPr="006D262B" w:rsidRDefault="006D262B" w:rsidP="006D262B">
            <w:pPr>
              <w:rPr>
                <w:rFonts w:ascii="Times New Roman" w:hAnsi="Times New Roman"/>
                <w:szCs w:val="24"/>
              </w:rPr>
            </w:pPr>
          </w:p>
        </w:tc>
        <w:tc>
          <w:tcPr>
            <w:tcW w:w="1167" w:type="dxa"/>
            <w:tcBorders>
              <w:top w:val="nil"/>
              <w:left w:val="nil"/>
              <w:bottom w:val="nil"/>
              <w:right w:val="nil"/>
            </w:tcBorders>
            <w:shd w:val="clear" w:color="auto" w:fill="auto"/>
            <w:noWrap/>
            <w:vAlign w:val="bottom"/>
            <w:hideMark/>
          </w:tcPr>
          <w:p w14:paraId="70D7BE91"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nil"/>
            </w:tcBorders>
            <w:shd w:val="clear" w:color="auto" w:fill="auto"/>
            <w:noWrap/>
            <w:vAlign w:val="bottom"/>
            <w:hideMark/>
          </w:tcPr>
          <w:p w14:paraId="1FB6A54F"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nil"/>
            </w:tcBorders>
            <w:shd w:val="clear" w:color="auto" w:fill="auto"/>
            <w:noWrap/>
            <w:vAlign w:val="bottom"/>
            <w:hideMark/>
          </w:tcPr>
          <w:p w14:paraId="3CF07914"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single" w:sz="8" w:space="0" w:color="auto"/>
            </w:tcBorders>
            <w:shd w:val="clear" w:color="auto" w:fill="auto"/>
            <w:noWrap/>
            <w:vAlign w:val="bottom"/>
            <w:hideMark/>
          </w:tcPr>
          <w:p w14:paraId="7061C2A3"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r>
      <w:tr w:rsidR="006D262B" w:rsidRPr="006D262B" w14:paraId="41CCD766"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2CD905E1"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c>
          <w:tcPr>
            <w:tcW w:w="1167" w:type="dxa"/>
            <w:tcBorders>
              <w:top w:val="nil"/>
              <w:left w:val="nil"/>
              <w:bottom w:val="nil"/>
              <w:right w:val="nil"/>
            </w:tcBorders>
            <w:shd w:val="clear" w:color="auto" w:fill="auto"/>
            <w:noWrap/>
            <w:vAlign w:val="bottom"/>
            <w:hideMark/>
          </w:tcPr>
          <w:p w14:paraId="1CC34B0D" w14:textId="77777777" w:rsidR="006D262B" w:rsidRPr="006D262B" w:rsidRDefault="006D262B" w:rsidP="006D262B">
            <w:pPr>
              <w:rPr>
                <w:rFonts w:ascii="Times New Roman" w:hAnsi="Times New Roman"/>
                <w:szCs w:val="24"/>
              </w:rPr>
            </w:pPr>
          </w:p>
        </w:tc>
        <w:tc>
          <w:tcPr>
            <w:tcW w:w="1167" w:type="dxa"/>
            <w:tcBorders>
              <w:top w:val="nil"/>
              <w:left w:val="nil"/>
              <w:bottom w:val="nil"/>
              <w:right w:val="nil"/>
            </w:tcBorders>
            <w:shd w:val="clear" w:color="auto" w:fill="auto"/>
            <w:noWrap/>
            <w:vAlign w:val="bottom"/>
            <w:hideMark/>
          </w:tcPr>
          <w:p w14:paraId="0B23020D"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nil"/>
            </w:tcBorders>
            <w:shd w:val="clear" w:color="auto" w:fill="auto"/>
            <w:noWrap/>
            <w:vAlign w:val="bottom"/>
            <w:hideMark/>
          </w:tcPr>
          <w:p w14:paraId="59125568"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nil"/>
            </w:tcBorders>
            <w:shd w:val="clear" w:color="auto" w:fill="auto"/>
            <w:noWrap/>
            <w:vAlign w:val="bottom"/>
            <w:hideMark/>
          </w:tcPr>
          <w:p w14:paraId="2F6368D3" w14:textId="77777777" w:rsidR="006D262B" w:rsidRPr="006D262B" w:rsidRDefault="006D262B" w:rsidP="006D262B">
            <w:pPr>
              <w:rPr>
                <w:rFonts w:ascii="Times New Roman" w:hAnsi="Times New Roman"/>
                <w:color w:val="auto"/>
                <w:sz w:val="20"/>
              </w:rPr>
            </w:pPr>
          </w:p>
        </w:tc>
        <w:tc>
          <w:tcPr>
            <w:tcW w:w="1167" w:type="dxa"/>
            <w:tcBorders>
              <w:top w:val="nil"/>
              <w:left w:val="nil"/>
              <w:bottom w:val="nil"/>
              <w:right w:val="single" w:sz="8" w:space="0" w:color="auto"/>
            </w:tcBorders>
            <w:shd w:val="clear" w:color="auto" w:fill="auto"/>
            <w:noWrap/>
            <w:vAlign w:val="bottom"/>
            <w:hideMark/>
          </w:tcPr>
          <w:p w14:paraId="13B92BAA" w14:textId="77777777" w:rsidR="006D262B" w:rsidRPr="006D262B" w:rsidRDefault="006D262B" w:rsidP="006D262B">
            <w:pPr>
              <w:rPr>
                <w:rFonts w:ascii="Times New Roman" w:hAnsi="Times New Roman"/>
                <w:szCs w:val="24"/>
              </w:rPr>
            </w:pPr>
            <w:r w:rsidRPr="006D262B">
              <w:rPr>
                <w:rFonts w:ascii="Times New Roman" w:hAnsi="Times New Roman"/>
                <w:szCs w:val="24"/>
              </w:rPr>
              <w:t> </w:t>
            </w:r>
          </w:p>
        </w:tc>
      </w:tr>
      <w:tr w:rsidR="006D262B" w:rsidRPr="006D262B" w14:paraId="602F6812"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6A703832" w14:textId="77777777" w:rsidR="006D262B" w:rsidRPr="006D262B" w:rsidRDefault="006D262B" w:rsidP="006D262B">
            <w:pPr>
              <w:rPr>
                <w:rFonts w:ascii="Times New Roman" w:hAnsi="Times New Roman"/>
                <w:szCs w:val="24"/>
              </w:rPr>
            </w:pPr>
            <w:r w:rsidRPr="006D262B">
              <w:rPr>
                <w:rFonts w:ascii="Times New Roman" w:hAnsi="Times New Roman"/>
                <w:szCs w:val="24"/>
              </w:rPr>
              <w:t>Revenue</w:t>
            </w:r>
          </w:p>
        </w:tc>
        <w:tc>
          <w:tcPr>
            <w:tcW w:w="1167" w:type="dxa"/>
            <w:tcBorders>
              <w:top w:val="nil"/>
              <w:left w:val="nil"/>
              <w:bottom w:val="nil"/>
              <w:right w:val="nil"/>
            </w:tcBorders>
            <w:shd w:val="clear" w:color="auto" w:fill="auto"/>
            <w:noWrap/>
            <w:vAlign w:val="bottom"/>
            <w:hideMark/>
          </w:tcPr>
          <w:p w14:paraId="6E28D5B1"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48813</w:t>
            </w:r>
          </w:p>
        </w:tc>
        <w:tc>
          <w:tcPr>
            <w:tcW w:w="1167" w:type="dxa"/>
            <w:tcBorders>
              <w:top w:val="nil"/>
              <w:left w:val="nil"/>
              <w:bottom w:val="nil"/>
              <w:right w:val="nil"/>
            </w:tcBorders>
            <w:shd w:val="clear" w:color="auto" w:fill="auto"/>
            <w:noWrap/>
            <w:vAlign w:val="bottom"/>
            <w:hideMark/>
          </w:tcPr>
          <w:p w14:paraId="2F9AC6FC"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52465</w:t>
            </w:r>
          </w:p>
        </w:tc>
        <w:tc>
          <w:tcPr>
            <w:tcW w:w="1167" w:type="dxa"/>
            <w:tcBorders>
              <w:top w:val="nil"/>
              <w:left w:val="nil"/>
              <w:bottom w:val="nil"/>
              <w:right w:val="nil"/>
            </w:tcBorders>
            <w:shd w:val="clear" w:color="auto" w:fill="auto"/>
            <w:noWrap/>
            <w:vAlign w:val="bottom"/>
            <w:hideMark/>
          </w:tcPr>
          <w:p w14:paraId="5FD089BC"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55632</w:t>
            </w:r>
          </w:p>
        </w:tc>
        <w:tc>
          <w:tcPr>
            <w:tcW w:w="1167" w:type="dxa"/>
            <w:tcBorders>
              <w:top w:val="nil"/>
              <w:left w:val="nil"/>
              <w:bottom w:val="nil"/>
              <w:right w:val="nil"/>
            </w:tcBorders>
            <w:shd w:val="clear" w:color="auto" w:fill="auto"/>
            <w:noWrap/>
            <w:vAlign w:val="bottom"/>
            <w:hideMark/>
          </w:tcPr>
          <w:p w14:paraId="5E40E97B"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55137</w:t>
            </w:r>
          </w:p>
        </w:tc>
        <w:tc>
          <w:tcPr>
            <w:tcW w:w="1167" w:type="dxa"/>
            <w:tcBorders>
              <w:top w:val="nil"/>
              <w:left w:val="nil"/>
              <w:bottom w:val="nil"/>
              <w:right w:val="single" w:sz="8" w:space="0" w:color="auto"/>
            </w:tcBorders>
            <w:shd w:val="clear" w:color="auto" w:fill="auto"/>
            <w:noWrap/>
            <w:vAlign w:val="bottom"/>
            <w:hideMark/>
          </w:tcPr>
          <w:p w14:paraId="7B49FB02"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59434</w:t>
            </w:r>
          </w:p>
        </w:tc>
      </w:tr>
      <w:tr w:rsidR="006D262B" w:rsidRPr="006D262B" w14:paraId="3D03499E"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15B86D8F" w14:textId="77777777" w:rsidR="006D262B" w:rsidRPr="006D262B" w:rsidRDefault="006D262B" w:rsidP="006D262B">
            <w:pPr>
              <w:rPr>
                <w:rFonts w:ascii="Times New Roman" w:hAnsi="Times New Roman"/>
                <w:szCs w:val="24"/>
              </w:rPr>
            </w:pPr>
            <w:r w:rsidRPr="006D262B">
              <w:rPr>
                <w:rFonts w:ascii="Times New Roman" w:hAnsi="Times New Roman"/>
                <w:szCs w:val="24"/>
              </w:rPr>
              <w:t>OP Margin</w:t>
            </w:r>
          </w:p>
        </w:tc>
        <w:tc>
          <w:tcPr>
            <w:tcW w:w="1167" w:type="dxa"/>
            <w:tcBorders>
              <w:top w:val="nil"/>
              <w:left w:val="nil"/>
              <w:bottom w:val="nil"/>
              <w:right w:val="nil"/>
            </w:tcBorders>
            <w:shd w:val="clear" w:color="auto" w:fill="auto"/>
            <w:noWrap/>
            <w:vAlign w:val="bottom"/>
            <w:hideMark/>
          </w:tcPr>
          <w:p w14:paraId="5F4FB374"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23.60%</w:t>
            </w:r>
          </w:p>
        </w:tc>
        <w:tc>
          <w:tcPr>
            <w:tcW w:w="1167" w:type="dxa"/>
            <w:tcBorders>
              <w:top w:val="nil"/>
              <w:left w:val="nil"/>
              <w:bottom w:val="nil"/>
              <w:right w:val="nil"/>
            </w:tcBorders>
            <w:shd w:val="clear" w:color="auto" w:fill="auto"/>
            <w:noWrap/>
            <w:vAlign w:val="bottom"/>
            <w:hideMark/>
          </w:tcPr>
          <w:p w14:paraId="0FA4654D"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25.20%</w:t>
            </w:r>
          </w:p>
        </w:tc>
        <w:tc>
          <w:tcPr>
            <w:tcW w:w="1167" w:type="dxa"/>
            <w:tcBorders>
              <w:top w:val="nil"/>
              <w:left w:val="nil"/>
              <w:bottom w:val="nil"/>
              <w:right w:val="nil"/>
            </w:tcBorders>
            <w:shd w:val="clear" w:color="auto" w:fill="auto"/>
            <w:noWrap/>
            <w:vAlign w:val="bottom"/>
            <w:hideMark/>
          </w:tcPr>
          <w:p w14:paraId="30CEEDA0"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26.00%</w:t>
            </w:r>
          </w:p>
        </w:tc>
        <w:tc>
          <w:tcPr>
            <w:tcW w:w="1167" w:type="dxa"/>
            <w:tcBorders>
              <w:top w:val="nil"/>
              <w:left w:val="nil"/>
              <w:bottom w:val="nil"/>
              <w:right w:val="nil"/>
            </w:tcBorders>
            <w:shd w:val="clear" w:color="auto" w:fill="auto"/>
            <w:noWrap/>
            <w:vAlign w:val="bottom"/>
            <w:hideMark/>
          </w:tcPr>
          <w:p w14:paraId="0D7EE4E0"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25.40%</w:t>
            </w:r>
          </w:p>
        </w:tc>
        <w:tc>
          <w:tcPr>
            <w:tcW w:w="1167" w:type="dxa"/>
            <w:tcBorders>
              <w:top w:val="nil"/>
              <w:left w:val="nil"/>
              <w:bottom w:val="nil"/>
              <w:right w:val="single" w:sz="8" w:space="0" w:color="auto"/>
            </w:tcBorders>
            <w:shd w:val="clear" w:color="auto" w:fill="auto"/>
            <w:noWrap/>
            <w:vAlign w:val="bottom"/>
            <w:hideMark/>
          </w:tcPr>
          <w:p w14:paraId="581F1F5E"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25.00%</w:t>
            </w:r>
          </w:p>
        </w:tc>
      </w:tr>
      <w:tr w:rsidR="006D262B" w:rsidRPr="006D262B" w14:paraId="67ED6DF0"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422BFE87" w14:textId="77777777" w:rsidR="006D262B" w:rsidRPr="006D262B" w:rsidRDefault="006D262B" w:rsidP="006D262B">
            <w:pPr>
              <w:rPr>
                <w:rFonts w:ascii="Times New Roman" w:hAnsi="Times New Roman"/>
                <w:szCs w:val="24"/>
              </w:rPr>
            </w:pPr>
            <w:r w:rsidRPr="006D262B">
              <w:rPr>
                <w:rFonts w:ascii="Times New Roman" w:hAnsi="Times New Roman"/>
                <w:szCs w:val="24"/>
              </w:rPr>
              <w:t>EBIT</w:t>
            </w:r>
          </w:p>
        </w:tc>
        <w:tc>
          <w:tcPr>
            <w:tcW w:w="1167" w:type="dxa"/>
            <w:tcBorders>
              <w:top w:val="nil"/>
              <w:left w:val="nil"/>
              <w:bottom w:val="nil"/>
              <w:right w:val="nil"/>
            </w:tcBorders>
            <w:shd w:val="clear" w:color="auto" w:fill="auto"/>
            <w:noWrap/>
            <w:vAlign w:val="bottom"/>
            <w:hideMark/>
          </w:tcPr>
          <w:p w14:paraId="2CD04980"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11540.00</w:t>
            </w:r>
          </w:p>
        </w:tc>
        <w:tc>
          <w:tcPr>
            <w:tcW w:w="1167" w:type="dxa"/>
            <w:tcBorders>
              <w:top w:val="nil"/>
              <w:left w:val="nil"/>
              <w:bottom w:val="nil"/>
              <w:right w:val="nil"/>
            </w:tcBorders>
            <w:shd w:val="clear" w:color="auto" w:fill="auto"/>
            <w:noWrap/>
            <w:vAlign w:val="bottom"/>
            <w:hideMark/>
          </w:tcPr>
          <w:p w14:paraId="4DA07FC7"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13224.00</w:t>
            </w:r>
          </w:p>
        </w:tc>
        <w:tc>
          <w:tcPr>
            <w:tcW w:w="1167" w:type="dxa"/>
            <w:tcBorders>
              <w:top w:val="nil"/>
              <w:left w:val="nil"/>
              <w:bottom w:val="nil"/>
              <w:right w:val="nil"/>
            </w:tcBorders>
            <w:shd w:val="clear" w:color="auto" w:fill="auto"/>
            <w:noWrap/>
            <w:vAlign w:val="bottom"/>
            <w:hideMark/>
          </w:tcPr>
          <w:p w14:paraId="2152CBB0"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14487.00</w:t>
            </w:r>
          </w:p>
        </w:tc>
        <w:tc>
          <w:tcPr>
            <w:tcW w:w="1167" w:type="dxa"/>
            <w:tcBorders>
              <w:top w:val="nil"/>
              <w:left w:val="nil"/>
              <w:bottom w:val="nil"/>
              <w:right w:val="nil"/>
            </w:tcBorders>
            <w:shd w:val="clear" w:color="auto" w:fill="auto"/>
            <w:noWrap/>
            <w:vAlign w:val="bottom"/>
            <w:hideMark/>
          </w:tcPr>
          <w:p w14:paraId="005CE2FA"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13988.00</w:t>
            </w:r>
          </w:p>
        </w:tc>
        <w:tc>
          <w:tcPr>
            <w:tcW w:w="1167" w:type="dxa"/>
            <w:tcBorders>
              <w:top w:val="nil"/>
              <w:left w:val="nil"/>
              <w:bottom w:val="nil"/>
              <w:right w:val="single" w:sz="8" w:space="0" w:color="auto"/>
            </w:tcBorders>
            <w:shd w:val="clear" w:color="auto" w:fill="auto"/>
            <w:noWrap/>
            <w:vAlign w:val="bottom"/>
            <w:hideMark/>
          </w:tcPr>
          <w:p w14:paraId="067C419A"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14837.00</w:t>
            </w:r>
          </w:p>
        </w:tc>
      </w:tr>
      <w:tr w:rsidR="006D262B" w:rsidRPr="006D262B" w14:paraId="7E3588B1"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1A9F72DB" w14:textId="77777777" w:rsidR="006D262B" w:rsidRPr="006D262B" w:rsidRDefault="006D262B" w:rsidP="006D262B">
            <w:pPr>
              <w:rPr>
                <w:rFonts w:ascii="Times New Roman" w:hAnsi="Times New Roman"/>
                <w:szCs w:val="24"/>
              </w:rPr>
            </w:pPr>
            <w:r w:rsidRPr="006D262B">
              <w:rPr>
                <w:rFonts w:ascii="Times New Roman" w:hAnsi="Times New Roman"/>
                <w:szCs w:val="24"/>
              </w:rPr>
              <w:t>Tax</w:t>
            </w:r>
          </w:p>
        </w:tc>
        <w:tc>
          <w:tcPr>
            <w:tcW w:w="1167" w:type="dxa"/>
            <w:tcBorders>
              <w:top w:val="nil"/>
              <w:left w:val="nil"/>
              <w:bottom w:val="nil"/>
              <w:right w:val="nil"/>
            </w:tcBorders>
            <w:shd w:val="clear" w:color="auto" w:fill="auto"/>
            <w:noWrap/>
            <w:vAlign w:val="bottom"/>
            <w:hideMark/>
          </w:tcPr>
          <w:p w14:paraId="72060702"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36.00%</w:t>
            </w:r>
          </w:p>
        </w:tc>
        <w:tc>
          <w:tcPr>
            <w:tcW w:w="1167" w:type="dxa"/>
            <w:tcBorders>
              <w:top w:val="nil"/>
              <w:left w:val="nil"/>
              <w:bottom w:val="nil"/>
              <w:right w:val="nil"/>
            </w:tcBorders>
            <w:shd w:val="clear" w:color="auto" w:fill="auto"/>
            <w:noWrap/>
            <w:vAlign w:val="bottom"/>
            <w:hideMark/>
          </w:tcPr>
          <w:p w14:paraId="6C47D48E"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37.10%</w:t>
            </w:r>
          </w:p>
        </w:tc>
        <w:tc>
          <w:tcPr>
            <w:tcW w:w="1167" w:type="dxa"/>
            <w:tcBorders>
              <w:top w:val="nil"/>
              <w:left w:val="nil"/>
              <w:bottom w:val="nil"/>
              <w:right w:val="nil"/>
            </w:tcBorders>
            <w:shd w:val="clear" w:color="auto" w:fill="auto"/>
            <w:noWrap/>
            <w:vAlign w:val="bottom"/>
            <w:hideMark/>
          </w:tcPr>
          <w:p w14:paraId="1AB23D1B"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36.60%</w:t>
            </w:r>
          </w:p>
        </w:tc>
        <w:tc>
          <w:tcPr>
            <w:tcW w:w="1167" w:type="dxa"/>
            <w:tcBorders>
              <w:top w:val="nil"/>
              <w:left w:val="nil"/>
              <w:bottom w:val="nil"/>
              <w:right w:val="nil"/>
            </w:tcBorders>
            <w:shd w:val="clear" w:color="auto" w:fill="auto"/>
            <w:noWrap/>
            <w:vAlign w:val="bottom"/>
            <w:hideMark/>
          </w:tcPr>
          <w:p w14:paraId="42DEEF7A"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36.70%</w:t>
            </w:r>
          </w:p>
        </w:tc>
        <w:tc>
          <w:tcPr>
            <w:tcW w:w="1167" w:type="dxa"/>
            <w:tcBorders>
              <w:top w:val="nil"/>
              <w:left w:val="nil"/>
              <w:bottom w:val="nil"/>
              <w:right w:val="single" w:sz="8" w:space="0" w:color="auto"/>
            </w:tcBorders>
            <w:shd w:val="clear" w:color="auto" w:fill="auto"/>
            <w:noWrap/>
            <w:vAlign w:val="bottom"/>
            <w:hideMark/>
          </w:tcPr>
          <w:p w14:paraId="7D95FDC6"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37.50%</w:t>
            </w:r>
          </w:p>
        </w:tc>
      </w:tr>
      <w:tr w:rsidR="006D262B" w:rsidRPr="006D262B" w14:paraId="45F232E9"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66C9E090" w14:textId="77777777" w:rsidR="006D262B" w:rsidRPr="006D262B" w:rsidRDefault="006D262B" w:rsidP="006D262B">
            <w:pPr>
              <w:rPr>
                <w:rFonts w:ascii="Times New Roman" w:hAnsi="Times New Roman"/>
                <w:szCs w:val="24"/>
              </w:rPr>
            </w:pPr>
            <w:r w:rsidRPr="006D262B">
              <w:rPr>
                <w:rFonts w:ascii="Times New Roman" w:hAnsi="Times New Roman"/>
                <w:szCs w:val="24"/>
              </w:rPr>
              <w:t>NOPAT</w:t>
            </w:r>
          </w:p>
        </w:tc>
        <w:tc>
          <w:tcPr>
            <w:tcW w:w="1167" w:type="dxa"/>
            <w:tcBorders>
              <w:top w:val="nil"/>
              <w:left w:val="nil"/>
              <w:bottom w:val="nil"/>
              <w:right w:val="nil"/>
            </w:tcBorders>
            <w:shd w:val="clear" w:color="auto" w:fill="auto"/>
            <w:noWrap/>
            <w:vAlign w:val="bottom"/>
            <w:hideMark/>
          </w:tcPr>
          <w:p w14:paraId="69B8F4AA"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7385.6</w:t>
            </w:r>
          </w:p>
        </w:tc>
        <w:tc>
          <w:tcPr>
            <w:tcW w:w="1167" w:type="dxa"/>
            <w:tcBorders>
              <w:top w:val="nil"/>
              <w:left w:val="nil"/>
              <w:bottom w:val="nil"/>
              <w:right w:val="nil"/>
            </w:tcBorders>
            <w:shd w:val="clear" w:color="auto" w:fill="auto"/>
            <w:noWrap/>
            <w:vAlign w:val="bottom"/>
            <w:hideMark/>
          </w:tcPr>
          <w:p w14:paraId="778EFD5D"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8317.9</w:t>
            </w:r>
          </w:p>
        </w:tc>
        <w:tc>
          <w:tcPr>
            <w:tcW w:w="1167" w:type="dxa"/>
            <w:tcBorders>
              <w:top w:val="nil"/>
              <w:left w:val="nil"/>
              <w:bottom w:val="nil"/>
              <w:right w:val="nil"/>
            </w:tcBorders>
            <w:shd w:val="clear" w:color="auto" w:fill="auto"/>
            <w:noWrap/>
            <w:vAlign w:val="bottom"/>
            <w:hideMark/>
          </w:tcPr>
          <w:p w14:paraId="439AD04C"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9184.8</w:t>
            </w:r>
          </w:p>
        </w:tc>
        <w:tc>
          <w:tcPr>
            <w:tcW w:w="1167" w:type="dxa"/>
            <w:tcBorders>
              <w:top w:val="nil"/>
              <w:left w:val="nil"/>
              <w:bottom w:val="nil"/>
              <w:right w:val="nil"/>
            </w:tcBorders>
            <w:shd w:val="clear" w:color="auto" w:fill="auto"/>
            <w:noWrap/>
            <w:vAlign w:val="bottom"/>
            <w:hideMark/>
          </w:tcPr>
          <w:p w14:paraId="2535C2A9"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8854.4</w:t>
            </w:r>
          </w:p>
        </w:tc>
        <w:tc>
          <w:tcPr>
            <w:tcW w:w="1167" w:type="dxa"/>
            <w:tcBorders>
              <w:top w:val="nil"/>
              <w:left w:val="nil"/>
              <w:bottom w:val="nil"/>
              <w:right w:val="single" w:sz="8" w:space="0" w:color="auto"/>
            </w:tcBorders>
            <w:shd w:val="clear" w:color="auto" w:fill="auto"/>
            <w:noWrap/>
            <w:vAlign w:val="bottom"/>
            <w:hideMark/>
          </w:tcPr>
          <w:p w14:paraId="1A799913"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9273.1</w:t>
            </w:r>
          </w:p>
        </w:tc>
      </w:tr>
      <w:tr w:rsidR="006D262B" w:rsidRPr="006D262B" w14:paraId="081B9486" w14:textId="77777777" w:rsidTr="00F53827">
        <w:trPr>
          <w:trHeight w:val="246"/>
        </w:trPr>
        <w:tc>
          <w:tcPr>
            <w:tcW w:w="2801" w:type="dxa"/>
            <w:tcBorders>
              <w:top w:val="nil"/>
              <w:left w:val="single" w:sz="8" w:space="0" w:color="auto"/>
              <w:bottom w:val="nil"/>
              <w:right w:val="nil"/>
            </w:tcBorders>
            <w:shd w:val="clear" w:color="auto" w:fill="auto"/>
            <w:noWrap/>
            <w:vAlign w:val="bottom"/>
            <w:hideMark/>
          </w:tcPr>
          <w:p w14:paraId="7797F9A5" w14:textId="77777777" w:rsidR="006D262B" w:rsidRPr="006D262B" w:rsidRDefault="006D262B" w:rsidP="006D262B">
            <w:pPr>
              <w:rPr>
                <w:rFonts w:ascii="Times New Roman" w:hAnsi="Times New Roman"/>
                <w:szCs w:val="24"/>
              </w:rPr>
            </w:pPr>
            <w:r w:rsidRPr="006D262B">
              <w:rPr>
                <w:rFonts w:ascii="Times New Roman" w:hAnsi="Times New Roman"/>
                <w:szCs w:val="24"/>
              </w:rPr>
              <w:t>Total Shares Outstanding</w:t>
            </w:r>
          </w:p>
        </w:tc>
        <w:tc>
          <w:tcPr>
            <w:tcW w:w="1167" w:type="dxa"/>
            <w:tcBorders>
              <w:top w:val="nil"/>
              <w:left w:val="nil"/>
              <w:bottom w:val="nil"/>
              <w:right w:val="nil"/>
            </w:tcBorders>
            <w:shd w:val="clear" w:color="auto" w:fill="auto"/>
            <w:noWrap/>
            <w:vAlign w:val="bottom"/>
            <w:hideMark/>
          </w:tcPr>
          <w:p w14:paraId="1C512974"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1700.00</w:t>
            </w:r>
          </w:p>
        </w:tc>
        <w:tc>
          <w:tcPr>
            <w:tcW w:w="1167" w:type="dxa"/>
            <w:tcBorders>
              <w:top w:val="nil"/>
              <w:left w:val="nil"/>
              <w:bottom w:val="nil"/>
              <w:right w:val="nil"/>
            </w:tcBorders>
            <w:shd w:val="clear" w:color="auto" w:fill="auto"/>
            <w:noWrap/>
            <w:vAlign w:val="bottom"/>
            <w:hideMark/>
          </w:tcPr>
          <w:p w14:paraId="70AFFA04"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1600.00</w:t>
            </w:r>
          </w:p>
        </w:tc>
        <w:tc>
          <w:tcPr>
            <w:tcW w:w="1167" w:type="dxa"/>
            <w:tcBorders>
              <w:top w:val="nil"/>
              <w:left w:val="nil"/>
              <w:bottom w:val="nil"/>
              <w:right w:val="nil"/>
            </w:tcBorders>
            <w:shd w:val="clear" w:color="auto" w:fill="auto"/>
            <w:noWrap/>
            <w:vAlign w:val="bottom"/>
            <w:hideMark/>
          </w:tcPr>
          <w:p w14:paraId="2A17521B"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1600.00</w:t>
            </w:r>
          </w:p>
        </w:tc>
        <w:tc>
          <w:tcPr>
            <w:tcW w:w="1167" w:type="dxa"/>
            <w:tcBorders>
              <w:top w:val="nil"/>
              <w:left w:val="nil"/>
              <w:bottom w:val="nil"/>
              <w:right w:val="nil"/>
            </w:tcBorders>
            <w:shd w:val="clear" w:color="auto" w:fill="auto"/>
            <w:noWrap/>
            <w:vAlign w:val="bottom"/>
            <w:hideMark/>
          </w:tcPr>
          <w:p w14:paraId="5BB5A9F4"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1500.00</w:t>
            </w:r>
          </w:p>
        </w:tc>
        <w:tc>
          <w:tcPr>
            <w:tcW w:w="1167" w:type="dxa"/>
            <w:tcBorders>
              <w:top w:val="nil"/>
              <w:left w:val="nil"/>
              <w:bottom w:val="nil"/>
              <w:right w:val="single" w:sz="8" w:space="0" w:color="auto"/>
            </w:tcBorders>
            <w:shd w:val="clear" w:color="auto" w:fill="auto"/>
            <w:noWrap/>
            <w:vAlign w:val="bottom"/>
            <w:hideMark/>
          </w:tcPr>
          <w:p w14:paraId="6345CECE"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1480.00</w:t>
            </w:r>
          </w:p>
        </w:tc>
      </w:tr>
      <w:tr w:rsidR="006D262B" w:rsidRPr="006D262B" w14:paraId="76199500" w14:textId="77777777" w:rsidTr="00F53827">
        <w:trPr>
          <w:trHeight w:val="254"/>
        </w:trPr>
        <w:tc>
          <w:tcPr>
            <w:tcW w:w="2801" w:type="dxa"/>
            <w:tcBorders>
              <w:top w:val="nil"/>
              <w:left w:val="single" w:sz="8" w:space="0" w:color="auto"/>
              <w:bottom w:val="single" w:sz="8" w:space="0" w:color="auto"/>
              <w:right w:val="nil"/>
            </w:tcBorders>
            <w:shd w:val="clear" w:color="auto" w:fill="auto"/>
            <w:noWrap/>
            <w:vAlign w:val="bottom"/>
            <w:hideMark/>
          </w:tcPr>
          <w:p w14:paraId="251D8A6F" w14:textId="77777777" w:rsidR="006D262B" w:rsidRPr="006D262B" w:rsidRDefault="006D262B" w:rsidP="006D262B">
            <w:pPr>
              <w:rPr>
                <w:rFonts w:ascii="Times New Roman" w:hAnsi="Times New Roman"/>
                <w:szCs w:val="24"/>
              </w:rPr>
            </w:pPr>
            <w:r w:rsidRPr="006D262B">
              <w:rPr>
                <w:rFonts w:ascii="Times New Roman" w:hAnsi="Times New Roman"/>
                <w:szCs w:val="24"/>
              </w:rPr>
              <w:t>Capital Exp per Share</w:t>
            </w:r>
          </w:p>
        </w:tc>
        <w:tc>
          <w:tcPr>
            <w:tcW w:w="1167" w:type="dxa"/>
            <w:tcBorders>
              <w:top w:val="nil"/>
              <w:left w:val="nil"/>
              <w:bottom w:val="single" w:sz="8" w:space="0" w:color="auto"/>
              <w:right w:val="nil"/>
            </w:tcBorders>
            <w:shd w:val="clear" w:color="auto" w:fill="auto"/>
            <w:noWrap/>
            <w:vAlign w:val="bottom"/>
            <w:hideMark/>
          </w:tcPr>
          <w:p w14:paraId="79548F2D"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1.95</w:t>
            </w:r>
          </w:p>
        </w:tc>
        <w:tc>
          <w:tcPr>
            <w:tcW w:w="1167" w:type="dxa"/>
            <w:tcBorders>
              <w:top w:val="nil"/>
              <w:left w:val="nil"/>
              <w:bottom w:val="single" w:sz="8" w:space="0" w:color="auto"/>
              <w:right w:val="nil"/>
            </w:tcBorders>
            <w:shd w:val="clear" w:color="auto" w:fill="auto"/>
            <w:noWrap/>
            <w:vAlign w:val="bottom"/>
            <w:hideMark/>
          </w:tcPr>
          <w:p w14:paraId="3C059CCC"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2.67</w:t>
            </w:r>
          </w:p>
        </w:tc>
        <w:tc>
          <w:tcPr>
            <w:tcW w:w="1167" w:type="dxa"/>
            <w:tcBorders>
              <w:top w:val="nil"/>
              <w:left w:val="nil"/>
              <w:bottom w:val="single" w:sz="8" w:space="0" w:color="auto"/>
              <w:right w:val="nil"/>
            </w:tcBorders>
            <w:shd w:val="clear" w:color="auto" w:fill="auto"/>
            <w:noWrap/>
            <w:vAlign w:val="bottom"/>
            <w:hideMark/>
          </w:tcPr>
          <w:p w14:paraId="3E5D03DE"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2.98</w:t>
            </w:r>
          </w:p>
        </w:tc>
        <w:tc>
          <w:tcPr>
            <w:tcW w:w="1167" w:type="dxa"/>
            <w:tcBorders>
              <w:top w:val="nil"/>
              <w:left w:val="nil"/>
              <w:bottom w:val="single" w:sz="8" w:space="0" w:color="auto"/>
              <w:right w:val="nil"/>
            </w:tcBorders>
            <w:shd w:val="clear" w:color="auto" w:fill="auto"/>
            <w:noWrap/>
            <w:vAlign w:val="bottom"/>
            <w:hideMark/>
          </w:tcPr>
          <w:p w14:paraId="116A399D"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2.42</w:t>
            </w:r>
          </w:p>
        </w:tc>
        <w:tc>
          <w:tcPr>
            <w:tcW w:w="1167" w:type="dxa"/>
            <w:tcBorders>
              <w:top w:val="nil"/>
              <w:left w:val="nil"/>
              <w:bottom w:val="single" w:sz="8" w:space="0" w:color="auto"/>
              <w:right w:val="single" w:sz="8" w:space="0" w:color="auto"/>
            </w:tcBorders>
            <w:shd w:val="clear" w:color="auto" w:fill="auto"/>
            <w:noWrap/>
            <w:vAlign w:val="bottom"/>
            <w:hideMark/>
          </w:tcPr>
          <w:p w14:paraId="3330E6F8" w14:textId="77777777" w:rsidR="006D262B" w:rsidRPr="006D262B" w:rsidRDefault="006D262B" w:rsidP="006D262B">
            <w:pPr>
              <w:jc w:val="right"/>
              <w:rPr>
                <w:rFonts w:ascii="Times New Roman" w:hAnsi="Times New Roman"/>
                <w:szCs w:val="24"/>
              </w:rPr>
            </w:pPr>
            <w:r w:rsidRPr="006D262B">
              <w:rPr>
                <w:rFonts w:ascii="Times New Roman" w:hAnsi="Times New Roman"/>
                <w:szCs w:val="24"/>
              </w:rPr>
              <w:t>3</w:t>
            </w:r>
          </w:p>
        </w:tc>
      </w:tr>
    </w:tbl>
    <w:p w14:paraId="1C6C9B42" w14:textId="177FD9C4" w:rsidR="00F53827" w:rsidRDefault="00F53827">
      <w:pPr>
        <w:rPr>
          <w:rFonts w:ascii="Arial" w:hAnsi="Arial" w:cs="Arial"/>
          <w:szCs w:val="24"/>
        </w:rPr>
      </w:pPr>
    </w:p>
    <w:p w14:paraId="6621E19A" w14:textId="344EE2B4" w:rsidR="00F53827" w:rsidRDefault="00E9227B" w:rsidP="00F53827">
      <w:pPr>
        <w:rPr>
          <w:rFonts w:ascii="Arial" w:hAnsi="Arial" w:cs="Arial"/>
          <w:szCs w:val="24"/>
        </w:rPr>
      </w:pPr>
      <w:r>
        <w:rPr>
          <w:noProof/>
        </w:rPr>
        <w:drawing>
          <wp:inline distT="0" distB="0" distL="0" distR="0" wp14:anchorId="515BF4A6" wp14:editId="2B3A724D">
            <wp:extent cx="6858000" cy="250825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8000" cy="2508250"/>
                    </a:xfrm>
                    <a:prstGeom prst="rect">
                      <a:avLst/>
                    </a:prstGeom>
                  </pic:spPr>
                </pic:pic>
              </a:graphicData>
            </a:graphic>
          </wp:inline>
        </w:drawing>
      </w:r>
    </w:p>
    <w:p w14:paraId="4CC32E07" w14:textId="77777777" w:rsidR="00793C85" w:rsidRDefault="00793C85">
      <w:pPr>
        <w:rPr>
          <w:noProof/>
        </w:rPr>
      </w:pPr>
    </w:p>
    <w:p w14:paraId="4915A659" w14:textId="1D1B7C56" w:rsidR="003A5F3C" w:rsidRDefault="00793C85">
      <w:pPr>
        <w:rPr>
          <w:rFonts w:ascii="Arial" w:hAnsi="Arial" w:cs="Arial"/>
          <w:szCs w:val="24"/>
        </w:rPr>
      </w:pPr>
      <w:r>
        <w:rPr>
          <w:noProof/>
        </w:rPr>
        <w:drawing>
          <wp:inline distT="0" distB="0" distL="0" distR="0" wp14:anchorId="427DBE37" wp14:editId="4FF21D70">
            <wp:extent cx="4176365" cy="18542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179803" cy="1855727"/>
                    </a:xfrm>
                    <a:prstGeom prst="rect">
                      <a:avLst/>
                    </a:prstGeom>
                  </pic:spPr>
                </pic:pic>
              </a:graphicData>
            </a:graphic>
          </wp:inline>
        </w:drawing>
      </w:r>
      <w:r w:rsidR="003A5F3C">
        <w:rPr>
          <w:rFonts w:ascii="Arial" w:hAnsi="Arial" w:cs="Arial"/>
          <w:szCs w:val="24"/>
        </w:rPr>
        <w:br w:type="page"/>
      </w:r>
    </w:p>
    <w:p w14:paraId="0C004995" w14:textId="77777777" w:rsidR="003A5F3C" w:rsidRPr="003A5F3C" w:rsidRDefault="003A5F3C" w:rsidP="003A5F3C">
      <w:pPr>
        <w:rPr>
          <w:rFonts w:ascii="Arial" w:hAnsi="Arial" w:cs="Arial"/>
          <w:szCs w:val="24"/>
        </w:rPr>
      </w:pPr>
    </w:p>
    <w:p w14:paraId="321FA3E4" w14:textId="755A1E52" w:rsidR="003A5F3C" w:rsidRPr="004932BB" w:rsidRDefault="003A5F3C" w:rsidP="003A5F3C">
      <w:pPr>
        <w:rPr>
          <w:rFonts w:ascii="Arial" w:hAnsi="Arial" w:cs="Arial"/>
          <w:b/>
          <w:color w:val="002060"/>
          <w:szCs w:val="24"/>
        </w:rPr>
      </w:pPr>
      <w:r w:rsidRPr="004932BB">
        <w:rPr>
          <w:rFonts w:ascii="Arial" w:hAnsi="Arial" w:cs="Arial"/>
          <w:b/>
          <w:color w:val="002060"/>
          <w:szCs w:val="24"/>
        </w:rPr>
        <w:t>Appendix D: Comparable Companies Model</w:t>
      </w:r>
    </w:p>
    <w:p w14:paraId="02DF3F58" w14:textId="4CE65195" w:rsidR="003A5F3C" w:rsidRDefault="003A5F3C" w:rsidP="003A5F3C">
      <w:pPr>
        <w:autoSpaceDE w:val="0"/>
        <w:autoSpaceDN w:val="0"/>
        <w:adjustRightInd w:val="0"/>
        <w:rPr>
          <w:rFonts w:ascii="Arial" w:hAnsi="Arial" w:cs="Arial"/>
          <w:sz w:val="18"/>
          <w:szCs w:val="18"/>
        </w:rPr>
      </w:pPr>
    </w:p>
    <w:p w14:paraId="3AD4998C" w14:textId="77777777" w:rsidR="00B33934" w:rsidRDefault="00B33934" w:rsidP="003A5F3C">
      <w:pPr>
        <w:autoSpaceDE w:val="0"/>
        <w:autoSpaceDN w:val="0"/>
        <w:adjustRightInd w:val="0"/>
        <w:rPr>
          <w:rFonts w:ascii="Arial" w:hAnsi="Arial" w:cs="Arial"/>
          <w:sz w:val="18"/>
          <w:szCs w:val="18"/>
        </w:rPr>
      </w:pPr>
    </w:p>
    <w:p w14:paraId="5977E4EB" w14:textId="77777777" w:rsidR="00B25E51" w:rsidRDefault="00B33934">
      <w:pPr>
        <w:rPr>
          <w:rFonts w:ascii="Arial" w:hAnsi="Arial" w:cs="Arial"/>
          <w:sz w:val="18"/>
          <w:szCs w:val="18"/>
        </w:rPr>
      </w:pPr>
      <w:r>
        <w:rPr>
          <w:noProof/>
        </w:rPr>
        <w:drawing>
          <wp:inline distT="0" distB="0" distL="0" distR="0" wp14:anchorId="03B7335B" wp14:editId="25691D90">
            <wp:extent cx="6858000" cy="250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858000" cy="2501900"/>
                    </a:xfrm>
                    <a:prstGeom prst="rect">
                      <a:avLst/>
                    </a:prstGeom>
                  </pic:spPr>
                </pic:pic>
              </a:graphicData>
            </a:graphic>
          </wp:inline>
        </w:drawing>
      </w:r>
    </w:p>
    <w:p w14:paraId="7B8FE568" w14:textId="77777777" w:rsidR="00B25E51" w:rsidRDefault="00B25E51">
      <w:pPr>
        <w:rPr>
          <w:rFonts w:ascii="Arial" w:hAnsi="Arial" w:cs="Arial"/>
          <w:sz w:val="18"/>
          <w:szCs w:val="18"/>
        </w:rPr>
      </w:pPr>
    </w:p>
    <w:p w14:paraId="71698926" w14:textId="77777777" w:rsidR="00F5218C" w:rsidRDefault="00F5218C">
      <w:pPr>
        <w:rPr>
          <w:rFonts w:ascii="Arial" w:hAnsi="Arial" w:cs="Arial"/>
          <w:sz w:val="18"/>
          <w:szCs w:val="18"/>
        </w:rPr>
      </w:pPr>
    </w:p>
    <w:p w14:paraId="045E0D84" w14:textId="08D0A3F2" w:rsidR="003A5F3C" w:rsidRDefault="003A5F3C" w:rsidP="00F97A8B">
      <w:pPr>
        <w:rPr>
          <w:rFonts w:ascii="Arial" w:hAnsi="Arial" w:cs="Arial"/>
          <w:b/>
          <w:szCs w:val="24"/>
        </w:rPr>
      </w:pPr>
      <w:r w:rsidRPr="004932BB">
        <w:rPr>
          <w:rFonts w:ascii="Arial" w:hAnsi="Arial" w:cs="Arial"/>
          <w:b/>
          <w:color w:val="002060"/>
          <w:szCs w:val="24"/>
        </w:rPr>
        <w:t>Appendix E: Sensitivity Analysis</w:t>
      </w:r>
    </w:p>
    <w:p w14:paraId="667B3D98" w14:textId="472E3309" w:rsidR="003A5F3C" w:rsidRDefault="003A5F3C" w:rsidP="00534067">
      <w:pPr>
        <w:rPr>
          <w:rFonts w:ascii="Arial" w:hAnsi="Arial" w:cs="Arial"/>
          <w:b/>
          <w:szCs w:val="24"/>
        </w:rPr>
      </w:pPr>
    </w:p>
    <w:tbl>
      <w:tblPr>
        <w:tblW w:w="9849" w:type="dxa"/>
        <w:tblLook w:val="04A0" w:firstRow="1" w:lastRow="0" w:firstColumn="1" w:lastColumn="0" w:noHBand="0" w:noVBand="1"/>
      </w:tblPr>
      <w:tblGrid>
        <w:gridCol w:w="1163"/>
        <w:gridCol w:w="925"/>
        <w:gridCol w:w="1552"/>
        <w:gridCol w:w="1552"/>
        <w:gridCol w:w="1552"/>
        <w:gridCol w:w="1552"/>
        <w:gridCol w:w="1553"/>
      </w:tblGrid>
      <w:tr w:rsidR="00F97A8B" w:rsidRPr="00F97A8B" w14:paraId="4F43F323" w14:textId="77777777" w:rsidTr="00F97A8B">
        <w:trPr>
          <w:trHeight w:val="442"/>
        </w:trPr>
        <w:tc>
          <w:tcPr>
            <w:tcW w:w="1163" w:type="dxa"/>
            <w:tcBorders>
              <w:top w:val="nil"/>
              <w:left w:val="nil"/>
              <w:bottom w:val="nil"/>
              <w:right w:val="nil"/>
            </w:tcBorders>
            <w:shd w:val="clear" w:color="auto" w:fill="auto"/>
            <w:noWrap/>
            <w:vAlign w:val="bottom"/>
            <w:hideMark/>
          </w:tcPr>
          <w:p w14:paraId="49AD3FC2" w14:textId="77777777" w:rsidR="00F97A8B" w:rsidRPr="00F97A8B" w:rsidRDefault="00F97A8B" w:rsidP="00F97A8B">
            <w:pPr>
              <w:rPr>
                <w:rFonts w:ascii="Times New Roman" w:hAnsi="Times New Roman"/>
                <w:color w:val="auto"/>
                <w:szCs w:val="24"/>
              </w:rPr>
            </w:pPr>
          </w:p>
        </w:tc>
        <w:tc>
          <w:tcPr>
            <w:tcW w:w="925" w:type="dxa"/>
            <w:tcBorders>
              <w:top w:val="nil"/>
              <w:left w:val="nil"/>
              <w:bottom w:val="nil"/>
              <w:right w:val="nil"/>
            </w:tcBorders>
            <w:shd w:val="clear" w:color="auto" w:fill="auto"/>
            <w:noWrap/>
            <w:vAlign w:val="bottom"/>
            <w:hideMark/>
          </w:tcPr>
          <w:p w14:paraId="1673C128" w14:textId="77777777" w:rsidR="00F97A8B" w:rsidRPr="00F97A8B" w:rsidRDefault="00F97A8B" w:rsidP="00F97A8B">
            <w:pPr>
              <w:rPr>
                <w:rFonts w:ascii="Times New Roman" w:hAnsi="Times New Roman"/>
                <w:color w:val="auto"/>
                <w:sz w:val="20"/>
              </w:rPr>
            </w:pPr>
          </w:p>
        </w:tc>
        <w:tc>
          <w:tcPr>
            <w:tcW w:w="7761" w:type="dxa"/>
            <w:gridSpan w:val="5"/>
            <w:tcBorders>
              <w:top w:val="single" w:sz="8" w:space="0" w:color="auto"/>
              <w:left w:val="single" w:sz="8" w:space="0" w:color="auto"/>
              <w:bottom w:val="nil"/>
              <w:right w:val="single" w:sz="8" w:space="0" w:color="000000"/>
            </w:tcBorders>
            <w:shd w:val="clear" w:color="000000" w:fill="B4C6E7"/>
            <w:noWrap/>
            <w:vAlign w:val="bottom"/>
            <w:hideMark/>
          </w:tcPr>
          <w:p w14:paraId="71C5E08A" w14:textId="77777777" w:rsidR="00F97A8B" w:rsidRPr="00F97A8B" w:rsidRDefault="00F97A8B" w:rsidP="00F97A8B">
            <w:pPr>
              <w:jc w:val="center"/>
              <w:rPr>
                <w:rFonts w:ascii="Calibri" w:hAnsi="Calibri" w:cs="Calibri"/>
                <w:b/>
                <w:bCs/>
                <w:sz w:val="22"/>
                <w:szCs w:val="22"/>
              </w:rPr>
            </w:pPr>
            <w:r w:rsidRPr="00F97A8B">
              <w:rPr>
                <w:rFonts w:ascii="Calibri" w:hAnsi="Calibri" w:cs="Calibri"/>
                <w:b/>
                <w:bCs/>
                <w:sz w:val="22"/>
                <w:szCs w:val="22"/>
              </w:rPr>
              <w:t>Weighted Average Cost of Capital</w:t>
            </w:r>
          </w:p>
        </w:tc>
      </w:tr>
      <w:tr w:rsidR="00F97A8B" w:rsidRPr="00F97A8B" w14:paraId="1EE91CB7" w14:textId="77777777" w:rsidTr="00F97A8B">
        <w:trPr>
          <w:trHeight w:val="442"/>
        </w:trPr>
        <w:tc>
          <w:tcPr>
            <w:tcW w:w="1163" w:type="dxa"/>
            <w:tcBorders>
              <w:top w:val="nil"/>
              <w:left w:val="nil"/>
              <w:bottom w:val="nil"/>
              <w:right w:val="nil"/>
            </w:tcBorders>
            <w:shd w:val="clear" w:color="auto" w:fill="auto"/>
            <w:noWrap/>
            <w:vAlign w:val="bottom"/>
            <w:hideMark/>
          </w:tcPr>
          <w:p w14:paraId="7CD359DB" w14:textId="77777777" w:rsidR="00F97A8B" w:rsidRPr="00F97A8B" w:rsidRDefault="00F97A8B" w:rsidP="00F97A8B">
            <w:pPr>
              <w:jc w:val="center"/>
              <w:rPr>
                <w:rFonts w:ascii="Calibri" w:hAnsi="Calibri" w:cs="Calibri"/>
                <w:b/>
                <w:bCs/>
                <w:sz w:val="22"/>
                <w:szCs w:val="22"/>
              </w:rPr>
            </w:pPr>
          </w:p>
        </w:tc>
        <w:tc>
          <w:tcPr>
            <w:tcW w:w="925" w:type="dxa"/>
            <w:tcBorders>
              <w:top w:val="nil"/>
              <w:left w:val="nil"/>
              <w:bottom w:val="nil"/>
              <w:right w:val="nil"/>
            </w:tcBorders>
            <w:shd w:val="clear" w:color="auto" w:fill="auto"/>
            <w:noWrap/>
            <w:vAlign w:val="bottom"/>
            <w:hideMark/>
          </w:tcPr>
          <w:p w14:paraId="532B2616" w14:textId="77777777" w:rsidR="00F97A8B" w:rsidRPr="00F97A8B" w:rsidRDefault="00F97A8B" w:rsidP="00F97A8B">
            <w:pPr>
              <w:rPr>
                <w:rFonts w:ascii="Times New Roman" w:hAnsi="Times New Roman"/>
                <w:color w:val="auto"/>
                <w:sz w:val="20"/>
              </w:rPr>
            </w:pPr>
          </w:p>
        </w:tc>
        <w:tc>
          <w:tcPr>
            <w:tcW w:w="1552" w:type="dxa"/>
            <w:tcBorders>
              <w:top w:val="nil"/>
              <w:left w:val="single" w:sz="8" w:space="0" w:color="auto"/>
              <w:bottom w:val="single" w:sz="8" w:space="0" w:color="auto"/>
              <w:right w:val="nil"/>
            </w:tcBorders>
            <w:shd w:val="clear" w:color="000000" w:fill="B4C6E7"/>
            <w:noWrap/>
            <w:vAlign w:val="bottom"/>
            <w:hideMark/>
          </w:tcPr>
          <w:p w14:paraId="3960F9D4" w14:textId="77777777" w:rsidR="00F97A8B" w:rsidRPr="00F97A8B" w:rsidRDefault="00F97A8B" w:rsidP="00F97A8B">
            <w:pPr>
              <w:jc w:val="center"/>
              <w:rPr>
                <w:rFonts w:ascii="Calibri" w:hAnsi="Calibri" w:cs="Calibri"/>
                <w:sz w:val="22"/>
                <w:szCs w:val="22"/>
              </w:rPr>
            </w:pPr>
            <w:r w:rsidRPr="00F97A8B">
              <w:rPr>
                <w:rFonts w:ascii="Calibri" w:hAnsi="Calibri" w:cs="Calibri"/>
                <w:sz w:val="22"/>
                <w:szCs w:val="22"/>
              </w:rPr>
              <w:t>5.50%</w:t>
            </w:r>
          </w:p>
        </w:tc>
        <w:tc>
          <w:tcPr>
            <w:tcW w:w="1552" w:type="dxa"/>
            <w:tcBorders>
              <w:top w:val="nil"/>
              <w:left w:val="nil"/>
              <w:bottom w:val="single" w:sz="8" w:space="0" w:color="auto"/>
              <w:right w:val="nil"/>
            </w:tcBorders>
            <w:shd w:val="clear" w:color="000000" w:fill="B4C6E7"/>
            <w:noWrap/>
            <w:vAlign w:val="bottom"/>
            <w:hideMark/>
          </w:tcPr>
          <w:p w14:paraId="585CF9B4" w14:textId="77777777" w:rsidR="00F97A8B" w:rsidRPr="00F97A8B" w:rsidRDefault="00F97A8B" w:rsidP="00F97A8B">
            <w:pPr>
              <w:jc w:val="center"/>
              <w:rPr>
                <w:rFonts w:ascii="Calibri" w:hAnsi="Calibri" w:cs="Calibri"/>
                <w:sz w:val="22"/>
                <w:szCs w:val="22"/>
              </w:rPr>
            </w:pPr>
            <w:r w:rsidRPr="00F97A8B">
              <w:rPr>
                <w:rFonts w:ascii="Calibri" w:hAnsi="Calibri" w:cs="Calibri"/>
                <w:sz w:val="22"/>
                <w:szCs w:val="22"/>
              </w:rPr>
              <w:t>5.75%</w:t>
            </w:r>
          </w:p>
        </w:tc>
        <w:tc>
          <w:tcPr>
            <w:tcW w:w="1552" w:type="dxa"/>
            <w:tcBorders>
              <w:top w:val="nil"/>
              <w:left w:val="nil"/>
              <w:bottom w:val="single" w:sz="8" w:space="0" w:color="auto"/>
              <w:right w:val="nil"/>
            </w:tcBorders>
            <w:shd w:val="clear" w:color="000000" w:fill="B4C6E7"/>
            <w:noWrap/>
            <w:vAlign w:val="bottom"/>
            <w:hideMark/>
          </w:tcPr>
          <w:p w14:paraId="01E4575F" w14:textId="77777777" w:rsidR="00F97A8B" w:rsidRPr="00F97A8B" w:rsidRDefault="00F97A8B" w:rsidP="00F97A8B">
            <w:pPr>
              <w:jc w:val="center"/>
              <w:rPr>
                <w:rFonts w:ascii="Calibri" w:hAnsi="Calibri" w:cs="Calibri"/>
                <w:sz w:val="22"/>
                <w:szCs w:val="22"/>
              </w:rPr>
            </w:pPr>
            <w:r w:rsidRPr="00F97A8B">
              <w:rPr>
                <w:rFonts w:ascii="Calibri" w:hAnsi="Calibri" w:cs="Calibri"/>
                <w:sz w:val="22"/>
                <w:szCs w:val="22"/>
              </w:rPr>
              <w:t>6.00%</w:t>
            </w:r>
          </w:p>
        </w:tc>
        <w:tc>
          <w:tcPr>
            <w:tcW w:w="1552" w:type="dxa"/>
            <w:tcBorders>
              <w:top w:val="nil"/>
              <w:left w:val="nil"/>
              <w:bottom w:val="single" w:sz="8" w:space="0" w:color="auto"/>
              <w:right w:val="nil"/>
            </w:tcBorders>
            <w:shd w:val="clear" w:color="000000" w:fill="B4C6E7"/>
            <w:noWrap/>
            <w:vAlign w:val="bottom"/>
            <w:hideMark/>
          </w:tcPr>
          <w:p w14:paraId="2FF876FC" w14:textId="77777777" w:rsidR="00F97A8B" w:rsidRPr="00F97A8B" w:rsidRDefault="00F97A8B" w:rsidP="00F97A8B">
            <w:pPr>
              <w:jc w:val="center"/>
              <w:rPr>
                <w:rFonts w:ascii="Calibri" w:hAnsi="Calibri" w:cs="Calibri"/>
                <w:sz w:val="22"/>
                <w:szCs w:val="22"/>
              </w:rPr>
            </w:pPr>
            <w:r w:rsidRPr="00F97A8B">
              <w:rPr>
                <w:rFonts w:ascii="Calibri" w:hAnsi="Calibri" w:cs="Calibri"/>
                <w:sz w:val="22"/>
                <w:szCs w:val="22"/>
              </w:rPr>
              <w:t>6.25%</w:t>
            </w:r>
          </w:p>
        </w:tc>
        <w:tc>
          <w:tcPr>
            <w:tcW w:w="1553" w:type="dxa"/>
            <w:tcBorders>
              <w:top w:val="nil"/>
              <w:left w:val="nil"/>
              <w:bottom w:val="single" w:sz="8" w:space="0" w:color="auto"/>
              <w:right w:val="single" w:sz="8" w:space="0" w:color="auto"/>
            </w:tcBorders>
            <w:shd w:val="clear" w:color="000000" w:fill="B4C6E7"/>
            <w:noWrap/>
            <w:vAlign w:val="bottom"/>
            <w:hideMark/>
          </w:tcPr>
          <w:p w14:paraId="69F9601D" w14:textId="77777777" w:rsidR="00F97A8B" w:rsidRPr="00F97A8B" w:rsidRDefault="00F97A8B" w:rsidP="00F97A8B">
            <w:pPr>
              <w:jc w:val="center"/>
              <w:rPr>
                <w:rFonts w:ascii="Calibri" w:hAnsi="Calibri" w:cs="Calibri"/>
                <w:sz w:val="22"/>
                <w:szCs w:val="22"/>
              </w:rPr>
            </w:pPr>
            <w:r w:rsidRPr="00F97A8B">
              <w:rPr>
                <w:rFonts w:ascii="Calibri" w:hAnsi="Calibri" w:cs="Calibri"/>
                <w:sz w:val="22"/>
                <w:szCs w:val="22"/>
              </w:rPr>
              <w:t>6.50%</w:t>
            </w:r>
          </w:p>
        </w:tc>
      </w:tr>
      <w:tr w:rsidR="00F97A8B" w:rsidRPr="00F97A8B" w14:paraId="7A98D606" w14:textId="77777777" w:rsidTr="00F97A8B">
        <w:trPr>
          <w:trHeight w:val="442"/>
        </w:trPr>
        <w:tc>
          <w:tcPr>
            <w:tcW w:w="1163" w:type="dxa"/>
            <w:vMerge w:val="restart"/>
            <w:tcBorders>
              <w:top w:val="single" w:sz="8" w:space="0" w:color="auto"/>
              <w:left w:val="single" w:sz="8" w:space="0" w:color="auto"/>
              <w:bottom w:val="single" w:sz="8" w:space="0" w:color="000000"/>
              <w:right w:val="nil"/>
            </w:tcBorders>
            <w:shd w:val="clear" w:color="000000" w:fill="B4C6E7"/>
            <w:noWrap/>
            <w:textDirection w:val="btLr"/>
            <w:vAlign w:val="bottom"/>
            <w:hideMark/>
          </w:tcPr>
          <w:p w14:paraId="6FFF6CB3" w14:textId="77777777" w:rsidR="00F97A8B" w:rsidRPr="00F97A8B" w:rsidRDefault="00F97A8B" w:rsidP="00F97A8B">
            <w:pPr>
              <w:jc w:val="center"/>
              <w:rPr>
                <w:rFonts w:ascii="Calibri" w:hAnsi="Calibri" w:cs="Calibri"/>
                <w:b/>
                <w:bCs/>
                <w:sz w:val="22"/>
                <w:szCs w:val="22"/>
              </w:rPr>
            </w:pPr>
            <w:r w:rsidRPr="00F97A8B">
              <w:rPr>
                <w:rFonts w:ascii="Calibri" w:hAnsi="Calibri" w:cs="Calibri"/>
                <w:b/>
                <w:bCs/>
                <w:sz w:val="22"/>
                <w:szCs w:val="22"/>
              </w:rPr>
              <w:t>Terminal Value Rate</w:t>
            </w:r>
          </w:p>
        </w:tc>
        <w:tc>
          <w:tcPr>
            <w:tcW w:w="925" w:type="dxa"/>
            <w:tcBorders>
              <w:top w:val="single" w:sz="8" w:space="0" w:color="auto"/>
              <w:left w:val="nil"/>
              <w:bottom w:val="nil"/>
              <w:right w:val="single" w:sz="8" w:space="0" w:color="auto"/>
            </w:tcBorders>
            <w:shd w:val="clear" w:color="000000" w:fill="B4C6E7"/>
            <w:noWrap/>
            <w:vAlign w:val="bottom"/>
            <w:hideMark/>
          </w:tcPr>
          <w:p w14:paraId="34F9EF29" w14:textId="77777777" w:rsidR="00F97A8B" w:rsidRPr="00F97A8B" w:rsidRDefault="00F97A8B" w:rsidP="00F97A8B">
            <w:pPr>
              <w:jc w:val="right"/>
              <w:rPr>
                <w:rFonts w:ascii="Calibri" w:hAnsi="Calibri" w:cs="Calibri"/>
                <w:sz w:val="22"/>
                <w:szCs w:val="22"/>
              </w:rPr>
            </w:pPr>
            <w:r w:rsidRPr="00F97A8B">
              <w:rPr>
                <w:rFonts w:ascii="Calibri" w:hAnsi="Calibri" w:cs="Calibri"/>
                <w:sz w:val="22"/>
                <w:szCs w:val="22"/>
              </w:rPr>
              <w:t>2.75%</w:t>
            </w:r>
          </w:p>
        </w:tc>
        <w:tc>
          <w:tcPr>
            <w:tcW w:w="1552" w:type="dxa"/>
            <w:tcBorders>
              <w:top w:val="single" w:sz="8" w:space="0" w:color="auto"/>
              <w:left w:val="single" w:sz="8" w:space="0" w:color="auto"/>
              <w:bottom w:val="nil"/>
              <w:right w:val="nil"/>
            </w:tcBorders>
            <w:shd w:val="clear" w:color="000000" w:fill="CADF91"/>
            <w:noWrap/>
            <w:vAlign w:val="bottom"/>
            <w:hideMark/>
          </w:tcPr>
          <w:p w14:paraId="7358D387"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169.08 </w:t>
            </w:r>
          </w:p>
        </w:tc>
        <w:tc>
          <w:tcPr>
            <w:tcW w:w="1552" w:type="dxa"/>
            <w:tcBorders>
              <w:top w:val="single" w:sz="8" w:space="0" w:color="auto"/>
              <w:left w:val="nil"/>
              <w:bottom w:val="nil"/>
              <w:right w:val="nil"/>
            </w:tcBorders>
            <w:shd w:val="clear" w:color="000000" w:fill="DBE495"/>
            <w:noWrap/>
            <w:vAlign w:val="bottom"/>
            <w:hideMark/>
          </w:tcPr>
          <w:p w14:paraId="31B7E7DE"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155.13 </w:t>
            </w:r>
          </w:p>
        </w:tc>
        <w:tc>
          <w:tcPr>
            <w:tcW w:w="1552" w:type="dxa"/>
            <w:tcBorders>
              <w:top w:val="single" w:sz="8" w:space="0" w:color="auto"/>
              <w:left w:val="nil"/>
              <w:bottom w:val="nil"/>
              <w:right w:val="nil"/>
            </w:tcBorders>
            <w:shd w:val="clear" w:color="000000" w:fill="E9E898"/>
            <w:noWrap/>
            <w:vAlign w:val="bottom"/>
            <w:hideMark/>
          </w:tcPr>
          <w:p w14:paraId="7746F302"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143.21 </w:t>
            </w:r>
          </w:p>
        </w:tc>
        <w:tc>
          <w:tcPr>
            <w:tcW w:w="1552" w:type="dxa"/>
            <w:tcBorders>
              <w:top w:val="single" w:sz="8" w:space="0" w:color="auto"/>
              <w:left w:val="nil"/>
              <w:bottom w:val="nil"/>
              <w:right w:val="nil"/>
            </w:tcBorders>
            <w:shd w:val="clear" w:color="000000" w:fill="F5EC9A"/>
            <w:noWrap/>
            <w:vAlign w:val="bottom"/>
            <w:hideMark/>
          </w:tcPr>
          <w:p w14:paraId="77E578E0"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133.20 </w:t>
            </w:r>
          </w:p>
        </w:tc>
        <w:tc>
          <w:tcPr>
            <w:tcW w:w="1553" w:type="dxa"/>
            <w:tcBorders>
              <w:top w:val="single" w:sz="8" w:space="0" w:color="auto"/>
              <w:left w:val="nil"/>
              <w:bottom w:val="nil"/>
              <w:right w:val="single" w:sz="8" w:space="0" w:color="auto"/>
            </w:tcBorders>
            <w:shd w:val="clear" w:color="000000" w:fill="FFEF9C"/>
            <w:noWrap/>
            <w:vAlign w:val="bottom"/>
            <w:hideMark/>
          </w:tcPr>
          <w:p w14:paraId="395B31F8"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124.43 </w:t>
            </w:r>
          </w:p>
        </w:tc>
      </w:tr>
      <w:tr w:rsidR="00F97A8B" w:rsidRPr="00F97A8B" w14:paraId="7B5D5D4A" w14:textId="77777777" w:rsidTr="00F97A8B">
        <w:trPr>
          <w:trHeight w:val="442"/>
        </w:trPr>
        <w:tc>
          <w:tcPr>
            <w:tcW w:w="1163" w:type="dxa"/>
            <w:vMerge/>
            <w:tcBorders>
              <w:top w:val="single" w:sz="8" w:space="0" w:color="auto"/>
              <w:left w:val="single" w:sz="8" w:space="0" w:color="auto"/>
              <w:bottom w:val="single" w:sz="8" w:space="0" w:color="000000"/>
              <w:right w:val="nil"/>
            </w:tcBorders>
            <w:vAlign w:val="center"/>
            <w:hideMark/>
          </w:tcPr>
          <w:p w14:paraId="5457A9B3" w14:textId="77777777" w:rsidR="00F97A8B" w:rsidRPr="00F97A8B" w:rsidRDefault="00F97A8B" w:rsidP="00F97A8B">
            <w:pPr>
              <w:rPr>
                <w:rFonts w:ascii="Calibri" w:hAnsi="Calibri" w:cs="Calibri"/>
                <w:b/>
                <w:bCs/>
                <w:sz w:val="22"/>
                <w:szCs w:val="22"/>
              </w:rPr>
            </w:pPr>
          </w:p>
        </w:tc>
        <w:tc>
          <w:tcPr>
            <w:tcW w:w="925" w:type="dxa"/>
            <w:tcBorders>
              <w:top w:val="nil"/>
              <w:left w:val="nil"/>
              <w:bottom w:val="nil"/>
              <w:right w:val="single" w:sz="8" w:space="0" w:color="auto"/>
            </w:tcBorders>
            <w:shd w:val="clear" w:color="000000" w:fill="B4C6E7"/>
            <w:noWrap/>
            <w:vAlign w:val="bottom"/>
            <w:hideMark/>
          </w:tcPr>
          <w:p w14:paraId="42162C3E" w14:textId="77777777" w:rsidR="00F97A8B" w:rsidRPr="00F97A8B" w:rsidRDefault="00F97A8B" w:rsidP="00F97A8B">
            <w:pPr>
              <w:jc w:val="right"/>
              <w:rPr>
                <w:rFonts w:ascii="Calibri" w:hAnsi="Calibri" w:cs="Calibri"/>
                <w:sz w:val="22"/>
                <w:szCs w:val="22"/>
              </w:rPr>
            </w:pPr>
            <w:r w:rsidRPr="00F97A8B">
              <w:rPr>
                <w:rFonts w:ascii="Calibri" w:hAnsi="Calibri" w:cs="Calibri"/>
                <w:sz w:val="22"/>
                <w:szCs w:val="22"/>
              </w:rPr>
              <w:t>3.00%</w:t>
            </w:r>
          </w:p>
        </w:tc>
        <w:tc>
          <w:tcPr>
            <w:tcW w:w="1552" w:type="dxa"/>
            <w:tcBorders>
              <w:top w:val="nil"/>
              <w:left w:val="single" w:sz="8" w:space="0" w:color="auto"/>
              <w:bottom w:val="nil"/>
              <w:right w:val="nil"/>
            </w:tcBorders>
            <w:shd w:val="clear" w:color="000000" w:fill="B8D98D"/>
            <w:noWrap/>
            <w:vAlign w:val="bottom"/>
            <w:hideMark/>
          </w:tcPr>
          <w:p w14:paraId="67AC15CC"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184.15 </w:t>
            </w:r>
          </w:p>
        </w:tc>
        <w:tc>
          <w:tcPr>
            <w:tcW w:w="1552" w:type="dxa"/>
            <w:tcBorders>
              <w:top w:val="nil"/>
              <w:left w:val="nil"/>
              <w:bottom w:val="nil"/>
              <w:right w:val="nil"/>
            </w:tcBorders>
            <w:shd w:val="clear" w:color="000000" w:fill="CCDF92"/>
            <w:noWrap/>
            <w:vAlign w:val="bottom"/>
            <w:hideMark/>
          </w:tcPr>
          <w:p w14:paraId="4FCD13B1"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167.57 </w:t>
            </w:r>
          </w:p>
        </w:tc>
        <w:tc>
          <w:tcPr>
            <w:tcW w:w="1552" w:type="dxa"/>
            <w:tcBorders>
              <w:top w:val="nil"/>
              <w:left w:val="nil"/>
              <w:bottom w:val="nil"/>
              <w:right w:val="nil"/>
            </w:tcBorders>
            <w:shd w:val="clear" w:color="000000" w:fill="DDE595"/>
            <w:noWrap/>
            <w:vAlign w:val="bottom"/>
            <w:hideMark/>
          </w:tcPr>
          <w:p w14:paraId="09794C50"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153.62 </w:t>
            </w:r>
          </w:p>
        </w:tc>
        <w:tc>
          <w:tcPr>
            <w:tcW w:w="1552" w:type="dxa"/>
            <w:tcBorders>
              <w:top w:val="nil"/>
              <w:left w:val="nil"/>
              <w:bottom w:val="nil"/>
              <w:right w:val="nil"/>
            </w:tcBorders>
            <w:shd w:val="clear" w:color="000000" w:fill="EAE998"/>
            <w:noWrap/>
            <w:vAlign w:val="bottom"/>
            <w:hideMark/>
          </w:tcPr>
          <w:p w14:paraId="0D7158D4"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142.06 </w:t>
            </w:r>
          </w:p>
        </w:tc>
        <w:tc>
          <w:tcPr>
            <w:tcW w:w="1553" w:type="dxa"/>
            <w:tcBorders>
              <w:top w:val="nil"/>
              <w:left w:val="nil"/>
              <w:bottom w:val="nil"/>
              <w:right w:val="single" w:sz="8" w:space="0" w:color="auto"/>
            </w:tcBorders>
            <w:shd w:val="clear" w:color="000000" w:fill="F6ED9B"/>
            <w:noWrap/>
            <w:vAlign w:val="bottom"/>
            <w:hideMark/>
          </w:tcPr>
          <w:p w14:paraId="50698698"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132.04 </w:t>
            </w:r>
          </w:p>
        </w:tc>
      </w:tr>
      <w:tr w:rsidR="00F97A8B" w:rsidRPr="00F97A8B" w14:paraId="23E402A6" w14:textId="77777777" w:rsidTr="00F97A8B">
        <w:trPr>
          <w:trHeight w:val="442"/>
        </w:trPr>
        <w:tc>
          <w:tcPr>
            <w:tcW w:w="1163" w:type="dxa"/>
            <w:vMerge/>
            <w:tcBorders>
              <w:top w:val="single" w:sz="8" w:space="0" w:color="auto"/>
              <w:left w:val="single" w:sz="8" w:space="0" w:color="auto"/>
              <w:bottom w:val="single" w:sz="8" w:space="0" w:color="000000"/>
              <w:right w:val="nil"/>
            </w:tcBorders>
            <w:vAlign w:val="center"/>
            <w:hideMark/>
          </w:tcPr>
          <w:p w14:paraId="47D0EB8D" w14:textId="77777777" w:rsidR="00F97A8B" w:rsidRPr="00F97A8B" w:rsidRDefault="00F97A8B" w:rsidP="00F97A8B">
            <w:pPr>
              <w:rPr>
                <w:rFonts w:ascii="Calibri" w:hAnsi="Calibri" w:cs="Calibri"/>
                <w:b/>
                <w:bCs/>
                <w:sz w:val="22"/>
                <w:szCs w:val="22"/>
              </w:rPr>
            </w:pPr>
          </w:p>
        </w:tc>
        <w:tc>
          <w:tcPr>
            <w:tcW w:w="925" w:type="dxa"/>
            <w:tcBorders>
              <w:top w:val="nil"/>
              <w:left w:val="nil"/>
              <w:bottom w:val="nil"/>
              <w:right w:val="single" w:sz="8" w:space="0" w:color="auto"/>
            </w:tcBorders>
            <w:shd w:val="clear" w:color="000000" w:fill="B4C6E7"/>
            <w:noWrap/>
            <w:vAlign w:val="bottom"/>
            <w:hideMark/>
          </w:tcPr>
          <w:p w14:paraId="34E949E1" w14:textId="77777777" w:rsidR="00F97A8B" w:rsidRPr="00F97A8B" w:rsidRDefault="00F97A8B" w:rsidP="00F97A8B">
            <w:pPr>
              <w:jc w:val="right"/>
              <w:rPr>
                <w:rFonts w:ascii="Calibri" w:hAnsi="Calibri" w:cs="Calibri"/>
                <w:sz w:val="22"/>
                <w:szCs w:val="22"/>
              </w:rPr>
            </w:pPr>
            <w:r w:rsidRPr="00F97A8B">
              <w:rPr>
                <w:rFonts w:ascii="Calibri" w:hAnsi="Calibri" w:cs="Calibri"/>
                <w:sz w:val="22"/>
                <w:szCs w:val="22"/>
              </w:rPr>
              <w:t>3.25%</w:t>
            </w:r>
          </w:p>
        </w:tc>
        <w:tc>
          <w:tcPr>
            <w:tcW w:w="1552" w:type="dxa"/>
            <w:tcBorders>
              <w:top w:val="nil"/>
              <w:left w:val="single" w:sz="8" w:space="0" w:color="auto"/>
              <w:bottom w:val="nil"/>
              <w:right w:val="nil"/>
            </w:tcBorders>
            <w:shd w:val="clear" w:color="000000" w:fill="A2D289"/>
            <w:noWrap/>
            <w:vAlign w:val="bottom"/>
            <w:hideMark/>
          </w:tcPr>
          <w:p w14:paraId="74C4056A"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202.58 </w:t>
            </w:r>
          </w:p>
        </w:tc>
        <w:tc>
          <w:tcPr>
            <w:tcW w:w="1552" w:type="dxa"/>
            <w:tcBorders>
              <w:top w:val="nil"/>
              <w:left w:val="nil"/>
              <w:bottom w:val="nil"/>
              <w:right w:val="nil"/>
            </w:tcBorders>
            <w:shd w:val="clear" w:color="000000" w:fill="BADA8E"/>
            <w:noWrap/>
            <w:vAlign w:val="bottom"/>
            <w:hideMark/>
          </w:tcPr>
          <w:p w14:paraId="1F10BB0E"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182.50 </w:t>
            </w:r>
          </w:p>
        </w:tc>
        <w:tc>
          <w:tcPr>
            <w:tcW w:w="1552" w:type="dxa"/>
            <w:tcBorders>
              <w:top w:val="nil"/>
              <w:left w:val="nil"/>
              <w:bottom w:val="nil"/>
              <w:right w:val="nil"/>
            </w:tcBorders>
            <w:shd w:val="clear" w:color="000000" w:fill="CEE092"/>
            <w:noWrap/>
            <w:vAlign w:val="bottom"/>
            <w:hideMark/>
          </w:tcPr>
          <w:p w14:paraId="5FE4D230"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165.93 </w:t>
            </w:r>
          </w:p>
        </w:tc>
        <w:tc>
          <w:tcPr>
            <w:tcW w:w="1552" w:type="dxa"/>
            <w:tcBorders>
              <w:top w:val="nil"/>
              <w:left w:val="nil"/>
              <w:bottom w:val="nil"/>
              <w:right w:val="nil"/>
            </w:tcBorders>
            <w:shd w:val="clear" w:color="000000" w:fill="DEE595"/>
            <w:noWrap/>
            <w:vAlign w:val="bottom"/>
            <w:hideMark/>
          </w:tcPr>
          <w:p w14:paraId="68606DED"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152.39 </w:t>
            </w:r>
          </w:p>
        </w:tc>
        <w:tc>
          <w:tcPr>
            <w:tcW w:w="1553" w:type="dxa"/>
            <w:tcBorders>
              <w:top w:val="nil"/>
              <w:left w:val="nil"/>
              <w:bottom w:val="nil"/>
              <w:right w:val="single" w:sz="8" w:space="0" w:color="auto"/>
            </w:tcBorders>
            <w:shd w:val="clear" w:color="000000" w:fill="ECE998"/>
            <w:noWrap/>
            <w:vAlign w:val="bottom"/>
            <w:hideMark/>
          </w:tcPr>
          <w:p w14:paraId="56660BEA"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140.81 </w:t>
            </w:r>
          </w:p>
        </w:tc>
      </w:tr>
      <w:tr w:rsidR="00F97A8B" w:rsidRPr="00F97A8B" w14:paraId="613E0CFA" w14:textId="77777777" w:rsidTr="00F97A8B">
        <w:trPr>
          <w:trHeight w:val="442"/>
        </w:trPr>
        <w:tc>
          <w:tcPr>
            <w:tcW w:w="1163" w:type="dxa"/>
            <w:vMerge/>
            <w:tcBorders>
              <w:top w:val="single" w:sz="8" w:space="0" w:color="auto"/>
              <w:left w:val="single" w:sz="8" w:space="0" w:color="auto"/>
              <w:bottom w:val="single" w:sz="8" w:space="0" w:color="000000"/>
              <w:right w:val="nil"/>
            </w:tcBorders>
            <w:vAlign w:val="center"/>
            <w:hideMark/>
          </w:tcPr>
          <w:p w14:paraId="7D4670B2" w14:textId="77777777" w:rsidR="00F97A8B" w:rsidRPr="00F97A8B" w:rsidRDefault="00F97A8B" w:rsidP="00F97A8B">
            <w:pPr>
              <w:rPr>
                <w:rFonts w:ascii="Calibri" w:hAnsi="Calibri" w:cs="Calibri"/>
                <w:b/>
                <w:bCs/>
                <w:sz w:val="22"/>
                <w:szCs w:val="22"/>
              </w:rPr>
            </w:pPr>
          </w:p>
        </w:tc>
        <w:tc>
          <w:tcPr>
            <w:tcW w:w="925" w:type="dxa"/>
            <w:tcBorders>
              <w:top w:val="nil"/>
              <w:left w:val="nil"/>
              <w:bottom w:val="nil"/>
              <w:right w:val="single" w:sz="8" w:space="0" w:color="auto"/>
            </w:tcBorders>
            <w:shd w:val="clear" w:color="000000" w:fill="B4C6E7"/>
            <w:noWrap/>
            <w:vAlign w:val="bottom"/>
            <w:hideMark/>
          </w:tcPr>
          <w:p w14:paraId="125E4711" w14:textId="77777777" w:rsidR="00F97A8B" w:rsidRPr="00F97A8B" w:rsidRDefault="00F97A8B" w:rsidP="00F97A8B">
            <w:pPr>
              <w:jc w:val="right"/>
              <w:rPr>
                <w:rFonts w:ascii="Calibri" w:hAnsi="Calibri" w:cs="Calibri"/>
                <w:sz w:val="22"/>
                <w:szCs w:val="22"/>
              </w:rPr>
            </w:pPr>
            <w:r w:rsidRPr="00F97A8B">
              <w:rPr>
                <w:rFonts w:ascii="Calibri" w:hAnsi="Calibri" w:cs="Calibri"/>
                <w:sz w:val="22"/>
                <w:szCs w:val="22"/>
              </w:rPr>
              <w:t>3.50%</w:t>
            </w:r>
          </w:p>
        </w:tc>
        <w:tc>
          <w:tcPr>
            <w:tcW w:w="1552" w:type="dxa"/>
            <w:tcBorders>
              <w:top w:val="nil"/>
              <w:left w:val="single" w:sz="8" w:space="0" w:color="auto"/>
              <w:bottom w:val="nil"/>
              <w:right w:val="nil"/>
            </w:tcBorders>
            <w:shd w:val="clear" w:color="000000" w:fill="87CA83"/>
            <w:noWrap/>
            <w:vAlign w:val="bottom"/>
            <w:hideMark/>
          </w:tcPr>
          <w:p w14:paraId="45D907F4"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225.61 </w:t>
            </w:r>
          </w:p>
        </w:tc>
        <w:tc>
          <w:tcPr>
            <w:tcW w:w="1552" w:type="dxa"/>
            <w:tcBorders>
              <w:top w:val="nil"/>
              <w:left w:val="nil"/>
              <w:bottom w:val="nil"/>
              <w:right w:val="nil"/>
            </w:tcBorders>
            <w:shd w:val="clear" w:color="000000" w:fill="A4D389"/>
            <w:noWrap/>
            <w:vAlign w:val="bottom"/>
            <w:hideMark/>
          </w:tcPr>
          <w:p w14:paraId="3212FEFF"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200.75 </w:t>
            </w:r>
          </w:p>
        </w:tc>
        <w:tc>
          <w:tcPr>
            <w:tcW w:w="1552" w:type="dxa"/>
            <w:tcBorders>
              <w:top w:val="nil"/>
              <w:left w:val="nil"/>
              <w:bottom w:val="nil"/>
              <w:right w:val="nil"/>
            </w:tcBorders>
            <w:shd w:val="clear" w:color="000000" w:fill="BCDA8E"/>
            <w:noWrap/>
            <w:vAlign w:val="bottom"/>
            <w:hideMark/>
          </w:tcPr>
          <w:p w14:paraId="1DCD50EF"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180.69 </w:t>
            </w:r>
          </w:p>
        </w:tc>
        <w:tc>
          <w:tcPr>
            <w:tcW w:w="1552" w:type="dxa"/>
            <w:tcBorders>
              <w:top w:val="nil"/>
              <w:left w:val="nil"/>
              <w:bottom w:val="nil"/>
              <w:right w:val="nil"/>
            </w:tcBorders>
            <w:shd w:val="clear" w:color="000000" w:fill="D0E092"/>
            <w:noWrap/>
            <w:vAlign w:val="bottom"/>
            <w:hideMark/>
          </w:tcPr>
          <w:p w14:paraId="68A6A18F"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164.60 </w:t>
            </w:r>
          </w:p>
        </w:tc>
        <w:tc>
          <w:tcPr>
            <w:tcW w:w="1553" w:type="dxa"/>
            <w:tcBorders>
              <w:top w:val="nil"/>
              <w:left w:val="nil"/>
              <w:bottom w:val="nil"/>
              <w:right w:val="single" w:sz="8" w:space="0" w:color="auto"/>
            </w:tcBorders>
            <w:shd w:val="clear" w:color="000000" w:fill="E0E696"/>
            <w:noWrap/>
            <w:vAlign w:val="bottom"/>
            <w:hideMark/>
          </w:tcPr>
          <w:p w14:paraId="5B90E8C1"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151.05 </w:t>
            </w:r>
          </w:p>
        </w:tc>
      </w:tr>
      <w:tr w:rsidR="00F97A8B" w:rsidRPr="00F97A8B" w14:paraId="218C5FEA" w14:textId="77777777" w:rsidTr="00F97A8B">
        <w:trPr>
          <w:trHeight w:val="442"/>
        </w:trPr>
        <w:tc>
          <w:tcPr>
            <w:tcW w:w="1163" w:type="dxa"/>
            <w:vMerge/>
            <w:tcBorders>
              <w:top w:val="single" w:sz="8" w:space="0" w:color="auto"/>
              <w:left w:val="single" w:sz="8" w:space="0" w:color="auto"/>
              <w:bottom w:val="single" w:sz="8" w:space="0" w:color="000000"/>
              <w:right w:val="nil"/>
            </w:tcBorders>
            <w:vAlign w:val="center"/>
            <w:hideMark/>
          </w:tcPr>
          <w:p w14:paraId="2484BCFF" w14:textId="77777777" w:rsidR="00F97A8B" w:rsidRPr="00F97A8B" w:rsidRDefault="00F97A8B" w:rsidP="00F97A8B">
            <w:pPr>
              <w:rPr>
                <w:rFonts w:ascii="Calibri" w:hAnsi="Calibri" w:cs="Calibri"/>
                <w:b/>
                <w:bCs/>
                <w:sz w:val="22"/>
                <w:szCs w:val="22"/>
              </w:rPr>
            </w:pPr>
          </w:p>
        </w:tc>
        <w:tc>
          <w:tcPr>
            <w:tcW w:w="925" w:type="dxa"/>
            <w:tcBorders>
              <w:top w:val="nil"/>
              <w:left w:val="nil"/>
              <w:bottom w:val="single" w:sz="8" w:space="0" w:color="auto"/>
              <w:right w:val="single" w:sz="8" w:space="0" w:color="auto"/>
            </w:tcBorders>
            <w:shd w:val="clear" w:color="000000" w:fill="B4C6E7"/>
            <w:noWrap/>
            <w:vAlign w:val="bottom"/>
            <w:hideMark/>
          </w:tcPr>
          <w:p w14:paraId="135344E0" w14:textId="77777777" w:rsidR="00F97A8B" w:rsidRPr="00F97A8B" w:rsidRDefault="00F97A8B" w:rsidP="00F97A8B">
            <w:pPr>
              <w:jc w:val="right"/>
              <w:rPr>
                <w:rFonts w:ascii="Calibri" w:hAnsi="Calibri" w:cs="Calibri"/>
                <w:sz w:val="22"/>
                <w:szCs w:val="22"/>
              </w:rPr>
            </w:pPr>
            <w:r w:rsidRPr="00F97A8B">
              <w:rPr>
                <w:rFonts w:ascii="Calibri" w:hAnsi="Calibri" w:cs="Calibri"/>
                <w:sz w:val="22"/>
                <w:szCs w:val="22"/>
              </w:rPr>
              <w:t>3.75%</w:t>
            </w:r>
          </w:p>
        </w:tc>
        <w:tc>
          <w:tcPr>
            <w:tcW w:w="1552" w:type="dxa"/>
            <w:tcBorders>
              <w:top w:val="nil"/>
              <w:left w:val="single" w:sz="8" w:space="0" w:color="auto"/>
              <w:bottom w:val="single" w:sz="8" w:space="0" w:color="auto"/>
              <w:right w:val="nil"/>
            </w:tcBorders>
            <w:shd w:val="clear" w:color="000000" w:fill="63BE7B"/>
            <w:noWrap/>
            <w:vAlign w:val="bottom"/>
            <w:hideMark/>
          </w:tcPr>
          <w:p w14:paraId="7C860EBA"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255.22 </w:t>
            </w:r>
          </w:p>
        </w:tc>
        <w:tc>
          <w:tcPr>
            <w:tcW w:w="1552" w:type="dxa"/>
            <w:tcBorders>
              <w:top w:val="nil"/>
              <w:left w:val="nil"/>
              <w:bottom w:val="single" w:sz="8" w:space="0" w:color="auto"/>
              <w:right w:val="nil"/>
            </w:tcBorders>
            <w:shd w:val="clear" w:color="000000" w:fill="89CA83"/>
            <w:noWrap/>
            <w:vAlign w:val="bottom"/>
            <w:hideMark/>
          </w:tcPr>
          <w:p w14:paraId="3DEFEF1B"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223.57 </w:t>
            </w:r>
          </w:p>
        </w:tc>
        <w:tc>
          <w:tcPr>
            <w:tcW w:w="1552" w:type="dxa"/>
            <w:tcBorders>
              <w:top w:val="nil"/>
              <w:left w:val="nil"/>
              <w:bottom w:val="single" w:sz="8" w:space="0" w:color="auto"/>
              <w:right w:val="nil"/>
            </w:tcBorders>
            <w:shd w:val="clear" w:color="000000" w:fill="A7D48A"/>
            <w:noWrap/>
            <w:vAlign w:val="bottom"/>
            <w:hideMark/>
          </w:tcPr>
          <w:p w14:paraId="38B4AA43"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198.73 </w:t>
            </w:r>
          </w:p>
        </w:tc>
        <w:tc>
          <w:tcPr>
            <w:tcW w:w="1552" w:type="dxa"/>
            <w:tcBorders>
              <w:top w:val="nil"/>
              <w:left w:val="nil"/>
              <w:bottom w:val="single" w:sz="8" w:space="0" w:color="auto"/>
              <w:right w:val="nil"/>
            </w:tcBorders>
            <w:shd w:val="clear" w:color="000000" w:fill="BEDB8F"/>
            <w:noWrap/>
            <w:vAlign w:val="bottom"/>
            <w:hideMark/>
          </w:tcPr>
          <w:p w14:paraId="05F4A2D0"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179.26 </w:t>
            </w:r>
          </w:p>
        </w:tc>
        <w:tc>
          <w:tcPr>
            <w:tcW w:w="1553" w:type="dxa"/>
            <w:tcBorders>
              <w:top w:val="nil"/>
              <w:left w:val="nil"/>
              <w:bottom w:val="single" w:sz="8" w:space="0" w:color="auto"/>
              <w:right w:val="single" w:sz="8" w:space="0" w:color="auto"/>
            </w:tcBorders>
            <w:shd w:val="clear" w:color="000000" w:fill="D1E193"/>
            <w:noWrap/>
            <w:vAlign w:val="bottom"/>
            <w:hideMark/>
          </w:tcPr>
          <w:p w14:paraId="1516AA35" w14:textId="77777777" w:rsidR="00F97A8B" w:rsidRPr="00F97A8B" w:rsidRDefault="00F97A8B" w:rsidP="00F97A8B">
            <w:pPr>
              <w:rPr>
                <w:rFonts w:ascii="Calibri" w:hAnsi="Calibri" w:cs="Calibri"/>
                <w:sz w:val="22"/>
                <w:szCs w:val="22"/>
              </w:rPr>
            </w:pPr>
            <w:r w:rsidRPr="00F97A8B">
              <w:rPr>
                <w:rFonts w:ascii="Calibri" w:hAnsi="Calibri" w:cs="Calibri"/>
                <w:sz w:val="22"/>
                <w:szCs w:val="22"/>
              </w:rPr>
              <w:t xml:space="preserve"> $       163.15 </w:t>
            </w:r>
          </w:p>
        </w:tc>
      </w:tr>
    </w:tbl>
    <w:p w14:paraId="0739B021" w14:textId="4B269337" w:rsidR="00F97A8B" w:rsidRDefault="00F97A8B" w:rsidP="00534067">
      <w:pPr>
        <w:rPr>
          <w:rFonts w:ascii="Arial" w:hAnsi="Arial" w:cs="Arial"/>
          <w:b/>
          <w:szCs w:val="24"/>
        </w:rPr>
      </w:pPr>
    </w:p>
    <w:p w14:paraId="72083D56" w14:textId="77777777" w:rsidR="00F97A8B" w:rsidRDefault="00F97A8B" w:rsidP="00534067">
      <w:pPr>
        <w:rPr>
          <w:rFonts w:ascii="Arial" w:hAnsi="Arial" w:cs="Arial"/>
          <w:b/>
          <w:szCs w:val="24"/>
        </w:rPr>
      </w:pPr>
    </w:p>
    <w:p w14:paraId="21A50C9E" w14:textId="4B646B75" w:rsidR="00534067" w:rsidRPr="004932BB" w:rsidRDefault="00534067" w:rsidP="00534067">
      <w:pPr>
        <w:rPr>
          <w:rFonts w:ascii="Arial" w:hAnsi="Arial" w:cs="Arial"/>
          <w:b/>
          <w:color w:val="002060"/>
          <w:szCs w:val="24"/>
        </w:rPr>
      </w:pPr>
      <w:r w:rsidRPr="004932BB">
        <w:rPr>
          <w:rFonts w:ascii="Arial" w:hAnsi="Arial" w:cs="Arial"/>
          <w:b/>
          <w:color w:val="002060"/>
          <w:szCs w:val="24"/>
        </w:rPr>
        <w:t>Appendix F: Sources Used</w:t>
      </w:r>
    </w:p>
    <w:p w14:paraId="3B906130" w14:textId="04BA32B1" w:rsidR="00534067" w:rsidRDefault="00534067" w:rsidP="00002481">
      <w:pPr>
        <w:autoSpaceDE w:val="0"/>
        <w:autoSpaceDN w:val="0"/>
        <w:adjustRightInd w:val="0"/>
        <w:rPr>
          <w:rFonts w:ascii="Arial" w:hAnsi="Arial" w:cs="Arial"/>
          <w:sz w:val="18"/>
          <w:szCs w:val="18"/>
        </w:rPr>
      </w:pPr>
    </w:p>
    <w:p w14:paraId="175EAA25" w14:textId="77777777" w:rsidR="00534067" w:rsidRPr="00FB0D64" w:rsidRDefault="00534067" w:rsidP="00534067">
      <w:pPr>
        <w:autoSpaceDE w:val="0"/>
        <w:autoSpaceDN w:val="0"/>
        <w:adjustRightInd w:val="0"/>
        <w:ind w:left="720"/>
        <w:rPr>
          <w:rFonts w:ascii="Arial" w:eastAsiaTheme="minorEastAsia" w:hAnsi="Arial" w:cs="Arial"/>
          <w:color w:val="auto"/>
          <w:sz w:val="22"/>
          <w:szCs w:val="22"/>
          <w:lang w:eastAsia="zh-CN"/>
        </w:rPr>
      </w:pPr>
      <w:r w:rsidRPr="00FB0D64">
        <w:rPr>
          <w:rFonts w:ascii="Arial" w:eastAsiaTheme="minorEastAsia" w:hAnsi="Arial" w:cs="Arial"/>
          <w:i/>
          <w:iCs/>
          <w:color w:val="auto"/>
          <w:sz w:val="22"/>
          <w:szCs w:val="22"/>
          <w:lang w:eastAsia="zh-CN"/>
        </w:rPr>
        <w:t xml:space="preserve">Disney 10-K, </w:t>
      </w:r>
      <w:r w:rsidRPr="00FB0D64">
        <w:rPr>
          <w:rFonts w:ascii="Arial" w:eastAsiaTheme="minorEastAsia" w:hAnsi="Arial" w:cs="Arial"/>
          <w:color w:val="auto"/>
          <w:sz w:val="22"/>
          <w:szCs w:val="22"/>
          <w:lang w:eastAsia="zh-CN"/>
        </w:rPr>
        <w:t>Disney Investor Relations</w:t>
      </w:r>
    </w:p>
    <w:p w14:paraId="25B206B0" w14:textId="77777777" w:rsidR="00534067" w:rsidRPr="00FB0D64" w:rsidRDefault="00534067" w:rsidP="00534067">
      <w:pPr>
        <w:autoSpaceDE w:val="0"/>
        <w:autoSpaceDN w:val="0"/>
        <w:adjustRightInd w:val="0"/>
        <w:ind w:left="720"/>
        <w:rPr>
          <w:rFonts w:ascii="Arial" w:eastAsiaTheme="minorEastAsia" w:hAnsi="Arial" w:cs="Arial"/>
          <w:color w:val="auto"/>
          <w:sz w:val="22"/>
          <w:szCs w:val="22"/>
          <w:lang w:eastAsia="zh-CN"/>
        </w:rPr>
      </w:pPr>
      <w:r w:rsidRPr="00FB0D64">
        <w:rPr>
          <w:rFonts w:ascii="Arial" w:eastAsiaTheme="minorEastAsia" w:hAnsi="Arial" w:cs="Arial"/>
          <w:i/>
          <w:iCs/>
          <w:color w:val="auto"/>
          <w:sz w:val="22"/>
          <w:szCs w:val="22"/>
          <w:lang w:eastAsia="zh-CN"/>
        </w:rPr>
        <w:t xml:space="preserve">Disney 10Q, </w:t>
      </w:r>
      <w:r w:rsidRPr="00FB0D64">
        <w:rPr>
          <w:rFonts w:ascii="Arial" w:eastAsiaTheme="minorEastAsia" w:hAnsi="Arial" w:cs="Arial"/>
          <w:color w:val="auto"/>
          <w:sz w:val="22"/>
          <w:szCs w:val="22"/>
          <w:lang w:eastAsia="zh-CN"/>
        </w:rPr>
        <w:t>Disney Investor Relations</w:t>
      </w:r>
    </w:p>
    <w:p w14:paraId="2C98A493" w14:textId="77777777" w:rsidR="00C83682" w:rsidRPr="00FB0D64" w:rsidRDefault="00C83682" w:rsidP="00C83682">
      <w:pPr>
        <w:autoSpaceDE w:val="0"/>
        <w:autoSpaceDN w:val="0"/>
        <w:adjustRightInd w:val="0"/>
        <w:ind w:left="720"/>
        <w:rPr>
          <w:rFonts w:ascii="Arial" w:eastAsiaTheme="minorEastAsia" w:hAnsi="Arial" w:cs="Arial"/>
          <w:color w:val="auto"/>
          <w:sz w:val="22"/>
          <w:szCs w:val="22"/>
          <w:lang w:eastAsia="zh-CN"/>
        </w:rPr>
      </w:pPr>
      <w:r w:rsidRPr="00FB0D64">
        <w:rPr>
          <w:rFonts w:ascii="Arial" w:eastAsiaTheme="minorEastAsia" w:hAnsi="Arial" w:cs="Arial"/>
          <w:i/>
          <w:iCs/>
          <w:color w:val="auto"/>
          <w:sz w:val="22"/>
          <w:szCs w:val="22"/>
          <w:lang w:eastAsia="zh-CN"/>
        </w:rPr>
        <w:t xml:space="preserve">Disney’s 2018 Fiscal Full Year and Q4 2018 Earnings, </w:t>
      </w:r>
      <w:r w:rsidRPr="00FB0D64">
        <w:rPr>
          <w:rFonts w:ascii="Arial" w:eastAsiaTheme="minorEastAsia" w:hAnsi="Arial" w:cs="Arial"/>
          <w:color w:val="auto"/>
          <w:sz w:val="22"/>
          <w:szCs w:val="22"/>
          <w:lang w:eastAsia="zh-CN"/>
        </w:rPr>
        <w:t>Disney Investor Relations</w:t>
      </w:r>
    </w:p>
    <w:p w14:paraId="39B75F16" w14:textId="036ECFC6" w:rsidR="00534067" w:rsidRPr="00FB0D64" w:rsidRDefault="00534067" w:rsidP="00534067">
      <w:pPr>
        <w:autoSpaceDE w:val="0"/>
        <w:autoSpaceDN w:val="0"/>
        <w:adjustRightInd w:val="0"/>
        <w:ind w:left="720"/>
        <w:rPr>
          <w:rFonts w:ascii="Arial" w:eastAsiaTheme="minorEastAsia" w:hAnsi="Arial" w:cs="Arial"/>
          <w:color w:val="auto"/>
          <w:sz w:val="22"/>
          <w:szCs w:val="22"/>
          <w:lang w:eastAsia="zh-CN"/>
        </w:rPr>
      </w:pPr>
      <w:r w:rsidRPr="00FB0D64">
        <w:rPr>
          <w:rFonts w:ascii="Arial" w:eastAsiaTheme="minorEastAsia" w:hAnsi="Arial" w:cs="Arial"/>
          <w:i/>
          <w:iCs/>
          <w:color w:val="auto"/>
          <w:sz w:val="22"/>
          <w:szCs w:val="22"/>
          <w:lang w:eastAsia="zh-CN"/>
        </w:rPr>
        <w:t>Disney’s 201</w:t>
      </w:r>
      <w:r w:rsidR="003C45E4">
        <w:rPr>
          <w:rFonts w:ascii="Arial" w:eastAsiaTheme="minorEastAsia" w:hAnsi="Arial" w:cs="Arial"/>
          <w:i/>
          <w:iCs/>
          <w:color w:val="auto"/>
          <w:sz w:val="22"/>
          <w:szCs w:val="22"/>
          <w:lang w:eastAsia="zh-CN"/>
        </w:rPr>
        <w:t>9 Investor Day Presentation</w:t>
      </w:r>
      <w:r w:rsidRPr="00FB0D64">
        <w:rPr>
          <w:rFonts w:ascii="Arial" w:eastAsiaTheme="minorEastAsia" w:hAnsi="Arial" w:cs="Arial"/>
          <w:i/>
          <w:iCs/>
          <w:color w:val="auto"/>
          <w:sz w:val="22"/>
          <w:szCs w:val="22"/>
          <w:lang w:eastAsia="zh-CN"/>
        </w:rPr>
        <w:t xml:space="preserve">, </w:t>
      </w:r>
      <w:r w:rsidRPr="00FB0D64">
        <w:rPr>
          <w:rFonts w:ascii="Arial" w:eastAsiaTheme="minorEastAsia" w:hAnsi="Arial" w:cs="Arial"/>
          <w:color w:val="auto"/>
          <w:sz w:val="22"/>
          <w:szCs w:val="22"/>
          <w:lang w:eastAsia="zh-CN"/>
        </w:rPr>
        <w:t>Disney Investor Relations</w:t>
      </w:r>
    </w:p>
    <w:p w14:paraId="26D4021D" w14:textId="0C78F10A" w:rsidR="00DF6C2C" w:rsidRPr="00FB0D64" w:rsidRDefault="00DF6C2C" w:rsidP="00DF6C2C">
      <w:pPr>
        <w:autoSpaceDE w:val="0"/>
        <w:autoSpaceDN w:val="0"/>
        <w:adjustRightInd w:val="0"/>
        <w:ind w:left="720"/>
        <w:rPr>
          <w:rFonts w:ascii="Arial" w:eastAsiaTheme="minorEastAsia" w:hAnsi="Arial" w:cs="Arial"/>
          <w:color w:val="auto"/>
          <w:sz w:val="22"/>
          <w:szCs w:val="22"/>
          <w:lang w:eastAsia="zh-CN"/>
        </w:rPr>
      </w:pPr>
      <w:r w:rsidRPr="00FB0D64">
        <w:rPr>
          <w:rFonts w:ascii="Arial" w:eastAsiaTheme="minorEastAsia" w:hAnsi="Arial" w:cs="Arial"/>
          <w:i/>
          <w:iCs/>
          <w:color w:val="auto"/>
          <w:sz w:val="22"/>
          <w:szCs w:val="22"/>
          <w:lang w:eastAsia="zh-CN"/>
        </w:rPr>
        <w:t xml:space="preserve">Media and Telecom Disruption Mind Map, </w:t>
      </w:r>
      <w:r w:rsidRPr="00FB0D64">
        <w:rPr>
          <w:rFonts w:ascii="Arial" w:eastAsiaTheme="minorEastAsia" w:hAnsi="Arial" w:cs="Arial"/>
          <w:color w:val="auto"/>
          <w:sz w:val="22"/>
          <w:szCs w:val="22"/>
          <w:lang w:eastAsia="zh-CN"/>
        </w:rPr>
        <w:t>Patrick Terrion PowerPoint Presentation</w:t>
      </w:r>
    </w:p>
    <w:p w14:paraId="27B0C12E" w14:textId="31A4FA73" w:rsidR="00A365F7" w:rsidRPr="00FB0D64" w:rsidRDefault="00A365F7" w:rsidP="00534067">
      <w:pPr>
        <w:autoSpaceDE w:val="0"/>
        <w:autoSpaceDN w:val="0"/>
        <w:adjustRightInd w:val="0"/>
        <w:ind w:left="720"/>
        <w:rPr>
          <w:rFonts w:ascii="Arial" w:hAnsi="Arial" w:cs="Arial"/>
          <w:sz w:val="22"/>
          <w:szCs w:val="22"/>
        </w:rPr>
      </w:pPr>
      <w:r w:rsidRPr="00FB0D64">
        <w:rPr>
          <w:rFonts w:ascii="Arial" w:hAnsi="Arial" w:cs="Arial"/>
          <w:sz w:val="22"/>
          <w:szCs w:val="22"/>
        </w:rPr>
        <w:t>Argus Research Company</w:t>
      </w:r>
    </w:p>
    <w:p w14:paraId="647E7EB1" w14:textId="3010110F"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Bloomberg</w:t>
      </w:r>
    </w:p>
    <w:p w14:paraId="75E04E92" w14:textId="77777777"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Columbine Capital Services</w:t>
      </w:r>
    </w:p>
    <w:p w14:paraId="736B2F82" w14:textId="5BF297E6"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Disney Websites</w:t>
      </w:r>
    </w:p>
    <w:p w14:paraId="7AE50A30" w14:textId="5640A0DC" w:rsidR="00A365F7" w:rsidRPr="00FB0D64" w:rsidRDefault="00A365F7" w:rsidP="00534067">
      <w:pPr>
        <w:autoSpaceDE w:val="0"/>
        <w:autoSpaceDN w:val="0"/>
        <w:adjustRightInd w:val="0"/>
        <w:ind w:left="720"/>
        <w:rPr>
          <w:rFonts w:ascii="Arial" w:hAnsi="Arial" w:cs="Arial"/>
          <w:sz w:val="22"/>
          <w:szCs w:val="22"/>
        </w:rPr>
      </w:pPr>
      <w:r w:rsidRPr="00FB0D64">
        <w:rPr>
          <w:rFonts w:ascii="Arial" w:hAnsi="Arial" w:cs="Arial"/>
          <w:sz w:val="22"/>
          <w:szCs w:val="22"/>
        </w:rPr>
        <w:t>Fidelity Investor Platform</w:t>
      </w:r>
    </w:p>
    <w:p w14:paraId="6B09014A" w14:textId="5DFD6414" w:rsidR="009173A7" w:rsidRPr="00FB0D64" w:rsidRDefault="009173A7" w:rsidP="00534067">
      <w:pPr>
        <w:autoSpaceDE w:val="0"/>
        <w:autoSpaceDN w:val="0"/>
        <w:adjustRightInd w:val="0"/>
        <w:ind w:left="720"/>
        <w:rPr>
          <w:rFonts w:ascii="Arial" w:hAnsi="Arial" w:cs="Arial"/>
          <w:sz w:val="22"/>
          <w:szCs w:val="22"/>
        </w:rPr>
      </w:pPr>
      <w:r w:rsidRPr="00FB0D64">
        <w:rPr>
          <w:rFonts w:ascii="Arial" w:hAnsi="Arial" w:cs="Arial"/>
          <w:sz w:val="22"/>
          <w:szCs w:val="22"/>
        </w:rPr>
        <w:t>Ford Equity Research</w:t>
      </w:r>
    </w:p>
    <w:p w14:paraId="5CF54A40" w14:textId="554C1449" w:rsidR="009173A7" w:rsidRPr="00FB0D64" w:rsidRDefault="009173A7" w:rsidP="00534067">
      <w:pPr>
        <w:autoSpaceDE w:val="0"/>
        <w:autoSpaceDN w:val="0"/>
        <w:adjustRightInd w:val="0"/>
        <w:ind w:left="720"/>
        <w:rPr>
          <w:rFonts w:ascii="Arial" w:hAnsi="Arial" w:cs="Arial"/>
          <w:sz w:val="22"/>
          <w:szCs w:val="22"/>
        </w:rPr>
      </w:pPr>
      <w:r w:rsidRPr="00FB0D64">
        <w:rPr>
          <w:rFonts w:ascii="Arial" w:hAnsi="Arial" w:cs="Arial"/>
          <w:sz w:val="22"/>
          <w:szCs w:val="22"/>
        </w:rPr>
        <w:t>ISS-EVA</w:t>
      </w:r>
    </w:p>
    <w:p w14:paraId="7B0F2BF6" w14:textId="77876603"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Morningstar Inc.</w:t>
      </w:r>
    </w:p>
    <w:p w14:paraId="20617202" w14:textId="2FC04EC3"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S&amp;P NetAdvantage</w:t>
      </w:r>
    </w:p>
    <w:p w14:paraId="62B326EF" w14:textId="52DFD18C" w:rsidR="001B0712" w:rsidRPr="00FB0D64" w:rsidRDefault="001B0712" w:rsidP="00534067">
      <w:pPr>
        <w:autoSpaceDE w:val="0"/>
        <w:autoSpaceDN w:val="0"/>
        <w:adjustRightInd w:val="0"/>
        <w:ind w:left="720"/>
        <w:rPr>
          <w:rFonts w:ascii="Arial" w:hAnsi="Arial" w:cs="Arial"/>
          <w:sz w:val="22"/>
          <w:szCs w:val="22"/>
        </w:rPr>
      </w:pPr>
      <w:r w:rsidRPr="00FB0D64">
        <w:rPr>
          <w:rFonts w:ascii="Arial" w:hAnsi="Arial" w:cs="Arial"/>
          <w:sz w:val="22"/>
          <w:szCs w:val="22"/>
        </w:rPr>
        <w:t>ValuEngine, Inc.</w:t>
      </w:r>
    </w:p>
    <w:p w14:paraId="6F76DA33" w14:textId="63CF3FD7"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ValueLine</w:t>
      </w:r>
    </w:p>
    <w:p w14:paraId="20D0F865" w14:textId="4A04AA8F" w:rsidR="00534067" w:rsidRPr="00FB0D64" w:rsidRDefault="00534067" w:rsidP="00534067">
      <w:pPr>
        <w:autoSpaceDE w:val="0"/>
        <w:autoSpaceDN w:val="0"/>
        <w:adjustRightInd w:val="0"/>
        <w:ind w:left="720"/>
        <w:rPr>
          <w:rFonts w:ascii="Arial" w:hAnsi="Arial" w:cs="Arial"/>
          <w:sz w:val="22"/>
          <w:szCs w:val="22"/>
        </w:rPr>
      </w:pPr>
      <w:r w:rsidRPr="00FB0D64">
        <w:rPr>
          <w:rFonts w:ascii="Arial" w:hAnsi="Arial" w:cs="Arial"/>
          <w:sz w:val="22"/>
          <w:szCs w:val="22"/>
        </w:rPr>
        <w:t>Yahoo Finance Website</w:t>
      </w:r>
    </w:p>
    <w:p w14:paraId="2270386C" w14:textId="07116755" w:rsidR="00A365F7" w:rsidRPr="008F23EB" w:rsidRDefault="001B0712" w:rsidP="00F97A8B">
      <w:pPr>
        <w:autoSpaceDE w:val="0"/>
        <w:autoSpaceDN w:val="0"/>
        <w:adjustRightInd w:val="0"/>
        <w:ind w:left="720"/>
        <w:rPr>
          <w:rFonts w:ascii="Arial" w:hAnsi="Arial" w:cs="Arial"/>
          <w:sz w:val="18"/>
          <w:szCs w:val="18"/>
        </w:rPr>
      </w:pPr>
      <w:r w:rsidRPr="00FB0D64">
        <w:rPr>
          <w:rFonts w:ascii="Arial" w:hAnsi="Arial" w:cs="Arial"/>
          <w:sz w:val="22"/>
          <w:szCs w:val="22"/>
        </w:rPr>
        <w:t>Zacks Equity Research</w:t>
      </w:r>
    </w:p>
    <w:sectPr w:rsidR="00A365F7" w:rsidRPr="008F23EB" w:rsidSect="00FE6C28">
      <w:footerReference w:type="default" r:id="rId118"/>
      <w:pgSz w:w="12240" w:h="15840"/>
      <w:pgMar w:top="432" w:right="720" w:bottom="432"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DA2DF" w14:textId="77777777" w:rsidR="00235BE6" w:rsidRDefault="00235BE6" w:rsidP="00FE6C28">
      <w:r>
        <w:separator/>
      </w:r>
    </w:p>
  </w:endnote>
  <w:endnote w:type="continuationSeparator" w:id="0">
    <w:p w14:paraId="3AB7150C" w14:textId="77777777" w:rsidR="00235BE6" w:rsidRDefault="00235BE6" w:rsidP="00FE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4F26" w14:textId="77777777" w:rsidR="00D222D1" w:rsidRDefault="00D22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B744D" w14:textId="77777777" w:rsidR="00235BE6" w:rsidRDefault="00235BE6" w:rsidP="00FE6C28">
      <w:r>
        <w:separator/>
      </w:r>
    </w:p>
  </w:footnote>
  <w:footnote w:type="continuationSeparator" w:id="0">
    <w:p w14:paraId="76854995" w14:textId="77777777" w:rsidR="00235BE6" w:rsidRDefault="00235BE6" w:rsidP="00FE6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160E6"/>
    <w:multiLevelType w:val="hybridMultilevel"/>
    <w:tmpl w:val="5EB82F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4F3102"/>
    <w:multiLevelType w:val="hybridMultilevel"/>
    <w:tmpl w:val="A506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18"/>
    <w:rsid w:val="00002481"/>
    <w:rsid w:val="000155C2"/>
    <w:rsid w:val="00027054"/>
    <w:rsid w:val="00030C5C"/>
    <w:rsid w:val="00035F03"/>
    <w:rsid w:val="0006253F"/>
    <w:rsid w:val="000629A0"/>
    <w:rsid w:val="00073E7C"/>
    <w:rsid w:val="00074D9C"/>
    <w:rsid w:val="000920A8"/>
    <w:rsid w:val="000B3164"/>
    <w:rsid w:val="0010433A"/>
    <w:rsid w:val="001334F8"/>
    <w:rsid w:val="00135B11"/>
    <w:rsid w:val="001575FC"/>
    <w:rsid w:val="001824A0"/>
    <w:rsid w:val="0018693C"/>
    <w:rsid w:val="001965D3"/>
    <w:rsid w:val="001B0712"/>
    <w:rsid w:val="001B2D3D"/>
    <w:rsid w:val="001B4EFE"/>
    <w:rsid w:val="00235BE6"/>
    <w:rsid w:val="00254022"/>
    <w:rsid w:val="002750D0"/>
    <w:rsid w:val="00280D65"/>
    <w:rsid w:val="002843A4"/>
    <w:rsid w:val="002877BB"/>
    <w:rsid w:val="00296A87"/>
    <w:rsid w:val="002A20EB"/>
    <w:rsid w:val="002A5CCE"/>
    <w:rsid w:val="002B39AD"/>
    <w:rsid w:val="002C4261"/>
    <w:rsid w:val="002F365D"/>
    <w:rsid w:val="003A5F3C"/>
    <w:rsid w:val="003B14C6"/>
    <w:rsid w:val="003C45E4"/>
    <w:rsid w:val="003F1C69"/>
    <w:rsid w:val="0041340D"/>
    <w:rsid w:val="00420BFB"/>
    <w:rsid w:val="00426AE4"/>
    <w:rsid w:val="004840C0"/>
    <w:rsid w:val="004932BB"/>
    <w:rsid w:val="004967FE"/>
    <w:rsid w:val="004B1DAF"/>
    <w:rsid w:val="00502FC5"/>
    <w:rsid w:val="0050705C"/>
    <w:rsid w:val="00525508"/>
    <w:rsid w:val="00530D3B"/>
    <w:rsid w:val="00534067"/>
    <w:rsid w:val="00564DC6"/>
    <w:rsid w:val="00590744"/>
    <w:rsid w:val="005B2ACA"/>
    <w:rsid w:val="005B61B3"/>
    <w:rsid w:val="005E21F7"/>
    <w:rsid w:val="005E364B"/>
    <w:rsid w:val="005F2F33"/>
    <w:rsid w:val="00644225"/>
    <w:rsid w:val="00647A17"/>
    <w:rsid w:val="006A4E30"/>
    <w:rsid w:val="006A5BA9"/>
    <w:rsid w:val="006B42FA"/>
    <w:rsid w:val="006C4657"/>
    <w:rsid w:val="006C6161"/>
    <w:rsid w:val="006D1ED7"/>
    <w:rsid w:val="006D262B"/>
    <w:rsid w:val="006E435C"/>
    <w:rsid w:val="006F7291"/>
    <w:rsid w:val="00700D32"/>
    <w:rsid w:val="007060D4"/>
    <w:rsid w:val="007840D9"/>
    <w:rsid w:val="007935E0"/>
    <w:rsid w:val="00793C85"/>
    <w:rsid w:val="007A20E7"/>
    <w:rsid w:val="007B5F81"/>
    <w:rsid w:val="007C5109"/>
    <w:rsid w:val="007C7757"/>
    <w:rsid w:val="007C7BBB"/>
    <w:rsid w:val="007E14F1"/>
    <w:rsid w:val="007E3EE5"/>
    <w:rsid w:val="007E44E4"/>
    <w:rsid w:val="007E7A09"/>
    <w:rsid w:val="00812AED"/>
    <w:rsid w:val="008240AD"/>
    <w:rsid w:val="00834628"/>
    <w:rsid w:val="00835ECD"/>
    <w:rsid w:val="00885E20"/>
    <w:rsid w:val="00887AEE"/>
    <w:rsid w:val="008953CC"/>
    <w:rsid w:val="008C1E99"/>
    <w:rsid w:val="008F2318"/>
    <w:rsid w:val="008F23EB"/>
    <w:rsid w:val="0091434E"/>
    <w:rsid w:val="009173A7"/>
    <w:rsid w:val="00931E8B"/>
    <w:rsid w:val="0095422F"/>
    <w:rsid w:val="00954A22"/>
    <w:rsid w:val="00964195"/>
    <w:rsid w:val="00984254"/>
    <w:rsid w:val="009E0882"/>
    <w:rsid w:val="009E2F68"/>
    <w:rsid w:val="009F5CA4"/>
    <w:rsid w:val="009F7A24"/>
    <w:rsid w:val="009F7B80"/>
    <w:rsid w:val="00A365F7"/>
    <w:rsid w:val="00A42C75"/>
    <w:rsid w:val="00A865AD"/>
    <w:rsid w:val="00A97DC0"/>
    <w:rsid w:val="00AA4C5F"/>
    <w:rsid w:val="00AA7A6E"/>
    <w:rsid w:val="00AB1A34"/>
    <w:rsid w:val="00AB6BE9"/>
    <w:rsid w:val="00AC210A"/>
    <w:rsid w:val="00AC5679"/>
    <w:rsid w:val="00B022C2"/>
    <w:rsid w:val="00B25E51"/>
    <w:rsid w:val="00B314F6"/>
    <w:rsid w:val="00B33934"/>
    <w:rsid w:val="00B52EAA"/>
    <w:rsid w:val="00B61281"/>
    <w:rsid w:val="00B67321"/>
    <w:rsid w:val="00B87A22"/>
    <w:rsid w:val="00B96ECA"/>
    <w:rsid w:val="00B97E83"/>
    <w:rsid w:val="00BA23EF"/>
    <w:rsid w:val="00BC6E86"/>
    <w:rsid w:val="00C03ADF"/>
    <w:rsid w:val="00C140B9"/>
    <w:rsid w:val="00C34C0B"/>
    <w:rsid w:val="00C50938"/>
    <w:rsid w:val="00C51084"/>
    <w:rsid w:val="00C82C5E"/>
    <w:rsid w:val="00C83682"/>
    <w:rsid w:val="00CB2037"/>
    <w:rsid w:val="00CE0541"/>
    <w:rsid w:val="00CE45C0"/>
    <w:rsid w:val="00D01D00"/>
    <w:rsid w:val="00D10392"/>
    <w:rsid w:val="00D222D1"/>
    <w:rsid w:val="00D2430A"/>
    <w:rsid w:val="00D27880"/>
    <w:rsid w:val="00D3497F"/>
    <w:rsid w:val="00D37632"/>
    <w:rsid w:val="00D45C57"/>
    <w:rsid w:val="00D5135E"/>
    <w:rsid w:val="00D5461C"/>
    <w:rsid w:val="00D71033"/>
    <w:rsid w:val="00D90040"/>
    <w:rsid w:val="00DA3893"/>
    <w:rsid w:val="00DB6D5A"/>
    <w:rsid w:val="00DD216D"/>
    <w:rsid w:val="00DD53C4"/>
    <w:rsid w:val="00DF015D"/>
    <w:rsid w:val="00DF6C2C"/>
    <w:rsid w:val="00E00FE0"/>
    <w:rsid w:val="00E14908"/>
    <w:rsid w:val="00E2348B"/>
    <w:rsid w:val="00E2475B"/>
    <w:rsid w:val="00E37D34"/>
    <w:rsid w:val="00E461C4"/>
    <w:rsid w:val="00E46587"/>
    <w:rsid w:val="00E51908"/>
    <w:rsid w:val="00E7336B"/>
    <w:rsid w:val="00E80404"/>
    <w:rsid w:val="00E9227B"/>
    <w:rsid w:val="00EC067F"/>
    <w:rsid w:val="00EF1AE2"/>
    <w:rsid w:val="00EF3ADC"/>
    <w:rsid w:val="00F05886"/>
    <w:rsid w:val="00F118F4"/>
    <w:rsid w:val="00F32814"/>
    <w:rsid w:val="00F34C8D"/>
    <w:rsid w:val="00F5218C"/>
    <w:rsid w:val="00F53827"/>
    <w:rsid w:val="00F76ED9"/>
    <w:rsid w:val="00F810DD"/>
    <w:rsid w:val="00F916A5"/>
    <w:rsid w:val="00F96B7E"/>
    <w:rsid w:val="00F97A8B"/>
    <w:rsid w:val="00FB0D64"/>
    <w:rsid w:val="00FD1ED7"/>
    <w:rsid w:val="00FE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D78BC"/>
  <w14:defaultImageDpi w14:val="32767"/>
  <w15:chartTrackingRefBased/>
  <w15:docId w15:val="{A952C6F5-DFF3-0045-BB6A-542273FA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2318"/>
    <w:rPr>
      <w:rFonts w:ascii="Trebuchet MS" w:eastAsia="Times New Roman" w:hAnsi="Trebuchet MS" w:cs="Times New Roman"/>
      <w:color w:val="000000"/>
      <w:szCs w:val="20"/>
      <w:lang w:eastAsia="en-US"/>
    </w:rPr>
  </w:style>
  <w:style w:type="paragraph" w:styleId="Heading1">
    <w:name w:val="heading 1"/>
    <w:basedOn w:val="Normal"/>
    <w:next w:val="Normal"/>
    <w:link w:val="Heading1Char"/>
    <w:qFormat/>
    <w:rsid w:val="008F2318"/>
    <w:pPr>
      <w:keepNext/>
      <w:outlineLvl w:val="0"/>
    </w:pPr>
    <w:rPr>
      <w:rFonts w:ascii="Century Gothic" w:hAnsi="Century Gothic" w:cs="Arial"/>
      <w:b/>
      <w:color w:val="336699"/>
      <w:sz w:val="36"/>
      <w:szCs w:val="36"/>
    </w:rPr>
  </w:style>
  <w:style w:type="paragraph" w:styleId="Heading3">
    <w:name w:val="heading 3"/>
    <w:basedOn w:val="Normal"/>
    <w:next w:val="Normal"/>
    <w:link w:val="Heading3Char"/>
    <w:uiPriority w:val="9"/>
    <w:semiHidden/>
    <w:unhideWhenUsed/>
    <w:qFormat/>
    <w:rsid w:val="00FD1ED7"/>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2318"/>
    <w:rPr>
      <w:rFonts w:ascii="Century Gothic" w:eastAsia="Times New Roman" w:hAnsi="Century Gothic" w:cs="Arial"/>
      <w:b/>
      <w:color w:val="336699"/>
      <w:sz w:val="36"/>
      <w:szCs w:val="36"/>
      <w:lang w:eastAsia="en-US"/>
    </w:rPr>
  </w:style>
  <w:style w:type="paragraph" w:styleId="BodyText">
    <w:name w:val="Body Text"/>
    <w:link w:val="BodyTextChar"/>
    <w:rsid w:val="008F2318"/>
    <w:pPr>
      <w:spacing w:after="120" w:line="240" w:lineRule="atLeast"/>
    </w:pPr>
    <w:rPr>
      <w:rFonts w:ascii="Trebuchet MS" w:eastAsia="Times New Roman" w:hAnsi="Trebuchet MS" w:cs="Arial"/>
      <w:color w:val="000000"/>
      <w:sz w:val="22"/>
      <w:szCs w:val="20"/>
      <w:lang w:eastAsia="en-US"/>
    </w:rPr>
  </w:style>
  <w:style w:type="character" w:customStyle="1" w:styleId="BodyTextChar">
    <w:name w:val="Body Text Char"/>
    <w:basedOn w:val="DefaultParagraphFont"/>
    <w:link w:val="BodyText"/>
    <w:rsid w:val="008F2318"/>
    <w:rPr>
      <w:rFonts w:ascii="Trebuchet MS" w:eastAsia="Times New Roman" w:hAnsi="Trebuchet MS" w:cs="Arial"/>
      <w:color w:val="000000"/>
      <w:sz w:val="22"/>
      <w:szCs w:val="20"/>
      <w:lang w:eastAsia="en-US"/>
    </w:rPr>
  </w:style>
  <w:style w:type="paragraph" w:customStyle="1" w:styleId="Masthead">
    <w:name w:val="Masthead"/>
    <w:basedOn w:val="Normal"/>
    <w:rsid w:val="008F2318"/>
    <w:rPr>
      <w:rFonts w:ascii="Century Gothic" w:hAnsi="Century Gothic"/>
      <w:color w:val="FFFFFF"/>
      <w:sz w:val="96"/>
      <w:szCs w:val="96"/>
    </w:rPr>
  </w:style>
  <w:style w:type="paragraph" w:customStyle="1" w:styleId="CompanyInfo">
    <w:name w:val="Company Info"/>
    <w:basedOn w:val="Normal"/>
    <w:rsid w:val="008F2318"/>
    <w:rPr>
      <w:rFonts w:cs="Arial"/>
      <w:color w:val="336699"/>
      <w:spacing w:val="20"/>
      <w:sz w:val="18"/>
      <w:szCs w:val="18"/>
    </w:rPr>
  </w:style>
  <w:style w:type="table" w:styleId="TableGrid">
    <w:name w:val="Table Grid"/>
    <w:basedOn w:val="TableNormal"/>
    <w:uiPriority w:val="59"/>
    <w:rsid w:val="00DD21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D216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0D65"/>
    <w:rPr>
      <w:color w:val="0000FF"/>
      <w:u w:val="single"/>
    </w:rPr>
  </w:style>
  <w:style w:type="character" w:styleId="UnresolvedMention">
    <w:name w:val="Unresolved Mention"/>
    <w:basedOn w:val="DefaultParagraphFont"/>
    <w:uiPriority w:val="99"/>
    <w:rsid w:val="002C4261"/>
    <w:rPr>
      <w:color w:val="605E5C"/>
      <w:shd w:val="clear" w:color="auto" w:fill="E1DFDD"/>
    </w:rPr>
  </w:style>
  <w:style w:type="paragraph" w:styleId="BalloonText">
    <w:name w:val="Balloon Text"/>
    <w:basedOn w:val="Normal"/>
    <w:link w:val="BalloonTextChar"/>
    <w:uiPriority w:val="99"/>
    <w:semiHidden/>
    <w:unhideWhenUsed/>
    <w:rsid w:val="00931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E8B"/>
    <w:rPr>
      <w:rFonts w:ascii="Segoe UI" w:eastAsia="Times New Roman" w:hAnsi="Segoe UI" w:cs="Segoe UI"/>
      <w:color w:val="000000"/>
      <w:sz w:val="18"/>
      <w:szCs w:val="18"/>
      <w:lang w:eastAsia="en-US"/>
    </w:rPr>
  </w:style>
  <w:style w:type="paragraph" w:styleId="NoSpacing">
    <w:name w:val="No Spacing"/>
    <w:link w:val="NoSpacingChar"/>
    <w:uiPriority w:val="1"/>
    <w:qFormat/>
    <w:rsid w:val="00D45C57"/>
    <w:rPr>
      <w:sz w:val="22"/>
      <w:szCs w:val="22"/>
      <w:lang w:eastAsia="en-US"/>
    </w:rPr>
  </w:style>
  <w:style w:type="character" w:customStyle="1" w:styleId="NoSpacingChar">
    <w:name w:val="No Spacing Char"/>
    <w:basedOn w:val="DefaultParagraphFont"/>
    <w:link w:val="NoSpacing"/>
    <w:uiPriority w:val="1"/>
    <w:rsid w:val="00D45C57"/>
    <w:rPr>
      <w:sz w:val="22"/>
      <w:szCs w:val="22"/>
      <w:lang w:eastAsia="en-US"/>
    </w:rPr>
  </w:style>
  <w:style w:type="paragraph" w:styleId="TOCHeading">
    <w:name w:val="TOC Heading"/>
    <w:basedOn w:val="Heading1"/>
    <w:next w:val="Normal"/>
    <w:uiPriority w:val="39"/>
    <w:unhideWhenUsed/>
    <w:qFormat/>
    <w:rsid w:val="008C1E99"/>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8240AD"/>
    <w:pPr>
      <w:spacing w:after="100" w:line="259" w:lineRule="auto"/>
      <w:ind w:left="720"/>
    </w:pPr>
    <w:rPr>
      <w:rFonts w:asciiTheme="minorHAnsi" w:eastAsiaTheme="minorEastAsia" w:hAnsiTheme="minorHAnsi"/>
      <w:color w:val="auto"/>
      <w:sz w:val="22"/>
      <w:szCs w:val="22"/>
    </w:rPr>
  </w:style>
  <w:style w:type="paragraph" w:styleId="TOC1">
    <w:name w:val="toc 1"/>
    <w:basedOn w:val="Normal"/>
    <w:next w:val="Normal"/>
    <w:autoRedefine/>
    <w:uiPriority w:val="39"/>
    <w:unhideWhenUsed/>
    <w:rsid w:val="00D01D00"/>
    <w:pPr>
      <w:spacing w:after="100" w:line="259" w:lineRule="auto"/>
    </w:pPr>
    <w:rPr>
      <w:rFonts w:asciiTheme="minorHAnsi" w:eastAsiaTheme="minorEastAsia" w:hAnsiTheme="minorHAnsi"/>
      <w:b/>
      <w:bCs/>
      <w:color w:val="002060"/>
      <w:sz w:val="22"/>
      <w:szCs w:val="22"/>
    </w:rPr>
  </w:style>
  <w:style w:type="paragraph" w:styleId="TOC3">
    <w:name w:val="toc 3"/>
    <w:basedOn w:val="Normal"/>
    <w:next w:val="Normal"/>
    <w:autoRedefine/>
    <w:uiPriority w:val="39"/>
    <w:unhideWhenUsed/>
    <w:rsid w:val="008C1E99"/>
    <w:pPr>
      <w:spacing w:after="100" w:line="259" w:lineRule="auto"/>
      <w:ind w:left="440"/>
    </w:pPr>
    <w:rPr>
      <w:rFonts w:asciiTheme="minorHAnsi" w:eastAsiaTheme="minorEastAsia" w:hAnsiTheme="minorHAnsi"/>
      <w:color w:val="auto"/>
      <w:sz w:val="22"/>
      <w:szCs w:val="22"/>
    </w:rPr>
  </w:style>
  <w:style w:type="character" w:customStyle="1" w:styleId="Heading3Char">
    <w:name w:val="Heading 3 Char"/>
    <w:basedOn w:val="DefaultParagraphFont"/>
    <w:link w:val="Heading3"/>
    <w:uiPriority w:val="9"/>
    <w:semiHidden/>
    <w:rsid w:val="00FD1ED7"/>
    <w:rPr>
      <w:rFonts w:asciiTheme="majorHAnsi" w:eastAsiaTheme="majorEastAsia" w:hAnsiTheme="majorHAnsi" w:cstheme="majorBidi"/>
      <w:color w:val="1F3763" w:themeColor="accent1" w:themeShade="7F"/>
      <w:lang w:eastAsia="en-US"/>
    </w:rPr>
  </w:style>
  <w:style w:type="paragraph" w:styleId="NormalWeb">
    <w:name w:val="Normal (Web)"/>
    <w:basedOn w:val="Normal"/>
    <w:uiPriority w:val="99"/>
    <w:semiHidden/>
    <w:unhideWhenUsed/>
    <w:rsid w:val="00FD1ED7"/>
    <w:pPr>
      <w:spacing w:before="100" w:beforeAutospacing="1" w:after="100" w:afterAutospacing="1"/>
    </w:pPr>
    <w:rPr>
      <w:rFonts w:ascii="Times New Roman" w:hAnsi="Times New Roman"/>
      <w:color w:val="auto"/>
      <w:szCs w:val="24"/>
    </w:rPr>
  </w:style>
  <w:style w:type="paragraph" w:customStyle="1" w:styleId="p1">
    <w:name w:val="p1"/>
    <w:basedOn w:val="Normal"/>
    <w:rsid w:val="00FD1ED7"/>
    <w:pPr>
      <w:spacing w:before="100" w:beforeAutospacing="1" w:after="100" w:afterAutospacing="1"/>
    </w:pPr>
    <w:rPr>
      <w:rFonts w:ascii="Times New Roman" w:hAnsi="Times New Roman"/>
      <w:color w:val="auto"/>
      <w:szCs w:val="24"/>
    </w:rPr>
  </w:style>
  <w:style w:type="paragraph" w:styleId="ListParagraph">
    <w:name w:val="List Paragraph"/>
    <w:basedOn w:val="Normal"/>
    <w:uiPriority w:val="34"/>
    <w:qFormat/>
    <w:rsid w:val="002750D0"/>
    <w:pPr>
      <w:ind w:left="720"/>
      <w:contextualSpacing/>
    </w:pPr>
  </w:style>
  <w:style w:type="paragraph" w:styleId="Header">
    <w:name w:val="header"/>
    <w:basedOn w:val="Normal"/>
    <w:link w:val="HeaderChar"/>
    <w:uiPriority w:val="99"/>
    <w:unhideWhenUsed/>
    <w:rsid w:val="00FE6C28"/>
    <w:pPr>
      <w:tabs>
        <w:tab w:val="center" w:pos="4680"/>
        <w:tab w:val="right" w:pos="9360"/>
      </w:tabs>
    </w:pPr>
  </w:style>
  <w:style w:type="character" w:customStyle="1" w:styleId="HeaderChar">
    <w:name w:val="Header Char"/>
    <w:basedOn w:val="DefaultParagraphFont"/>
    <w:link w:val="Header"/>
    <w:uiPriority w:val="99"/>
    <w:rsid w:val="00FE6C28"/>
    <w:rPr>
      <w:rFonts w:ascii="Trebuchet MS" w:eastAsia="Times New Roman" w:hAnsi="Trebuchet MS" w:cs="Times New Roman"/>
      <w:color w:val="000000"/>
      <w:szCs w:val="20"/>
      <w:lang w:eastAsia="en-US"/>
    </w:rPr>
  </w:style>
  <w:style w:type="paragraph" w:styleId="Footer">
    <w:name w:val="footer"/>
    <w:basedOn w:val="Normal"/>
    <w:link w:val="FooterChar"/>
    <w:uiPriority w:val="99"/>
    <w:unhideWhenUsed/>
    <w:rsid w:val="00FE6C28"/>
    <w:pPr>
      <w:tabs>
        <w:tab w:val="center" w:pos="4680"/>
        <w:tab w:val="right" w:pos="9360"/>
      </w:tabs>
    </w:pPr>
  </w:style>
  <w:style w:type="character" w:customStyle="1" w:styleId="FooterChar">
    <w:name w:val="Footer Char"/>
    <w:basedOn w:val="DefaultParagraphFont"/>
    <w:link w:val="Footer"/>
    <w:uiPriority w:val="99"/>
    <w:rsid w:val="00FE6C28"/>
    <w:rPr>
      <w:rFonts w:ascii="Trebuchet MS" w:eastAsia="Times New Roman" w:hAnsi="Trebuchet MS"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64194">
      <w:bodyDiv w:val="1"/>
      <w:marLeft w:val="0"/>
      <w:marRight w:val="0"/>
      <w:marTop w:val="0"/>
      <w:marBottom w:val="0"/>
      <w:divBdr>
        <w:top w:val="none" w:sz="0" w:space="0" w:color="auto"/>
        <w:left w:val="none" w:sz="0" w:space="0" w:color="auto"/>
        <w:bottom w:val="none" w:sz="0" w:space="0" w:color="auto"/>
        <w:right w:val="none" w:sz="0" w:space="0" w:color="auto"/>
      </w:divBdr>
    </w:div>
    <w:div w:id="287467769">
      <w:bodyDiv w:val="1"/>
      <w:marLeft w:val="0"/>
      <w:marRight w:val="0"/>
      <w:marTop w:val="0"/>
      <w:marBottom w:val="0"/>
      <w:divBdr>
        <w:top w:val="none" w:sz="0" w:space="0" w:color="auto"/>
        <w:left w:val="none" w:sz="0" w:space="0" w:color="auto"/>
        <w:bottom w:val="none" w:sz="0" w:space="0" w:color="auto"/>
        <w:right w:val="none" w:sz="0" w:space="0" w:color="auto"/>
      </w:divBdr>
    </w:div>
    <w:div w:id="346906142">
      <w:bodyDiv w:val="1"/>
      <w:marLeft w:val="0"/>
      <w:marRight w:val="0"/>
      <w:marTop w:val="0"/>
      <w:marBottom w:val="0"/>
      <w:divBdr>
        <w:top w:val="none" w:sz="0" w:space="0" w:color="auto"/>
        <w:left w:val="none" w:sz="0" w:space="0" w:color="auto"/>
        <w:bottom w:val="none" w:sz="0" w:space="0" w:color="auto"/>
        <w:right w:val="none" w:sz="0" w:space="0" w:color="auto"/>
      </w:divBdr>
    </w:div>
    <w:div w:id="676276945">
      <w:bodyDiv w:val="1"/>
      <w:marLeft w:val="0"/>
      <w:marRight w:val="0"/>
      <w:marTop w:val="0"/>
      <w:marBottom w:val="0"/>
      <w:divBdr>
        <w:top w:val="none" w:sz="0" w:space="0" w:color="auto"/>
        <w:left w:val="none" w:sz="0" w:space="0" w:color="auto"/>
        <w:bottom w:val="none" w:sz="0" w:space="0" w:color="auto"/>
        <w:right w:val="none" w:sz="0" w:space="0" w:color="auto"/>
      </w:divBdr>
    </w:div>
    <w:div w:id="896891911">
      <w:bodyDiv w:val="1"/>
      <w:marLeft w:val="0"/>
      <w:marRight w:val="0"/>
      <w:marTop w:val="0"/>
      <w:marBottom w:val="0"/>
      <w:divBdr>
        <w:top w:val="none" w:sz="0" w:space="0" w:color="auto"/>
        <w:left w:val="none" w:sz="0" w:space="0" w:color="auto"/>
        <w:bottom w:val="none" w:sz="0" w:space="0" w:color="auto"/>
        <w:right w:val="none" w:sz="0" w:space="0" w:color="auto"/>
      </w:divBdr>
    </w:div>
    <w:div w:id="940995212">
      <w:bodyDiv w:val="1"/>
      <w:marLeft w:val="0"/>
      <w:marRight w:val="0"/>
      <w:marTop w:val="0"/>
      <w:marBottom w:val="0"/>
      <w:divBdr>
        <w:top w:val="none" w:sz="0" w:space="0" w:color="auto"/>
        <w:left w:val="none" w:sz="0" w:space="0" w:color="auto"/>
        <w:bottom w:val="none" w:sz="0" w:space="0" w:color="auto"/>
        <w:right w:val="none" w:sz="0" w:space="0" w:color="auto"/>
      </w:divBdr>
    </w:div>
    <w:div w:id="1216432045">
      <w:bodyDiv w:val="1"/>
      <w:marLeft w:val="0"/>
      <w:marRight w:val="0"/>
      <w:marTop w:val="0"/>
      <w:marBottom w:val="0"/>
      <w:divBdr>
        <w:top w:val="none" w:sz="0" w:space="0" w:color="auto"/>
        <w:left w:val="none" w:sz="0" w:space="0" w:color="auto"/>
        <w:bottom w:val="none" w:sz="0" w:space="0" w:color="auto"/>
        <w:right w:val="none" w:sz="0" w:space="0" w:color="auto"/>
      </w:divBdr>
    </w:div>
    <w:div w:id="1429429211">
      <w:bodyDiv w:val="1"/>
      <w:marLeft w:val="0"/>
      <w:marRight w:val="0"/>
      <w:marTop w:val="0"/>
      <w:marBottom w:val="0"/>
      <w:divBdr>
        <w:top w:val="none" w:sz="0" w:space="0" w:color="auto"/>
        <w:left w:val="none" w:sz="0" w:space="0" w:color="auto"/>
        <w:bottom w:val="none" w:sz="0" w:space="0" w:color="auto"/>
        <w:right w:val="none" w:sz="0" w:space="0" w:color="auto"/>
      </w:divBdr>
    </w:div>
    <w:div w:id="1430850596">
      <w:bodyDiv w:val="1"/>
      <w:marLeft w:val="0"/>
      <w:marRight w:val="0"/>
      <w:marTop w:val="0"/>
      <w:marBottom w:val="0"/>
      <w:divBdr>
        <w:top w:val="none" w:sz="0" w:space="0" w:color="auto"/>
        <w:left w:val="none" w:sz="0" w:space="0" w:color="auto"/>
        <w:bottom w:val="none" w:sz="0" w:space="0" w:color="auto"/>
        <w:right w:val="none" w:sz="0" w:space="0" w:color="auto"/>
      </w:divBdr>
    </w:div>
    <w:div w:id="1497839446">
      <w:bodyDiv w:val="1"/>
      <w:marLeft w:val="0"/>
      <w:marRight w:val="0"/>
      <w:marTop w:val="0"/>
      <w:marBottom w:val="0"/>
      <w:divBdr>
        <w:top w:val="none" w:sz="0" w:space="0" w:color="auto"/>
        <w:left w:val="none" w:sz="0" w:space="0" w:color="auto"/>
        <w:bottom w:val="none" w:sz="0" w:space="0" w:color="auto"/>
        <w:right w:val="none" w:sz="0" w:space="0" w:color="auto"/>
      </w:divBdr>
    </w:div>
    <w:div w:id="1677149800">
      <w:bodyDiv w:val="1"/>
      <w:marLeft w:val="0"/>
      <w:marRight w:val="0"/>
      <w:marTop w:val="0"/>
      <w:marBottom w:val="0"/>
      <w:divBdr>
        <w:top w:val="none" w:sz="0" w:space="0" w:color="auto"/>
        <w:left w:val="none" w:sz="0" w:space="0" w:color="auto"/>
        <w:bottom w:val="none" w:sz="0" w:space="0" w:color="auto"/>
        <w:right w:val="none" w:sz="0" w:space="0" w:color="auto"/>
      </w:divBdr>
    </w:div>
    <w:div w:id="1752458855">
      <w:bodyDiv w:val="1"/>
      <w:marLeft w:val="0"/>
      <w:marRight w:val="0"/>
      <w:marTop w:val="0"/>
      <w:marBottom w:val="0"/>
      <w:divBdr>
        <w:top w:val="none" w:sz="0" w:space="0" w:color="auto"/>
        <w:left w:val="none" w:sz="0" w:space="0" w:color="auto"/>
        <w:bottom w:val="none" w:sz="0" w:space="0" w:color="auto"/>
        <w:right w:val="none" w:sz="0" w:space="0" w:color="auto"/>
      </w:divBdr>
    </w:div>
    <w:div w:id="1784760049">
      <w:bodyDiv w:val="1"/>
      <w:marLeft w:val="0"/>
      <w:marRight w:val="0"/>
      <w:marTop w:val="0"/>
      <w:marBottom w:val="0"/>
      <w:divBdr>
        <w:top w:val="none" w:sz="0" w:space="0" w:color="auto"/>
        <w:left w:val="none" w:sz="0" w:space="0" w:color="auto"/>
        <w:bottom w:val="none" w:sz="0" w:space="0" w:color="auto"/>
        <w:right w:val="none" w:sz="0" w:space="0" w:color="auto"/>
      </w:divBdr>
    </w:div>
    <w:div w:id="188351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33.png"/><Relationship Id="rId21" Type="http://schemas.openxmlformats.org/officeDocument/2006/relationships/image" Target="media/image12.png"/><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image" Target="media/image28.PNG"/><Relationship Id="rId16" Type="http://schemas.openxmlformats.org/officeDocument/2006/relationships/image" Target="media/image9.png"/><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9" Type="http://schemas.openxmlformats.org/officeDocument/2006/relationships/chart" Target="charts/chart2.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13" Type="http://schemas.openxmlformats.org/officeDocument/2006/relationships/image" Target="media/image29.jpe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1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1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14" Type="http://schemas.openxmlformats.org/officeDocument/2006/relationships/image" Target="media/image30.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chart" Target="charts/chart1.xml"/><Relationship Id="rId39"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image" Target="media/image25.png"/><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image" Target="media/image26.png"/><Relationship Id="rId115"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t\Downloads\John_Test_Report_TTerrion_2017-08-15_04-34-05%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t\Downloads\John_Test_Report_TTerrion_2017-08-15_04-34-05%20(1).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Revenues (TV)</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651-48C9-A63B-E5040F50FA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651-48C9-A63B-E5040F50FA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651-48C9-A63B-E5040F50FA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651-48C9-A63B-E5040F50FAD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651-48C9-A63B-E5040F50FAD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E651-48C9-A63B-E5040F50FAD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E651-48C9-A63B-E5040F50FAD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E651-48C9-A63B-E5040F50F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Sheet1!$F$11:$F$18</c:f>
              <c:strCache>
                <c:ptCount val="8"/>
                <c:pt idx="0">
                  <c:v>AMC</c:v>
                </c:pt>
                <c:pt idx="1">
                  <c:v>Discovery</c:v>
                </c:pt>
                <c:pt idx="2">
                  <c:v>Viacom</c:v>
                </c:pt>
                <c:pt idx="3">
                  <c:v>CBS</c:v>
                </c:pt>
                <c:pt idx="4">
                  <c:v>Turner + HBO (ATT)</c:v>
                </c:pt>
                <c:pt idx="5">
                  <c:v>NBC</c:v>
                </c:pt>
                <c:pt idx="6">
                  <c:v>Fox</c:v>
                </c:pt>
                <c:pt idx="7">
                  <c:v>Disney</c:v>
                </c:pt>
              </c:strCache>
            </c:strRef>
          </c:cat>
          <c:val>
            <c:numRef>
              <c:f>Sheet1!$G$11:$G$18</c:f>
              <c:numCache>
                <c:formatCode>General</c:formatCode>
                <c:ptCount val="8"/>
                <c:pt idx="0">
                  <c:v>2.7</c:v>
                </c:pt>
                <c:pt idx="1">
                  <c:v>6.5</c:v>
                </c:pt>
                <c:pt idx="2">
                  <c:v>9.9</c:v>
                </c:pt>
                <c:pt idx="3">
                  <c:v>13</c:v>
                </c:pt>
                <c:pt idx="4">
                  <c:v>16.100000000000001</c:v>
                </c:pt>
                <c:pt idx="5">
                  <c:v>20.5</c:v>
                </c:pt>
                <c:pt idx="6">
                  <c:v>21.7</c:v>
                </c:pt>
                <c:pt idx="7">
                  <c:v>23.6</c:v>
                </c:pt>
              </c:numCache>
            </c:numRef>
          </c:val>
          <c:extLst>
            <c:ext xmlns:c16="http://schemas.microsoft.com/office/drawing/2014/chart" uri="{C3380CC4-5D6E-409C-BE32-E72D297353CC}">
              <c16:uniqueId val="{00000010-E651-48C9-A63B-E5040F50FA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044317239950269"/>
          <c:y val="0.64204315369669696"/>
          <c:w val="0.88135049730625792"/>
          <c:h val="0.30600879435525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Revenues Film</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D5-409C-83A0-678CF7D4118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D5-409C-83A0-678CF7D4118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BD5-409C-83A0-678CF7D4118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BD5-409C-83A0-678CF7D4118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BD5-409C-83A0-678CF7D4118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9BD5-409C-83A0-678CF7D4118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9BD5-409C-83A0-678CF7D4118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9BD5-409C-83A0-678CF7D4118A}"/>
              </c:ext>
            </c:extLst>
          </c:dPt>
          <c:dLbls>
            <c:dLbl>
              <c:idx val="4"/>
              <c:tx>
                <c:rich>
                  <a:bodyPr/>
                  <a:lstStyle/>
                  <a:p>
                    <a:fld id="{1925215B-C716-4F0E-9EE9-573CB43CABF7}"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BD5-409C-83A0-678CF7D411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Sheet1!$I$11:$I$18</c:f>
              <c:strCache>
                <c:ptCount val="8"/>
                <c:pt idx="0">
                  <c:v>Sony</c:v>
                </c:pt>
                <c:pt idx="1">
                  <c:v>MGM</c:v>
                </c:pt>
                <c:pt idx="2">
                  <c:v>Lionsgate</c:v>
                </c:pt>
                <c:pt idx="3">
                  <c:v>Viacom</c:v>
                </c:pt>
                <c:pt idx="4">
                  <c:v>NBC</c:v>
                </c:pt>
                <c:pt idx="5">
                  <c:v>Fox</c:v>
                </c:pt>
                <c:pt idx="6">
                  <c:v>Disney</c:v>
                </c:pt>
                <c:pt idx="7">
                  <c:v>Time Warner</c:v>
                </c:pt>
              </c:strCache>
            </c:strRef>
          </c:cat>
          <c:val>
            <c:numRef>
              <c:f>Sheet1!$J$11:$J$18</c:f>
              <c:numCache>
                <c:formatCode>General</c:formatCode>
                <c:ptCount val="8"/>
                <c:pt idx="0">
                  <c:v>0.41</c:v>
                </c:pt>
                <c:pt idx="1">
                  <c:v>1.9</c:v>
                </c:pt>
                <c:pt idx="2">
                  <c:v>1.92</c:v>
                </c:pt>
                <c:pt idx="3">
                  <c:v>2.6</c:v>
                </c:pt>
                <c:pt idx="4">
                  <c:v>6.36</c:v>
                </c:pt>
                <c:pt idx="5">
                  <c:v>8.23</c:v>
                </c:pt>
                <c:pt idx="6">
                  <c:v>9.44</c:v>
                </c:pt>
                <c:pt idx="7">
                  <c:v>13</c:v>
                </c:pt>
              </c:numCache>
            </c:numRef>
          </c:val>
          <c:extLst>
            <c:ext xmlns:c16="http://schemas.microsoft.com/office/drawing/2014/chart" uri="{C3380CC4-5D6E-409C-BE32-E72D297353CC}">
              <c16:uniqueId val="{00000010-9BD5-409C-83A0-678CF7D411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209473795E465A844D3698BFFE668C"/>
        <w:category>
          <w:name w:val="General"/>
          <w:gallery w:val="placeholder"/>
        </w:category>
        <w:types>
          <w:type w:val="bbPlcHdr"/>
        </w:types>
        <w:behaviors>
          <w:behavior w:val="content"/>
        </w:behaviors>
        <w:guid w:val="{E5331F3A-0876-45E9-82DF-3DCFE35633D1}"/>
      </w:docPartPr>
      <w:docPartBody>
        <w:p w:rsidR="000E3C7B" w:rsidRDefault="000E3C7B" w:rsidP="000E3C7B">
          <w:pPr>
            <w:pStyle w:val="31209473795E465A844D3698BFFE668C"/>
          </w:pPr>
          <w:r>
            <w:rPr>
              <w:rFonts w:asciiTheme="majorHAnsi" w:eastAsiaTheme="majorEastAsia" w:hAnsiTheme="majorHAnsi" w:cstheme="majorBidi"/>
              <w:caps/>
              <w:color w:val="4472C4" w:themeColor="accent1"/>
              <w:sz w:val="80"/>
              <w:szCs w:val="80"/>
            </w:rPr>
            <w:t>[Document title]</w:t>
          </w:r>
        </w:p>
      </w:docPartBody>
    </w:docPart>
    <w:docPart>
      <w:docPartPr>
        <w:name w:val="2B3EA6080CEA4FE8BA3CFE8E1E551D83"/>
        <w:category>
          <w:name w:val="General"/>
          <w:gallery w:val="placeholder"/>
        </w:category>
        <w:types>
          <w:type w:val="bbPlcHdr"/>
        </w:types>
        <w:behaviors>
          <w:behavior w:val="content"/>
        </w:behaviors>
        <w:guid w:val="{D3692DB0-0A9D-4285-B426-3DE6E77A25CA}"/>
      </w:docPartPr>
      <w:docPartBody>
        <w:p w:rsidR="000E3C7B" w:rsidRDefault="000E3C7B" w:rsidP="000E3C7B">
          <w:pPr>
            <w:pStyle w:val="2B3EA6080CEA4FE8BA3CFE8E1E551D8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C7B"/>
    <w:rsid w:val="000E3C7B"/>
    <w:rsid w:val="00320B34"/>
    <w:rsid w:val="0037219B"/>
    <w:rsid w:val="00932C1D"/>
    <w:rsid w:val="00C05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209473795E465A844D3698BFFE668C">
    <w:name w:val="31209473795E465A844D3698BFFE668C"/>
    <w:rsid w:val="000E3C7B"/>
  </w:style>
  <w:style w:type="paragraph" w:customStyle="1" w:styleId="2B3EA6080CEA4FE8BA3CFE8E1E551D83">
    <w:name w:val="2B3EA6080CEA4FE8BA3CFE8E1E551D83"/>
    <w:rsid w:val="000E3C7B"/>
  </w:style>
  <w:style w:type="paragraph" w:customStyle="1" w:styleId="5133E4D16AF04A07A59104F994C2B480">
    <w:name w:val="5133E4D16AF04A07A59104F994C2B480"/>
    <w:rsid w:val="000E3C7B"/>
  </w:style>
  <w:style w:type="paragraph" w:customStyle="1" w:styleId="250764FF28104366A97731446368CAA3">
    <w:name w:val="250764FF28104366A97731446368CAA3"/>
    <w:rsid w:val="000E3C7B"/>
  </w:style>
  <w:style w:type="paragraph" w:customStyle="1" w:styleId="DE135CDE051B42EEAC21D43BF0F09422">
    <w:name w:val="DE135CDE051B42EEAC21D43BF0F09422"/>
    <w:rsid w:val="000E3C7B"/>
  </w:style>
  <w:style w:type="paragraph" w:customStyle="1" w:styleId="0F51B46ABB434748B86EFCADA14F8526">
    <w:name w:val="0F51B46ABB434748B86EFCADA14F8526"/>
    <w:rsid w:val="000E3C7B"/>
  </w:style>
  <w:style w:type="paragraph" w:customStyle="1" w:styleId="4EF37323FD6D42D9AD46454D1ED9A856">
    <w:name w:val="4EF37323FD6D42D9AD46454D1ED9A856"/>
    <w:rsid w:val="000E3C7B"/>
  </w:style>
  <w:style w:type="paragraph" w:customStyle="1" w:styleId="06C25963535C4A67A305FD0E71C0D8B6">
    <w:name w:val="06C25963535C4A67A305FD0E71C0D8B6"/>
    <w:rsid w:val="000E3C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16</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Long Analyst Report</vt:lpstr>
    </vt:vector>
  </TitlesOfParts>
  <Company>UCONN Graduate student managed fund</Company>
  <LinksUpToDate>false</LinksUpToDate>
  <CharactersWithSpaces>37581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Analyst Report</dc:title>
  <dc:subject>Presented by Michael Misluk &amp; Abhishek Srivastava</dc:subject>
  <dc:creator>Microsoft Office User</dc:creator>
  <cp:keywords/>
  <dc:description/>
  <cp:lastModifiedBy>Michael Misluk</cp:lastModifiedBy>
  <cp:revision>18</cp:revision>
  <cp:lastPrinted>2019-04-21T01:30:00Z</cp:lastPrinted>
  <dcterms:created xsi:type="dcterms:W3CDTF">2019-01-24T23:14:00Z</dcterms:created>
  <dcterms:modified xsi:type="dcterms:W3CDTF">2019-04-26T20:58:00Z</dcterms:modified>
</cp:coreProperties>
</file>