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6CFDA" w14:textId="77777777" w:rsidR="00E62DD2" w:rsidRPr="007B60F7" w:rsidRDefault="007841C8">
      <w:pPr>
        <w:pStyle w:val="Title"/>
        <w:contextualSpacing w:val="0"/>
        <w:jc w:val="center"/>
        <w:rPr>
          <w:rFonts w:ascii="Arial" w:eastAsia="Arial" w:hAnsi="Arial" w:cs="Arial"/>
          <w:sz w:val="22"/>
          <w:szCs w:val="22"/>
        </w:rPr>
      </w:pPr>
      <w:bookmarkStart w:id="0" w:name="_GoBack"/>
      <w:bookmarkEnd w:id="0"/>
      <w:r>
        <w:rPr>
          <w:noProof/>
        </w:rPr>
        <w:drawing>
          <wp:anchor distT="0" distB="0" distL="114300" distR="114300" simplePos="0" relativeHeight="251665408" behindDoc="1" locked="0" layoutInCell="1" allowOverlap="1" wp14:anchorId="2CC6A907" wp14:editId="5C4F2A7D">
            <wp:simplePos x="0" y="0"/>
            <wp:positionH relativeFrom="page">
              <wp:align>center</wp:align>
            </wp:positionH>
            <wp:positionV relativeFrom="margin">
              <wp:posOffset>-236868</wp:posOffset>
            </wp:positionV>
            <wp:extent cx="6398262" cy="1645920"/>
            <wp:effectExtent l="0" t="0" r="2540" b="0"/>
            <wp:wrapTight wrapText="bothSides">
              <wp:wrapPolygon edited="0">
                <wp:start x="3087" y="1167"/>
                <wp:lineTo x="0" y="1500"/>
                <wp:lineTo x="0" y="11667"/>
                <wp:lineTo x="10804" y="12167"/>
                <wp:lineTo x="10804" y="14833"/>
                <wp:lineTo x="5145" y="16167"/>
                <wp:lineTo x="4116" y="16500"/>
                <wp:lineTo x="4073" y="18667"/>
                <wp:lineTo x="4287" y="19833"/>
                <wp:lineTo x="17107" y="19833"/>
                <wp:lineTo x="17235" y="19500"/>
                <wp:lineTo x="17450" y="18167"/>
                <wp:lineTo x="17493" y="16667"/>
                <wp:lineTo x="10761" y="14833"/>
                <wp:lineTo x="10804" y="12167"/>
                <wp:lineTo x="12476" y="12167"/>
                <wp:lineTo x="13505" y="11167"/>
                <wp:lineTo x="13462" y="9500"/>
                <wp:lineTo x="17278" y="9500"/>
                <wp:lineTo x="21566" y="8167"/>
                <wp:lineTo x="21566" y="4667"/>
                <wp:lineTo x="20708" y="4500"/>
                <wp:lineTo x="13462" y="4167"/>
                <wp:lineTo x="13548" y="1667"/>
                <wp:lineTo x="13205" y="1500"/>
                <wp:lineTo x="6688" y="1167"/>
                <wp:lineTo x="3087" y="1167"/>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tudent-managed-fund-stamford-side_blue.eps"/>
                    <pic:cNvPicPr/>
                  </pic:nvPicPr>
                  <pic:blipFill>
                    <a:blip r:embed="rId7">
                      <a:extLst>
                        <a:ext uri="{28A0092B-C50C-407E-A947-70E740481C1C}">
                          <a14:useLocalDpi xmlns:a14="http://schemas.microsoft.com/office/drawing/2010/main" val="0"/>
                        </a:ext>
                      </a:extLst>
                    </a:blip>
                    <a:stretch>
                      <a:fillRect/>
                    </a:stretch>
                  </pic:blipFill>
                  <pic:spPr>
                    <a:xfrm>
                      <a:off x="0" y="0"/>
                      <a:ext cx="6398262" cy="1645920"/>
                    </a:xfrm>
                    <a:prstGeom prst="rect">
                      <a:avLst/>
                    </a:prstGeom>
                  </pic:spPr>
                </pic:pic>
              </a:graphicData>
            </a:graphic>
            <wp14:sizeRelH relativeFrom="page">
              <wp14:pctWidth>0</wp14:pctWidth>
            </wp14:sizeRelH>
            <wp14:sizeRelV relativeFrom="page">
              <wp14:pctHeight>0</wp14:pctHeight>
            </wp14:sizeRelV>
          </wp:anchor>
        </w:drawing>
      </w:r>
    </w:p>
    <w:p w14:paraId="0690B0D8" w14:textId="77777777" w:rsidR="00E62DD2" w:rsidRPr="007B60F7" w:rsidRDefault="00E62DD2">
      <w:pPr>
        <w:rPr>
          <w:rFonts w:ascii="Arial" w:hAnsi="Arial" w:cs="Arial"/>
        </w:rPr>
      </w:pPr>
    </w:p>
    <w:p w14:paraId="77DD0F5B" w14:textId="77777777" w:rsidR="00E62DD2" w:rsidRPr="007B60F7" w:rsidRDefault="007841C8">
      <w:pPr>
        <w:rPr>
          <w:rFonts w:ascii="Arial" w:hAnsi="Arial" w:cs="Arial"/>
        </w:rPr>
      </w:pPr>
      <w:r w:rsidRPr="007B60F7">
        <w:rPr>
          <w:rFonts w:ascii="Arial" w:hAnsi="Arial" w:cs="Arial"/>
          <w:noProof/>
        </w:rPr>
        <w:drawing>
          <wp:anchor distT="0" distB="0" distL="114300" distR="114300" simplePos="0" relativeHeight="251659264" behindDoc="1" locked="0" layoutInCell="1" allowOverlap="1" wp14:anchorId="641DD90C" wp14:editId="681C80D1">
            <wp:simplePos x="0" y="0"/>
            <wp:positionH relativeFrom="page">
              <wp:align>center</wp:align>
            </wp:positionH>
            <wp:positionV relativeFrom="page">
              <wp:align>center</wp:align>
            </wp:positionV>
            <wp:extent cx="4251960" cy="4489704"/>
            <wp:effectExtent l="0" t="0" r="2540" b="6350"/>
            <wp:wrapTight wrapText="bothSides">
              <wp:wrapPolygon edited="0">
                <wp:start x="0" y="0"/>
                <wp:lineTo x="0" y="21569"/>
                <wp:lineTo x="21548" y="21569"/>
                <wp:lineTo x="21548" y="0"/>
                <wp:lineTo x="0" y="0"/>
              </wp:wrapPolygon>
            </wp:wrapTight>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4251960" cy="4489704"/>
                    </a:xfrm>
                    <a:prstGeom prst="rect">
                      <a:avLst/>
                    </a:prstGeom>
                    <a:ln/>
                  </pic:spPr>
                </pic:pic>
              </a:graphicData>
            </a:graphic>
            <wp14:sizeRelH relativeFrom="margin">
              <wp14:pctWidth>0</wp14:pctWidth>
            </wp14:sizeRelH>
            <wp14:sizeRelV relativeFrom="margin">
              <wp14:pctHeight>0</wp14:pctHeight>
            </wp14:sizeRelV>
          </wp:anchor>
        </w:drawing>
      </w:r>
    </w:p>
    <w:p w14:paraId="76A2FB6F" w14:textId="77777777" w:rsidR="00E62DD2" w:rsidRPr="007B60F7" w:rsidRDefault="00E62DD2">
      <w:pPr>
        <w:rPr>
          <w:rFonts w:ascii="Arial" w:hAnsi="Arial" w:cs="Arial"/>
        </w:rPr>
      </w:pPr>
    </w:p>
    <w:p w14:paraId="6594C862" w14:textId="77777777" w:rsidR="00E62DD2" w:rsidRPr="007B60F7" w:rsidRDefault="00E62DD2">
      <w:pPr>
        <w:rPr>
          <w:rFonts w:ascii="Arial" w:eastAsia="Arial" w:hAnsi="Arial" w:cs="Arial"/>
        </w:rPr>
      </w:pPr>
    </w:p>
    <w:p w14:paraId="17D84992" w14:textId="77777777" w:rsidR="001B74E0" w:rsidRPr="007B60F7" w:rsidRDefault="001B74E0" w:rsidP="001B74E0">
      <w:pPr>
        <w:jc w:val="center"/>
        <w:rPr>
          <w:rFonts w:ascii="Arial" w:hAnsi="Arial" w:cs="Arial"/>
        </w:rPr>
      </w:pPr>
    </w:p>
    <w:p w14:paraId="5F8B2414" w14:textId="77777777" w:rsidR="001B74E0" w:rsidRPr="007B60F7" w:rsidRDefault="001B74E0" w:rsidP="001B74E0">
      <w:pPr>
        <w:jc w:val="center"/>
        <w:rPr>
          <w:rFonts w:ascii="Arial" w:hAnsi="Arial" w:cs="Arial"/>
        </w:rPr>
      </w:pPr>
    </w:p>
    <w:p w14:paraId="77F3FC63" w14:textId="77777777" w:rsidR="001B74E0" w:rsidRPr="007B60F7" w:rsidRDefault="001B74E0" w:rsidP="001B74E0">
      <w:pPr>
        <w:rPr>
          <w:rFonts w:ascii="Arial" w:hAnsi="Arial" w:cs="Arial"/>
        </w:rPr>
      </w:pPr>
    </w:p>
    <w:p w14:paraId="66265C19" w14:textId="77777777" w:rsidR="007841C8" w:rsidRDefault="007841C8">
      <w:pPr>
        <w:rPr>
          <w:rFonts w:ascii="Arial" w:hAnsi="Arial" w:cs="Arial"/>
          <w:b/>
          <w:color w:val="000000" w:themeColor="text1"/>
          <w:u w:val="single"/>
        </w:rPr>
      </w:pPr>
      <w:r>
        <w:rPr>
          <w:noProof/>
        </w:rPr>
        <mc:AlternateContent>
          <mc:Choice Requires="wps">
            <w:drawing>
              <wp:anchor distT="0" distB="0" distL="114300" distR="114300" simplePos="0" relativeHeight="251656704" behindDoc="0" locked="0" layoutInCell="1" allowOverlap="1" wp14:anchorId="2886BB80" wp14:editId="53D3F4B7">
                <wp:simplePos x="0" y="0"/>
                <wp:positionH relativeFrom="column">
                  <wp:posOffset>-914400</wp:posOffset>
                </wp:positionH>
                <wp:positionV relativeFrom="paragraph">
                  <wp:posOffset>4829175</wp:posOffset>
                </wp:positionV>
                <wp:extent cx="7863840" cy="2201545"/>
                <wp:effectExtent l="0" t="0" r="10160" b="8255"/>
                <wp:wrapNone/>
                <wp:docPr id="47" name="Text Box 47"/>
                <wp:cNvGraphicFramePr/>
                <a:graphic xmlns:a="http://schemas.openxmlformats.org/drawingml/2006/main">
                  <a:graphicData uri="http://schemas.microsoft.com/office/word/2010/wordprocessingShape">
                    <wps:wsp>
                      <wps:cNvSpPr txBox="1"/>
                      <wps:spPr>
                        <a:xfrm>
                          <a:off x="0" y="0"/>
                          <a:ext cx="7863840" cy="2201545"/>
                        </a:xfrm>
                        <a:prstGeom prst="rect">
                          <a:avLst/>
                        </a:prstGeom>
                        <a:solidFill>
                          <a:srgbClr val="000E2F"/>
                        </a:solidFill>
                        <a:ln w="6350">
                          <a:solidFill>
                            <a:prstClr val="black"/>
                          </a:solidFill>
                        </a:ln>
                      </wps:spPr>
                      <wps:txbx>
                        <w:txbxContent>
                          <w:p w14:paraId="462CFC8B" w14:textId="77777777" w:rsidR="007E3509" w:rsidRDefault="007E3509" w:rsidP="007841C8">
                            <w:pPr>
                              <w:spacing w:line="240" w:lineRule="auto"/>
                              <w:jc w:val="center"/>
                              <w:rPr>
                                <w:b/>
                                <w:sz w:val="72"/>
                                <w:szCs w:val="72"/>
                                <w14:textOutline w14:w="9525" w14:cap="rnd" w14:cmpd="sng" w14:algn="ctr">
                                  <w14:solidFill>
                                    <w14:schemeClr w14:val="bg2"/>
                                  </w14:solidFill>
                                  <w14:prstDash w14:val="solid"/>
                                  <w14:bevel/>
                                </w14:textOutline>
                              </w:rPr>
                            </w:pPr>
                            <w:r w:rsidRPr="00191004">
                              <w:rPr>
                                <w:b/>
                                <w:sz w:val="72"/>
                                <w:szCs w:val="72"/>
                                <w14:textOutline w14:w="9525" w14:cap="rnd" w14:cmpd="sng" w14:algn="ctr">
                                  <w14:solidFill>
                                    <w14:schemeClr w14:val="bg2"/>
                                  </w14:solidFill>
                                  <w14:prstDash w14:val="solid"/>
                                  <w14:bevel/>
                                </w14:textOutline>
                              </w:rPr>
                              <w:t>Portfolio Report- Fall 2018</w:t>
                            </w:r>
                          </w:p>
                          <w:p w14:paraId="46E13D8F" w14:textId="77777777" w:rsidR="007E3509" w:rsidRDefault="007E3509" w:rsidP="007841C8">
                            <w:pPr>
                              <w:spacing w:line="240" w:lineRule="auto"/>
                              <w:jc w:val="center"/>
                              <w:rPr>
                                <w:b/>
                                <w:sz w:val="32"/>
                                <w:szCs w:val="32"/>
                                <w14:textOutline w14:w="9525" w14:cap="rnd" w14:cmpd="sng" w14:algn="ctr">
                                  <w14:solidFill>
                                    <w14:schemeClr w14:val="bg2"/>
                                  </w14:solidFill>
                                  <w14:prstDash w14:val="solid"/>
                                  <w14:bevel/>
                                </w14:textOutline>
                              </w:rPr>
                            </w:pPr>
                            <w:r w:rsidRPr="005F0F1B">
                              <w:rPr>
                                <w:b/>
                                <w:sz w:val="32"/>
                                <w:szCs w:val="32"/>
                                <w14:textOutline w14:w="9525" w14:cap="rnd" w14:cmpd="sng" w14:algn="ctr">
                                  <w14:solidFill>
                                    <w14:schemeClr w14:val="bg2"/>
                                  </w14:solidFill>
                                  <w14:prstDash w14:val="solid"/>
                                  <w14:bevel/>
                                </w14:textOutline>
                              </w:rPr>
                              <w:t>December 6</w:t>
                            </w:r>
                            <w:r w:rsidRPr="005F0F1B">
                              <w:rPr>
                                <w:b/>
                                <w:sz w:val="32"/>
                                <w:szCs w:val="32"/>
                                <w:vertAlign w:val="superscript"/>
                                <w14:textOutline w14:w="9525" w14:cap="rnd" w14:cmpd="sng" w14:algn="ctr">
                                  <w14:solidFill>
                                    <w14:schemeClr w14:val="bg2"/>
                                  </w14:solidFill>
                                  <w14:prstDash w14:val="solid"/>
                                  <w14:bevel/>
                                </w14:textOutline>
                              </w:rPr>
                              <w:t>th</w:t>
                            </w:r>
                            <w:r w:rsidRPr="005F0F1B">
                              <w:rPr>
                                <w:b/>
                                <w:sz w:val="32"/>
                                <w:szCs w:val="32"/>
                                <w14:textOutline w14:w="9525" w14:cap="rnd" w14:cmpd="sng" w14:algn="ctr">
                                  <w14:solidFill>
                                    <w14:schemeClr w14:val="bg2"/>
                                  </w14:solidFill>
                                  <w14:prstDash w14:val="solid"/>
                                  <w14:bevel/>
                                </w14:textOutline>
                              </w:rPr>
                              <w:t>, 2018</w:t>
                            </w:r>
                          </w:p>
                          <w:p w14:paraId="4A03615A" w14:textId="77777777" w:rsidR="007E3509" w:rsidRPr="005F0F1B" w:rsidRDefault="007E3509" w:rsidP="007841C8">
                            <w:pPr>
                              <w:spacing w:line="240" w:lineRule="auto"/>
                              <w:jc w:val="center"/>
                              <w:rPr>
                                <w:b/>
                                <w:sz w:val="32"/>
                                <w:szCs w:val="32"/>
                                <w14:textOutline w14:w="9525" w14:cap="rnd" w14:cmpd="sng" w14:algn="ctr">
                                  <w14:solidFill>
                                    <w14:schemeClr w14:val="bg2"/>
                                  </w14:solidFill>
                                  <w14:prstDash w14:val="solid"/>
                                  <w14:bevel/>
                                </w14:textOutline>
                              </w:rPr>
                            </w:pPr>
                            <w:r w:rsidRPr="005F0F1B">
                              <w:rPr>
                                <w:b/>
                                <w:sz w:val="32"/>
                                <w:szCs w:val="32"/>
                                <w14:textOutline w14:w="9525" w14:cap="rnd" w14:cmpd="sng" w14:algn="ctr">
                                  <w14:solidFill>
                                    <w14:schemeClr w14:val="bg2"/>
                                  </w14:solidFill>
                                  <w14:prstDash w14:val="solid"/>
                                  <w14:bevel/>
                                </w14:textOutline>
                              </w:rPr>
                              <w:t>Team</w:t>
                            </w:r>
                            <w:r>
                              <w:rPr>
                                <w:b/>
                                <w:sz w:val="32"/>
                                <w:szCs w:val="32"/>
                                <w14:textOutline w14:w="9525" w14:cap="rnd" w14:cmpd="sng" w14:algn="ctr">
                                  <w14:solidFill>
                                    <w14:schemeClr w14:val="bg2"/>
                                  </w14:solidFill>
                                  <w14:prstDash w14:val="solid"/>
                                  <w14:bevel/>
                                </w14:textOutline>
                              </w:rPr>
                              <w:t xml:space="preserve"> Stamford</w:t>
                            </w:r>
                          </w:p>
                          <w:p w14:paraId="7EBAA1B1" w14:textId="77777777" w:rsidR="007E3509" w:rsidRPr="005F0F1B" w:rsidRDefault="007E3509" w:rsidP="007841C8">
                            <w:pPr>
                              <w:jc w:val="center"/>
                              <w:rPr>
                                <w:b/>
                                <w:sz w:val="40"/>
                                <w:szCs w:val="40"/>
                                <w14:textOutline w14:w="9525" w14:cap="rnd" w14:cmpd="sng" w14:algn="ctr">
                                  <w14:solidFill>
                                    <w14:schemeClr w14:val="bg2"/>
                                  </w14:solidFill>
                                  <w14:prstDash w14:val="solid"/>
                                  <w14:bevel/>
                                </w14:textOutline>
                              </w:rPr>
                            </w:pPr>
                          </w:p>
                          <w:p w14:paraId="58DA07FF" w14:textId="77777777" w:rsidR="007E3509" w:rsidRPr="005F0F1B" w:rsidRDefault="007E3509" w:rsidP="007841C8">
                            <w:pPr>
                              <w:jc w:val="center"/>
                              <w:rPr>
                                <w:b/>
                                <w:sz w:val="40"/>
                                <w:szCs w:val="40"/>
                                <w14:textOutline w14:w="9525" w14:cap="rnd" w14:cmpd="sng" w14:algn="ctr">
                                  <w14:solidFill>
                                    <w14:schemeClr w14:val="bg2"/>
                                  </w14:solidFill>
                                  <w14:prstDash w14:val="solid"/>
                                  <w14:bevel/>
                                </w14:textOutline>
                              </w:rPr>
                            </w:pPr>
                          </w:p>
                          <w:p w14:paraId="3F71B5DA" w14:textId="77777777" w:rsidR="007E3509" w:rsidRPr="00191004" w:rsidRDefault="007E3509" w:rsidP="007841C8">
                            <w:pPr>
                              <w:jc w:val="center"/>
                              <w:rPr>
                                <w:b/>
                                <w:sz w:val="72"/>
                                <w:szCs w:val="72"/>
                                <w14:textOutline w14:w="9525" w14:cap="rnd" w14:cmpd="sng" w14:algn="ctr">
                                  <w14:solidFill>
                                    <w14:schemeClr w14:val="bg2"/>
                                  </w14:solidFill>
                                  <w14:prstDash w14:val="solid"/>
                                  <w14:bevel/>
                                </w14:textOutline>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86BB80" id="_x0000_t202" coordsize="21600,21600" o:spt="202" path="m,l,21600r21600,l21600,xe">
                <v:stroke joinstyle="miter"/>
                <v:path gradientshapeok="t" o:connecttype="rect"/>
              </v:shapetype>
              <v:shape id="Text Box 47" o:spid="_x0000_s1026" type="#_x0000_t202" style="position:absolute;margin-left:-1in;margin-top:380.25pt;width:619.2pt;height:173.3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" fillcolor="#000e2f" strokeweight=".5pt">
                <v:textbox inset=",14.4pt">
                  <w:txbxContent>
                    <w:p w14:paraId="462CFC8B" w14:textId="77777777" w:rsidR="007E3509" w:rsidRDefault="007E3509" w:rsidP="007841C8">
                      <w:pPr>
                        <w:spacing w:line="240" w:lineRule="auto"/>
                        <w:jc w:val="center"/>
                        <w:rPr>
                          <w:b/>
                          <w:sz w:val="72"/>
                          <w:szCs w:val="72"/>
                          <w14:textOutline w14:w="9525" w14:cap="rnd" w14:cmpd="sng" w14:algn="ctr">
                            <w14:solidFill>
                              <w14:schemeClr w14:val="bg2"/>
                            </w14:solidFill>
                            <w14:prstDash w14:val="solid"/>
                            <w14:bevel/>
                          </w14:textOutline>
                        </w:rPr>
                      </w:pPr>
                      <w:r w:rsidRPr="00191004">
                        <w:rPr>
                          <w:b/>
                          <w:sz w:val="72"/>
                          <w:szCs w:val="72"/>
                          <w14:textOutline w14:w="9525" w14:cap="rnd" w14:cmpd="sng" w14:algn="ctr">
                            <w14:solidFill>
                              <w14:schemeClr w14:val="bg2"/>
                            </w14:solidFill>
                            <w14:prstDash w14:val="solid"/>
                            <w14:bevel/>
                          </w14:textOutline>
                        </w:rPr>
                        <w:t>Portfolio Report- Fall 2018</w:t>
                      </w:r>
                    </w:p>
                    <w:p w14:paraId="46E13D8F" w14:textId="77777777" w:rsidR="007E3509" w:rsidRDefault="007E3509" w:rsidP="007841C8">
                      <w:pPr>
                        <w:spacing w:line="240" w:lineRule="auto"/>
                        <w:jc w:val="center"/>
                        <w:rPr>
                          <w:b/>
                          <w:sz w:val="32"/>
                          <w:szCs w:val="32"/>
                          <w14:textOutline w14:w="9525" w14:cap="rnd" w14:cmpd="sng" w14:algn="ctr">
                            <w14:solidFill>
                              <w14:schemeClr w14:val="bg2"/>
                            </w14:solidFill>
                            <w14:prstDash w14:val="solid"/>
                            <w14:bevel/>
                          </w14:textOutline>
                        </w:rPr>
                      </w:pPr>
                      <w:r w:rsidRPr="005F0F1B">
                        <w:rPr>
                          <w:b/>
                          <w:sz w:val="32"/>
                          <w:szCs w:val="32"/>
                          <w14:textOutline w14:w="9525" w14:cap="rnd" w14:cmpd="sng" w14:algn="ctr">
                            <w14:solidFill>
                              <w14:schemeClr w14:val="bg2"/>
                            </w14:solidFill>
                            <w14:prstDash w14:val="solid"/>
                            <w14:bevel/>
                          </w14:textOutline>
                        </w:rPr>
                        <w:t>December 6</w:t>
                      </w:r>
                      <w:r w:rsidRPr="005F0F1B">
                        <w:rPr>
                          <w:b/>
                          <w:sz w:val="32"/>
                          <w:szCs w:val="32"/>
                          <w:vertAlign w:val="superscript"/>
                          <w14:textOutline w14:w="9525" w14:cap="rnd" w14:cmpd="sng" w14:algn="ctr">
                            <w14:solidFill>
                              <w14:schemeClr w14:val="bg2"/>
                            </w14:solidFill>
                            <w14:prstDash w14:val="solid"/>
                            <w14:bevel/>
                          </w14:textOutline>
                        </w:rPr>
                        <w:t>th</w:t>
                      </w:r>
                      <w:r w:rsidRPr="005F0F1B">
                        <w:rPr>
                          <w:b/>
                          <w:sz w:val="32"/>
                          <w:szCs w:val="32"/>
                          <w14:textOutline w14:w="9525" w14:cap="rnd" w14:cmpd="sng" w14:algn="ctr">
                            <w14:solidFill>
                              <w14:schemeClr w14:val="bg2"/>
                            </w14:solidFill>
                            <w14:prstDash w14:val="solid"/>
                            <w14:bevel/>
                          </w14:textOutline>
                        </w:rPr>
                        <w:t>, 2018</w:t>
                      </w:r>
                    </w:p>
                    <w:p w14:paraId="4A03615A" w14:textId="77777777" w:rsidR="007E3509" w:rsidRPr="005F0F1B" w:rsidRDefault="007E3509" w:rsidP="007841C8">
                      <w:pPr>
                        <w:spacing w:line="240" w:lineRule="auto"/>
                        <w:jc w:val="center"/>
                        <w:rPr>
                          <w:b/>
                          <w:sz w:val="32"/>
                          <w:szCs w:val="32"/>
                          <w14:textOutline w14:w="9525" w14:cap="rnd" w14:cmpd="sng" w14:algn="ctr">
                            <w14:solidFill>
                              <w14:schemeClr w14:val="bg2"/>
                            </w14:solidFill>
                            <w14:prstDash w14:val="solid"/>
                            <w14:bevel/>
                          </w14:textOutline>
                        </w:rPr>
                      </w:pPr>
                      <w:r w:rsidRPr="005F0F1B">
                        <w:rPr>
                          <w:b/>
                          <w:sz w:val="32"/>
                          <w:szCs w:val="32"/>
                          <w14:textOutline w14:w="9525" w14:cap="rnd" w14:cmpd="sng" w14:algn="ctr">
                            <w14:solidFill>
                              <w14:schemeClr w14:val="bg2"/>
                            </w14:solidFill>
                            <w14:prstDash w14:val="solid"/>
                            <w14:bevel/>
                          </w14:textOutline>
                        </w:rPr>
                        <w:t>Team</w:t>
                      </w:r>
                      <w:r>
                        <w:rPr>
                          <w:b/>
                          <w:sz w:val="32"/>
                          <w:szCs w:val="32"/>
                          <w14:textOutline w14:w="9525" w14:cap="rnd" w14:cmpd="sng" w14:algn="ctr">
                            <w14:solidFill>
                              <w14:schemeClr w14:val="bg2"/>
                            </w14:solidFill>
                            <w14:prstDash w14:val="solid"/>
                            <w14:bevel/>
                          </w14:textOutline>
                        </w:rPr>
                        <w:t xml:space="preserve"> Stamford</w:t>
                      </w:r>
                    </w:p>
                    <w:p w14:paraId="7EBAA1B1" w14:textId="77777777" w:rsidR="007E3509" w:rsidRPr="005F0F1B" w:rsidRDefault="007E3509" w:rsidP="007841C8">
                      <w:pPr>
                        <w:jc w:val="center"/>
                        <w:rPr>
                          <w:b/>
                          <w:sz w:val="40"/>
                          <w:szCs w:val="40"/>
                          <w14:textOutline w14:w="9525" w14:cap="rnd" w14:cmpd="sng" w14:algn="ctr">
                            <w14:solidFill>
                              <w14:schemeClr w14:val="bg2"/>
                            </w14:solidFill>
                            <w14:prstDash w14:val="solid"/>
                            <w14:bevel/>
                          </w14:textOutline>
                        </w:rPr>
                      </w:pPr>
                    </w:p>
                    <w:p w14:paraId="58DA07FF" w14:textId="77777777" w:rsidR="007E3509" w:rsidRPr="005F0F1B" w:rsidRDefault="007E3509" w:rsidP="007841C8">
                      <w:pPr>
                        <w:jc w:val="center"/>
                        <w:rPr>
                          <w:b/>
                          <w:sz w:val="40"/>
                          <w:szCs w:val="40"/>
                          <w14:textOutline w14:w="9525" w14:cap="rnd" w14:cmpd="sng" w14:algn="ctr">
                            <w14:solidFill>
                              <w14:schemeClr w14:val="bg2"/>
                            </w14:solidFill>
                            <w14:prstDash w14:val="solid"/>
                            <w14:bevel/>
                          </w14:textOutline>
                        </w:rPr>
                      </w:pPr>
                    </w:p>
                    <w:p w14:paraId="3F71B5DA" w14:textId="77777777" w:rsidR="007E3509" w:rsidRPr="00191004" w:rsidRDefault="007E3509" w:rsidP="007841C8">
                      <w:pPr>
                        <w:jc w:val="center"/>
                        <w:rPr>
                          <w:b/>
                          <w:sz w:val="72"/>
                          <w:szCs w:val="72"/>
                          <w14:textOutline w14:w="9525" w14:cap="rnd" w14:cmpd="sng" w14:algn="ctr">
                            <w14:solidFill>
                              <w14:schemeClr w14:val="bg2"/>
                            </w14:solidFill>
                            <w14:prstDash w14:val="solid"/>
                            <w14:bevel/>
                          </w14:textOutline>
                        </w:rPr>
                      </w:pPr>
                    </w:p>
                  </w:txbxContent>
                </v:textbox>
              </v:shape>
            </w:pict>
          </mc:Fallback>
        </mc:AlternateContent>
      </w:r>
      <w:r>
        <w:rPr>
          <w:rFonts w:ascii="Arial" w:hAnsi="Arial" w:cs="Arial"/>
          <w:b/>
          <w:color w:val="000000" w:themeColor="text1"/>
          <w:u w:val="single"/>
        </w:rPr>
        <w:br w:type="page"/>
      </w:r>
    </w:p>
    <w:p w14:paraId="68A807EB" w14:textId="77777777" w:rsidR="008211D4" w:rsidRPr="00083184" w:rsidRDefault="008211D4" w:rsidP="008E7375">
      <w:pPr>
        <w:spacing w:line="240" w:lineRule="auto"/>
        <w:jc w:val="center"/>
        <w:outlineLvl w:val="0"/>
        <w:rPr>
          <w:rFonts w:ascii="Arial" w:hAnsi="Arial" w:cs="Arial"/>
          <w:b/>
          <w:color w:val="000000" w:themeColor="text1"/>
          <w:sz w:val="24"/>
        </w:rPr>
      </w:pPr>
      <w:r w:rsidRPr="00083184">
        <w:rPr>
          <w:rFonts w:ascii="Arial" w:hAnsi="Arial" w:cs="Arial"/>
          <w:b/>
          <w:color w:val="000000" w:themeColor="text1"/>
          <w:sz w:val="24"/>
        </w:rPr>
        <w:lastRenderedPageBreak/>
        <w:t>Table of Contents</w:t>
      </w:r>
    </w:p>
    <w:p w14:paraId="11449E3D" w14:textId="77777777" w:rsidR="008211D4" w:rsidRPr="00083184" w:rsidRDefault="008211D4" w:rsidP="008211D4">
      <w:pPr>
        <w:spacing w:line="240" w:lineRule="auto"/>
        <w:rPr>
          <w:rFonts w:ascii="Arial" w:hAnsi="Arial" w:cs="Arial"/>
          <w:b/>
          <w:color w:val="000000" w:themeColor="text1"/>
        </w:rPr>
      </w:pPr>
      <w:r w:rsidRPr="00083184">
        <w:rPr>
          <w:rFonts w:ascii="Arial" w:hAnsi="Arial" w:cs="Arial"/>
          <w:b/>
          <w:color w:val="000000" w:themeColor="text1"/>
        </w:rPr>
        <w:t>Portfolio Overview</w:t>
      </w:r>
      <w:r w:rsidR="005B4231" w:rsidRPr="00083184">
        <w:rPr>
          <w:rFonts w:ascii="Arial" w:hAnsi="Arial" w:cs="Arial"/>
          <w:b/>
          <w:color w:val="000000" w:themeColor="text1"/>
        </w:rPr>
        <w:tab/>
      </w:r>
      <w:r w:rsidR="005B4231" w:rsidRPr="00083184">
        <w:rPr>
          <w:rFonts w:ascii="Arial" w:hAnsi="Arial" w:cs="Arial"/>
          <w:b/>
          <w:color w:val="000000" w:themeColor="text1"/>
        </w:rPr>
        <w:tab/>
      </w:r>
      <w:r w:rsidR="005B4231" w:rsidRPr="00083184">
        <w:rPr>
          <w:rFonts w:ascii="Arial" w:hAnsi="Arial" w:cs="Arial"/>
          <w:b/>
          <w:color w:val="000000" w:themeColor="text1"/>
        </w:rPr>
        <w:tab/>
      </w:r>
      <w:r w:rsidR="005B4231" w:rsidRPr="00083184">
        <w:rPr>
          <w:rFonts w:ascii="Arial" w:hAnsi="Arial" w:cs="Arial"/>
          <w:b/>
          <w:color w:val="000000" w:themeColor="text1"/>
        </w:rPr>
        <w:tab/>
      </w:r>
      <w:r w:rsidR="005B4231" w:rsidRPr="00083184">
        <w:rPr>
          <w:rFonts w:ascii="Arial" w:hAnsi="Arial" w:cs="Arial"/>
          <w:b/>
          <w:color w:val="000000" w:themeColor="text1"/>
        </w:rPr>
        <w:tab/>
      </w:r>
      <w:r w:rsidR="005B4231" w:rsidRPr="00083184">
        <w:rPr>
          <w:rFonts w:ascii="Arial" w:hAnsi="Arial" w:cs="Arial"/>
          <w:b/>
          <w:color w:val="000000" w:themeColor="text1"/>
        </w:rPr>
        <w:tab/>
      </w:r>
      <w:r w:rsidR="005B4231" w:rsidRPr="00083184">
        <w:rPr>
          <w:rFonts w:ascii="Arial" w:hAnsi="Arial" w:cs="Arial"/>
          <w:b/>
          <w:color w:val="000000" w:themeColor="text1"/>
        </w:rPr>
        <w:tab/>
      </w:r>
      <w:r w:rsidR="005B4231" w:rsidRPr="00083184">
        <w:rPr>
          <w:rFonts w:ascii="Arial" w:hAnsi="Arial" w:cs="Arial"/>
          <w:b/>
          <w:color w:val="000000" w:themeColor="text1"/>
        </w:rPr>
        <w:tab/>
      </w:r>
      <w:r w:rsidR="005B4231" w:rsidRPr="00083184">
        <w:rPr>
          <w:rFonts w:ascii="Arial" w:hAnsi="Arial" w:cs="Arial"/>
          <w:b/>
          <w:color w:val="000000" w:themeColor="text1"/>
        </w:rPr>
        <w:tab/>
        <w:t xml:space="preserve">        Page No. </w:t>
      </w:r>
    </w:p>
    <w:p w14:paraId="107731CD" w14:textId="77777777" w:rsidR="008211D4" w:rsidRPr="00083184" w:rsidRDefault="008211D4" w:rsidP="008211D4">
      <w:pPr>
        <w:spacing w:line="240" w:lineRule="auto"/>
        <w:ind w:left="288"/>
        <w:jc w:val="both"/>
        <w:rPr>
          <w:rFonts w:ascii="Arial" w:hAnsi="Arial" w:cs="Arial"/>
          <w:color w:val="000000" w:themeColor="text1"/>
        </w:rPr>
      </w:pPr>
      <w:r w:rsidRPr="00083184">
        <w:rPr>
          <w:rFonts w:ascii="Arial" w:hAnsi="Arial" w:cs="Arial"/>
          <w:color w:val="000000" w:themeColor="text1"/>
        </w:rPr>
        <w:t>Investment Philosophy</w:t>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t xml:space="preserve">    </w:t>
      </w:r>
      <w:r w:rsidR="005B4231" w:rsidRPr="00083184">
        <w:rPr>
          <w:rFonts w:ascii="Arial" w:hAnsi="Arial" w:cs="Arial"/>
          <w:color w:val="000000" w:themeColor="text1"/>
        </w:rPr>
        <w:t>3</w:t>
      </w:r>
    </w:p>
    <w:p w14:paraId="47BE3C52" w14:textId="77777777" w:rsidR="008211D4" w:rsidRPr="00083184" w:rsidRDefault="008211D4" w:rsidP="008211D4">
      <w:pPr>
        <w:spacing w:line="240" w:lineRule="auto"/>
        <w:ind w:left="288"/>
        <w:jc w:val="both"/>
        <w:rPr>
          <w:rFonts w:ascii="Arial" w:hAnsi="Arial" w:cs="Arial"/>
          <w:color w:val="000000" w:themeColor="text1"/>
        </w:rPr>
      </w:pPr>
      <w:r w:rsidRPr="00083184">
        <w:rPr>
          <w:rFonts w:ascii="Arial" w:hAnsi="Arial" w:cs="Arial"/>
          <w:color w:val="000000" w:themeColor="text1"/>
        </w:rPr>
        <w:t>Investment Strateg</w:t>
      </w:r>
      <w:r w:rsidR="005B4231" w:rsidRPr="00083184">
        <w:rPr>
          <w:rFonts w:ascii="Arial" w:hAnsi="Arial" w:cs="Arial"/>
          <w:color w:val="000000" w:themeColor="text1"/>
        </w:rPr>
        <w:t>y</w:t>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t xml:space="preserve">    </w:t>
      </w:r>
      <w:r w:rsidR="005B4231" w:rsidRPr="00083184">
        <w:rPr>
          <w:rFonts w:ascii="Arial" w:hAnsi="Arial" w:cs="Arial"/>
          <w:color w:val="000000" w:themeColor="text1"/>
        </w:rPr>
        <w:t>3</w:t>
      </w:r>
    </w:p>
    <w:p w14:paraId="681CEE21" w14:textId="77777777" w:rsidR="008211D4" w:rsidRPr="00083184" w:rsidRDefault="008211D4" w:rsidP="008211D4">
      <w:pPr>
        <w:spacing w:line="240" w:lineRule="auto"/>
        <w:ind w:left="288"/>
        <w:jc w:val="both"/>
        <w:rPr>
          <w:rFonts w:ascii="Arial" w:hAnsi="Arial" w:cs="Arial"/>
          <w:color w:val="000000" w:themeColor="text1"/>
        </w:rPr>
      </w:pPr>
      <w:r w:rsidRPr="00083184">
        <w:rPr>
          <w:rFonts w:ascii="Arial" w:hAnsi="Arial" w:cs="Arial"/>
          <w:color w:val="000000" w:themeColor="text1"/>
        </w:rPr>
        <w:t>Risk Management</w:t>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t xml:space="preserve">    </w:t>
      </w:r>
      <w:r w:rsidR="005B4231" w:rsidRPr="00083184">
        <w:rPr>
          <w:rFonts w:ascii="Arial" w:hAnsi="Arial" w:cs="Arial"/>
          <w:color w:val="000000" w:themeColor="text1"/>
        </w:rPr>
        <w:t>4</w:t>
      </w:r>
    </w:p>
    <w:p w14:paraId="38E847BF" w14:textId="77777777" w:rsidR="008211D4" w:rsidRPr="00083184" w:rsidRDefault="008211D4" w:rsidP="008211D4">
      <w:pPr>
        <w:spacing w:line="240" w:lineRule="auto"/>
        <w:ind w:left="288"/>
        <w:jc w:val="both"/>
        <w:rPr>
          <w:rFonts w:ascii="Arial" w:hAnsi="Arial" w:cs="Arial"/>
          <w:color w:val="000000" w:themeColor="text1"/>
        </w:rPr>
      </w:pPr>
      <w:r w:rsidRPr="00083184">
        <w:rPr>
          <w:rFonts w:ascii="Arial" w:hAnsi="Arial" w:cs="Arial"/>
          <w:color w:val="000000" w:themeColor="text1"/>
        </w:rPr>
        <w:t>Investment Process</w:t>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t xml:space="preserve">    </w:t>
      </w:r>
      <w:r w:rsidR="005B4231" w:rsidRPr="00083184">
        <w:rPr>
          <w:rFonts w:ascii="Arial" w:hAnsi="Arial" w:cs="Arial"/>
          <w:color w:val="000000" w:themeColor="text1"/>
        </w:rPr>
        <w:t>5</w:t>
      </w:r>
    </w:p>
    <w:p w14:paraId="42154979" w14:textId="77777777" w:rsidR="008211D4" w:rsidRPr="00083184" w:rsidRDefault="008211D4" w:rsidP="008211D4">
      <w:pPr>
        <w:spacing w:line="240" w:lineRule="auto"/>
        <w:ind w:left="288"/>
        <w:jc w:val="both"/>
        <w:rPr>
          <w:rFonts w:ascii="Arial" w:hAnsi="Arial" w:cs="Arial"/>
          <w:color w:val="000000" w:themeColor="text1"/>
        </w:rPr>
      </w:pPr>
      <w:r w:rsidRPr="00083184">
        <w:rPr>
          <w:rFonts w:ascii="Arial" w:hAnsi="Arial" w:cs="Arial"/>
          <w:color w:val="000000" w:themeColor="text1"/>
        </w:rPr>
        <w:t>Sector Assignments</w:t>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t xml:space="preserve">    </w:t>
      </w:r>
      <w:r w:rsidR="005B4231" w:rsidRPr="00083184">
        <w:rPr>
          <w:rFonts w:ascii="Arial" w:hAnsi="Arial" w:cs="Arial"/>
          <w:color w:val="000000" w:themeColor="text1"/>
        </w:rPr>
        <w:t>5</w:t>
      </w:r>
    </w:p>
    <w:p w14:paraId="45B06DB0" w14:textId="77777777" w:rsidR="008211D4" w:rsidRPr="00083184" w:rsidRDefault="008211D4" w:rsidP="008211D4">
      <w:pPr>
        <w:spacing w:line="240" w:lineRule="auto"/>
        <w:ind w:left="288"/>
        <w:jc w:val="both"/>
        <w:rPr>
          <w:rFonts w:ascii="Arial" w:hAnsi="Arial" w:cs="Arial"/>
          <w:color w:val="000000" w:themeColor="text1"/>
        </w:rPr>
      </w:pPr>
      <w:r w:rsidRPr="00083184">
        <w:rPr>
          <w:rFonts w:ascii="Arial" w:hAnsi="Arial" w:cs="Arial"/>
          <w:color w:val="000000" w:themeColor="text1"/>
        </w:rPr>
        <w:t>Portfolio Allocation</w:t>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t xml:space="preserve">    </w:t>
      </w:r>
      <w:r w:rsidR="005B4231" w:rsidRPr="00083184">
        <w:rPr>
          <w:rFonts w:ascii="Arial" w:hAnsi="Arial" w:cs="Arial"/>
          <w:color w:val="000000" w:themeColor="text1"/>
        </w:rPr>
        <w:t>6</w:t>
      </w:r>
    </w:p>
    <w:p w14:paraId="1C6CE4C3" w14:textId="77777777" w:rsidR="008211D4" w:rsidRPr="00083184" w:rsidRDefault="00090643" w:rsidP="008211D4">
      <w:pPr>
        <w:spacing w:line="240" w:lineRule="auto"/>
        <w:ind w:left="288"/>
        <w:jc w:val="both"/>
        <w:rPr>
          <w:rFonts w:ascii="Arial" w:hAnsi="Arial" w:cs="Arial"/>
          <w:color w:val="000000" w:themeColor="text1"/>
        </w:rPr>
      </w:pPr>
      <w:r w:rsidRPr="00083184">
        <w:rPr>
          <w:rFonts w:ascii="Arial" w:hAnsi="Arial" w:cs="Arial"/>
          <w:color w:val="000000" w:themeColor="text1"/>
        </w:rPr>
        <w:t>Portfolio Performance</w:t>
      </w:r>
      <w:r w:rsidRPr="00083184">
        <w:rPr>
          <w:rFonts w:ascii="Arial" w:hAnsi="Arial" w:cs="Arial"/>
          <w:color w:val="000000" w:themeColor="text1"/>
        </w:rPr>
        <w:tab/>
      </w:r>
      <w:r w:rsidRPr="00083184">
        <w:rPr>
          <w:rFonts w:ascii="Arial" w:hAnsi="Arial" w:cs="Arial"/>
          <w:color w:val="000000" w:themeColor="text1"/>
        </w:rPr>
        <w:tab/>
      </w:r>
      <w:r w:rsidRPr="00083184">
        <w:rPr>
          <w:rFonts w:ascii="Arial" w:hAnsi="Arial" w:cs="Arial"/>
          <w:color w:val="000000" w:themeColor="text1"/>
        </w:rPr>
        <w:tab/>
      </w:r>
      <w:r w:rsidRPr="00083184">
        <w:rPr>
          <w:rFonts w:ascii="Arial" w:hAnsi="Arial" w:cs="Arial"/>
          <w:color w:val="000000" w:themeColor="text1"/>
        </w:rPr>
        <w:tab/>
      </w:r>
      <w:r w:rsidRPr="00083184">
        <w:rPr>
          <w:rFonts w:ascii="Arial" w:hAnsi="Arial" w:cs="Arial"/>
          <w:color w:val="000000" w:themeColor="text1"/>
        </w:rPr>
        <w:tab/>
      </w:r>
      <w:r w:rsidRPr="00083184">
        <w:rPr>
          <w:rFonts w:ascii="Arial" w:hAnsi="Arial" w:cs="Arial"/>
          <w:color w:val="000000" w:themeColor="text1"/>
        </w:rPr>
        <w:tab/>
      </w:r>
      <w:r w:rsidRPr="00083184">
        <w:rPr>
          <w:rFonts w:ascii="Arial" w:hAnsi="Arial" w:cs="Arial"/>
          <w:color w:val="000000" w:themeColor="text1"/>
        </w:rPr>
        <w:tab/>
      </w:r>
      <w:r w:rsidRPr="00083184">
        <w:rPr>
          <w:rFonts w:ascii="Arial" w:hAnsi="Arial" w:cs="Arial"/>
          <w:color w:val="000000" w:themeColor="text1"/>
        </w:rPr>
        <w:tab/>
      </w:r>
      <w:r w:rsidRPr="00083184">
        <w:rPr>
          <w:rFonts w:ascii="Arial" w:hAnsi="Arial" w:cs="Arial"/>
          <w:color w:val="000000" w:themeColor="text1"/>
        </w:rPr>
        <w:tab/>
        <w:t xml:space="preserve">    7</w:t>
      </w:r>
    </w:p>
    <w:p w14:paraId="1890CEEE" w14:textId="77777777" w:rsidR="008211D4" w:rsidRPr="00083184" w:rsidRDefault="008211D4" w:rsidP="008211D4">
      <w:pPr>
        <w:spacing w:line="240" w:lineRule="auto"/>
        <w:ind w:left="288"/>
        <w:jc w:val="both"/>
        <w:rPr>
          <w:rFonts w:ascii="Arial" w:hAnsi="Arial" w:cs="Arial"/>
          <w:color w:val="000000" w:themeColor="text1"/>
        </w:rPr>
      </w:pPr>
      <w:r w:rsidRPr="00083184">
        <w:rPr>
          <w:rFonts w:ascii="Arial" w:hAnsi="Arial" w:cs="Arial"/>
          <w:color w:val="000000" w:themeColor="text1"/>
        </w:rPr>
        <w:t>Portfolio Performance</w:t>
      </w:r>
      <w:r w:rsidR="00090643" w:rsidRPr="00083184">
        <w:rPr>
          <w:rFonts w:ascii="Arial" w:hAnsi="Arial" w:cs="Arial"/>
          <w:color w:val="000000" w:themeColor="text1"/>
        </w:rPr>
        <w:t xml:space="preserve"> vs S&amp;P 500</w:t>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r>
      <w:r w:rsidR="00090643" w:rsidRPr="00083184">
        <w:rPr>
          <w:rFonts w:ascii="Arial" w:hAnsi="Arial" w:cs="Arial"/>
          <w:color w:val="000000" w:themeColor="text1"/>
        </w:rPr>
        <w:tab/>
        <w:t xml:space="preserve">    8</w:t>
      </w:r>
    </w:p>
    <w:p w14:paraId="065F3BE2" w14:textId="77777777" w:rsidR="008211D4" w:rsidRPr="00083184" w:rsidRDefault="008211D4" w:rsidP="008E7375">
      <w:pPr>
        <w:spacing w:line="240" w:lineRule="auto"/>
        <w:jc w:val="both"/>
        <w:outlineLvl w:val="0"/>
        <w:rPr>
          <w:rFonts w:ascii="Arial" w:hAnsi="Arial" w:cs="Arial"/>
          <w:b/>
          <w:color w:val="000000" w:themeColor="text1"/>
        </w:rPr>
      </w:pPr>
      <w:r w:rsidRPr="00083184">
        <w:rPr>
          <w:rFonts w:ascii="Arial" w:hAnsi="Arial" w:cs="Arial"/>
          <w:b/>
          <w:color w:val="000000" w:themeColor="text1"/>
        </w:rPr>
        <w:t>Economic Outlook</w:t>
      </w:r>
    </w:p>
    <w:p w14:paraId="0E890227" w14:textId="77777777" w:rsidR="008211D4" w:rsidRPr="00083184" w:rsidRDefault="008211D4" w:rsidP="008211D4">
      <w:pPr>
        <w:spacing w:line="240" w:lineRule="auto"/>
        <w:ind w:left="288"/>
        <w:jc w:val="both"/>
        <w:rPr>
          <w:rFonts w:ascii="Arial" w:hAnsi="Arial" w:cs="Arial"/>
          <w:color w:val="000000" w:themeColor="text1"/>
        </w:rPr>
      </w:pPr>
      <w:r w:rsidRPr="00083184">
        <w:rPr>
          <w:rFonts w:ascii="Arial" w:hAnsi="Arial" w:cs="Arial"/>
          <w:color w:val="000000" w:themeColor="text1"/>
        </w:rPr>
        <w:t>US Economy and Monetary Policy</w:t>
      </w:r>
      <w:r w:rsidR="00B55FA3" w:rsidRPr="00083184">
        <w:rPr>
          <w:rFonts w:ascii="Arial" w:hAnsi="Arial" w:cs="Arial"/>
          <w:color w:val="000000" w:themeColor="text1"/>
        </w:rPr>
        <w:tab/>
      </w:r>
      <w:r w:rsidR="00B55FA3" w:rsidRPr="00083184">
        <w:rPr>
          <w:rFonts w:ascii="Arial" w:hAnsi="Arial" w:cs="Arial"/>
          <w:color w:val="000000" w:themeColor="text1"/>
        </w:rPr>
        <w:tab/>
      </w:r>
      <w:r w:rsidR="00B55FA3" w:rsidRPr="00083184">
        <w:rPr>
          <w:rFonts w:ascii="Arial" w:hAnsi="Arial" w:cs="Arial"/>
          <w:color w:val="000000" w:themeColor="text1"/>
        </w:rPr>
        <w:tab/>
      </w:r>
      <w:r w:rsidR="00B55FA3" w:rsidRPr="00083184">
        <w:rPr>
          <w:rFonts w:ascii="Arial" w:hAnsi="Arial" w:cs="Arial"/>
          <w:color w:val="000000" w:themeColor="text1"/>
        </w:rPr>
        <w:tab/>
      </w:r>
      <w:r w:rsidR="00B55FA3" w:rsidRPr="00083184">
        <w:rPr>
          <w:rFonts w:ascii="Arial" w:hAnsi="Arial" w:cs="Arial"/>
          <w:color w:val="000000" w:themeColor="text1"/>
        </w:rPr>
        <w:tab/>
      </w:r>
      <w:r w:rsidR="00B55FA3" w:rsidRPr="00083184">
        <w:rPr>
          <w:rFonts w:ascii="Arial" w:hAnsi="Arial" w:cs="Arial"/>
          <w:color w:val="000000" w:themeColor="text1"/>
        </w:rPr>
        <w:tab/>
      </w:r>
      <w:r w:rsidR="00B55FA3" w:rsidRPr="00083184">
        <w:rPr>
          <w:rFonts w:ascii="Arial" w:hAnsi="Arial" w:cs="Arial"/>
          <w:color w:val="000000" w:themeColor="text1"/>
        </w:rPr>
        <w:tab/>
        <w:t xml:space="preserve">   10</w:t>
      </w:r>
    </w:p>
    <w:p w14:paraId="39245CB9" w14:textId="77777777" w:rsidR="008211D4" w:rsidRPr="00083184" w:rsidRDefault="008211D4" w:rsidP="008211D4">
      <w:pPr>
        <w:spacing w:line="240" w:lineRule="auto"/>
        <w:ind w:left="288"/>
        <w:jc w:val="both"/>
        <w:rPr>
          <w:rFonts w:ascii="Arial" w:hAnsi="Arial" w:cs="Arial"/>
          <w:color w:val="000000" w:themeColor="text1"/>
        </w:rPr>
      </w:pPr>
      <w:r w:rsidRPr="00083184">
        <w:rPr>
          <w:rFonts w:ascii="Arial" w:hAnsi="Arial" w:cs="Arial"/>
          <w:color w:val="000000" w:themeColor="text1"/>
        </w:rPr>
        <w:t>Global Economy and Monetary Policy</w:t>
      </w:r>
      <w:r w:rsidR="00B55FA3" w:rsidRPr="00083184">
        <w:rPr>
          <w:rFonts w:ascii="Arial" w:hAnsi="Arial" w:cs="Arial"/>
          <w:color w:val="000000" w:themeColor="text1"/>
        </w:rPr>
        <w:tab/>
      </w:r>
      <w:r w:rsidR="00B55FA3" w:rsidRPr="00083184">
        <w:rPr>
          <w:rFonts w:ascii="Arial" w:hAnsi="Arial" w:cs="Arial"/>
          <w:color w:val="000000" w:themeColor="text1"/>
        </w:rPr>
        <w:tab/>
      </w:r>
      <w:r w:rsidR="00B55FA3" w:rsidRPr="00083184">
        <w:rPr>
          <w:rFonts w:ascii="Arial" w:hAnsi="Arial" w:cs="Arial"/>
          <w:color w:val="000000" w:themeColor="text1"/>
        </w:rPr>
        <w:tab/>
      </w:r>
      <w:r w:rsidR="00B55FA3" w:rsidRPr="00083184">
        <w:rPr>
          <w:rFonts w:ascii="Arial" w:hAnsi="Arial" w:cs="Arial"/>
          <w:color w:val="000000" w:themeColor="text1"/>
        </w:rPr>
        <w:tab/>
      </w:r>
      <w:r w:rsidR="00B55FA3" w:rsidRPr="00083184">
        <w:rPr>
          <w:rFonts w:ascii="Arial" w:hAnsi="Arial" w:cs="Arial"/>
          <w:color w:val="000000" w:themeColor="text1"/>
        </w:rPr>
        <w:tab/>
      </w:r>
      <w:r w:rsidR="00B55FA3" w:rsidRPr="00083184">
        <w:rPr>
          <w:rFonts w:ascii="Arial" w:hAnsi="Arial" w:cs="Arial"/>
          <w:color w:val="000000" w:themeColor="text1"/>
        </w:rPr>
        <w:tab/>
      </w:r>
      <w:r w:rsidR="00B55FA3" w:rsidRPr="00083184">
        <w:rPr>
          <w:rFonts w:ascii="Arial" w:hAnsi="Arial" w:cs="Arial"/>
          <w:color w:val="000000" w:themeColor="text1"/>
        </w:rPr>
        <w:tab/>
        <w:t xml:space="preserve">   11</w:t>
      </w:r>
    </w:p>
    <w:p w14:paraId="4305F4C8" w14:textId="77777777" w:rsidR="008211D4" w:rsidRPr="00083184" w:rsidRDefault="008211D4" w:rsidP="008E7375">
      <w:pPr>
        <w:spacing w:line="240" w:lineRule="auto"/>
        <w:jc w:val="both"/>
        <w:outlineLvl w:val="0"/>
        <w:rPr>
          <w:rFonts w:ascii="Arial" w:hAnsi="Arial" w:cs="Arial"/>
          <w:b/>
          <w:color w:val="000000" w:themeColor="text1"/>
        </w:rPr>
      </w:pPr>
      <w:r w:rsidRPr="00083184">
        <w:rPr>
          <w:rFonts w:ascii="Arial" w:hAnsi="Arial" w:cs="Arial"/>
          <w:b/>
          <w:color w:val="000000" w:themeColor="text1"/>
        </w:rPr>
        <w:t>Sector Outlook</w:t>
      </w:r>
    </w:p>
    <w:p w14:paraId="568C72BF" w14:textId="77777777" w:rsidR="008211D4" w:rsidRPr="00083184" w:rsidRDefault="008211D4" w:rsidP="008211D4">
      <w:pPr>
        <w:spacing w:line="240" w:lineRule="auto"/>
        <w:ind w:left="288"/>
        <w:jc w:val="both"/>
        <w:rPr>
          <w:rFonts w:ascii="Arial" w:hAnsi="Arial" w:cs="Arial"/>
          <w:color w:val="000000" w:themeColor="text1"/>
        </w:rPr>
      </w:pPr>
      <w:r w:rsidRPr="00083184">
        <w:rPr>
          <w:rFonts w:ascii="Arial" w:hAnsi="Arial" w:cs="Arial"/>
          <w:color w:val="000000" w:themeColor="text1"/>
        </w:rPr>
        <w:t>Communication Services</w:t>
      </w:r>
      <w:r w:rsidR="00B55FA3" w:rsidRPr="00083184">
        <w:rPr>
          <w:rFonts w:ascii="Arial" w:hAnsi="Arial" w:cs="Arial"/>
          <w:color w:val="000000" w:themeColor="text1"/>
        </w:rPr>
        <w:tab/>
      </w:r>
      <w:r w:rsidR="00B55FA3" w:rsidRPr="00083184">
        <w:rPr>
          <w:rFonts w:ascii="Arial" w:hAnsi="Arial" w:cs="Arial"/>
          <w:color w:val="000000" w:themeColor="text1"/>
        </w:rPr>
        <w:tab/>
      </w:r>
      <w:r w:rsidR="00B55FA3" w:rsidRPr="00083184">
        <w:rPr>
          <w:rFonts w:ascii="Arial" w:hAnsi="Arial" w:cs="Arial"/>
          <w:color w:val="000000" w:themeColor="text1"/>
        </w:rPr>
        <w:tab/>
      </w:r>
      <w:r w:rsidR="00B55FA3" w:rsidRPr="00083184">
        <w:rPr>
          <w:rFonts w:ascii="Arial" w:hAnsi="Arial" w:cs="Arial"/>
          <w:color w:val="000000" w:themeColor="text1"/>
        </w:rPr>
        <w:tab/>
      </w:r>
      <w:r w:rsidR="00B55FA3" w:rsidRPr="00083184">
        <w:rPr>
          <w:rFonts w:ascii="Arial" w:hAnsi="Arial" w:cs="Arial"/>
          <w:color w:val="000000" w:themeColor="text1"/>
        </w:rPr>
        <w:tab/>
      </w:r>
      <w:r w:rsidR="00B55FA3" w:rsidRPr="00083184">
        <w:rPr>
          <w:rFonts w:ascii="Arial" w:hAnsi="Arial" w:cs="Arial"/>
          <w:color w:val="000000" w:themeColor="text1"/>
        </w:rPr>
        <w:tab/>
      </w:r>
      <w:r w:rsidR="00B55FA3" w:rsidRPr="00083184">
        <w:rPr>
          <w:rFonts w:ascii="Arial" w:hAnsi="Arial" w:cs="Arial"/>
          <w:color w:val="000000" w:themeColor="text1"/>
        </w:rPr>
        <w:tab/>
      </w:r>
      <w:r w:rsidR="00B55FA3" w:rsidRPr="00083184">
        <w:rPr>
          <w:rFonts w:ascii="Arial" w:hAnsi="Arial" w:cs="Arial"/>
          <w:color w:val="000000" w:themeColor="text1"/>
        </w:rPr>
        <w:tab/>
      </w:r>
      <w:r w:rsidR="00B55FA3" w:rsidRPr="00083184">
        <w:rPr>
          <w:rFonts w:ascii="Arial" w:hAnsi="Arial" w:cs="Arial"/>
          <w:color w:val="000000" w:themeColor="text1"/>
        </w:rPr>
        <w:tab/>
        <w:t xml:space="preserve">   13</w:t>
      </w:r>
    </w:p>
    <w:p w14:paraId="651AFE46" w14:textId="77777777" w:rsidR="008211D4" w:rsidRPr="00083184" w:rsidRDefault="008211D4" w:rsidP="008211D4">
      <w:pPr>
        <w:spacing w:line="240" w:lineRule="auto"/>
        <w:ind w:left="288"/>
        <w:jc w:val="both"/>
        <w:rPr>
          <w:rFonts w:ascii="Arial" w:hAnsi="Arial" w:cs="Arial"/>
          <w:color w:val="000000" w:themeColor="text1"/>
        </w:rPr>
      </w:pPr>
      <w:r w:rsidRPr="00083184">
        <w:rPr>
          <w:rFonts w:ascii="Arial" w:hAnsi="Arial" w:cs="Arial"/>
          <w:color w:val="000000" w:themeColor="text1"/>
        </w:rPr>
        <w:t>Consumer Discretionary</w:t>
      </w:r>
      <w:r w:rsidR="00B55FA3" w:rsidRPr="00083184">
        <w:rPr>
          <w:rFonts w:ascii="Arial" w:hAnsi="Arial" w:cs="Arial"/>
          <w:color w:val="000000" w:themeColor="text1"/>
        </w:rPr>
        <w:tab/>
      </w:r>
      <w:r w:rsidR="00B55FA3" w:rsidRPr="00083184">
        <w:rPr>
          <w:rFonts w:ascii="Arial" w:hAnsi="Arial" w:cs="Arial"/>
          <w:color w:val="000000" w:themeColor="text1"/>
        </w:rPr>
        <w:tab/>
      </w:r>
      <w:r w:rsidR="00B55FA3" w:rsidRPr="00083184">
        <w:rPr>
          <w:rFonts w:ascii="Arial" w:hAnsi="Arial" w:cs="Arial"/>
          <w:color w:val="000000" w:themeColor="text1"/>
        </w:rPr>
        <w:tab/>
      </w:r>
      <w:r w:rsidR="00B55FA3" w:rsidRPr="00083184">
        <w:rPr>
          <w:rFonts w:ascii="Arial" w:hAnsi="Arial" w:cs="Arial"/>
          <w:color w:val="000000" w:themeColor="text1"/>
        </w:rPr>
        <w:tab/>
      </w:r>
      <w:r w:rsidR="00B55FA3" w:rsidRPr="00083184">
        <w:rPr>
          <w:rFonts w:ascii="Arial" w:hAnsi="Arial" w:cs="Arial"/>
          <w:color w:val="000000" w:themeColor="text1"/>
        </w:rPr>
        <w:tab/>
      </w:r>
      <w:r w:rsidR="00B55FA3" w:rsidRPr="00083184">
        <w:rPr>
          <w:rFonts w:ascii="Arial" w:hAnsi="Arial" w:cs="Arial"/>
          <w:color w:val="000000" w:themeColor="text1"/>
        </w:rPr>
        <w:tab/>
      </w:r>
      <w:r w:rsidR="00B55FA3" w:rsidRPr="00083184">
        <w:rPr>
          <w:rFonts w:ascii="Arial" w:hAnsi="Arial" w:cs="Arial"/>
          <w:color w:val="000000" w:themeColor="text1"/>
        </w:rPr>
        <w:tab/>
      </w:r>
      <w:r w:rsidR="00B55FA3" w:rsidRPr="00083184">
        <w:rPr>
          <w:rFonts w:ascii="Arial" w:hAnsi="Arial" w:cs="Arial"/>
          <w:color w:val="000000" w:themeColor="text1"/>
        </w:rPr>
        <w:tab/>
      </w:r>
      <w:r w:rsidR="00B55FA3" w:rsidRPr="00083184">
        <w:rPr>
          <w:rFonts w:ascii="Arial" w:hAnsi="Arial" w:cs="Arial"/>
          <w:color w:val="000000" w:themeColor="text1"/>
        </w:rPr>
        <w:tab/>
        <w:t xml:space="preserve">   13</w:t>
      </w:r>
    </w:p>
    <w:p w14:paraId="5799AB0E" w14:textId="77777777" w:rsidR="008211D4" w:rsidRPr="00083184" w:rsidRDefault="008211D4" w:rsidP="008211D4">
      <w:pPr>
        <w:spacing w:line="240" w:lineRule="auto"/>
        <w:ind w:left="288"/>
        <w:jc w:val="both"/>
        <w:rPr>
          <w:rFonts w:ascii="Arial" w:hAnsi="Arial" w:cs="Arial"/>
          <w:color w:val="000000" w:themeColor="text1"/>
        </w:rPr>
      </w:pPr>
      <w:r w:rsidRPr="00083184">
        <w:rPr>
          <w:rFonts w:ascii="Arial" w:hAnsi="Arial" w:cs="Arial"/>
          <w:color w:val="000000" w:themeColor="text1"/>
        </w:rPr>
        <w:t>Consumer Staples</w:t>
      </w:r>
      <w:r w:rsidR="00B55FA3" w:rsidRPr="00083184">
        <w:rPr>
          <w:rFonts w:ascii="Arial" w:hAnsi="Arial" w:cs="Arial"/>
          <w:color w:val="000000" w:themeColor="text1"/>
        </w:rPr>
        <w:tab/>
      </w:r>
      <w:r w:rsidR="00B55FA3" w:rsidRPr="00083184">
        <w:rPr>
          <w:rFonts w:ascii="Arial" w:hAnsi="Arial" w:cs="Arial"/>
          <w:color w:val="000000" w:themeColor="text1"/>
        </w:rPr>
        <w:tab/>
      </w:r>
      <w:r w:rsidR="00B55FA3" w:rsidRPr="00083184">
        <w:rPr>
          <w:rFonts w:ascii="Arial" w:hAnsi="Arial" w:cs="Arial"/>
          <w:color w:val="000000" w:themeColor="text1"/>
        </w:rPr>
        <w:tab/>
      </w:r>
      <w:r w:rsidR="00B55FA3" w:rsidRPr="00083184">
        <w:rPr>
          <w:rFonts w:ascii="Arial" w:hAnsi="Arial" w:cs="Arial"/>
          <w:color w:val="000000" w:themeColor="text1"/>
        </w:rPr>
        <w:tab/>
      </w:r>
      <w:r w:rsidR="00B55FA3" w:rsidRPr="00083184">
        <w:rPr>
          <w:rFonts w:ascii="Arial" w:hAnsi="Arial" w:cs="Arial"/>
          <w:color w:val="000000" w:themeColor="text1"/>
        </w:rPr>
        <w:tab/>
      </w:r>
      <w:r w:rsidR="00B55FA3" w:rsidRPr="00083184">
        <w:rPr>
          <w:rFonts w:ascii="Arial" w:hAnsi="Arial" w:cs="Arial"/>
          <w:color w:val="000000" w:themeColor="text1"/>
        </w:rPr>
        <w:tab/>
      </w:r>
      <w:r w:rsidR="00B55FA3" w:rsidRPr="00083184">
        <w:rPr>
          <w:rFonts w:ascii="Arial" w:hAnsi="Arial" w:cs="Arial"/>
          <w:color w:val="000000" w:themeColor="text1"/>
        </w:rPr>
        <w:tab/>
      </w:r>
      <w:r w:rsidR="00B55FA3" w:rsidRPr="00083184">
        <w:rPr>
          <w:rFonts w:ascii="Arial" w:hAnsi="Arial" w:cs="Arial"/>
          <w:color w:val="000000" w:themeColor="text1"/>
        </w:rPr>
        <w:tab/>
      </w:r>
      <w:r w:rsidR="00B55FA3" w:rsidRPr="00083184">
        <w:rPr>
          <w:rFonts w:ascii="Arial" w:hAnsi="Arial" w:cs="Arial"/>
          <w:color w:val="000000" w:themeColor="text1"/>
        </w:rPr>
        <w:tab/>
      </w:r>
      <w:r w:rsidR="00B55FA3" w:rsidRPr="00083184">
        <w:rPr>
          <w:rFonts w:ascii="Arial" w:hAnsi="Arial" w:cs="Arial"/>
          <w:color w:val="000000" w:themeColor="text1"/>
        </w:rPr>
        <w:tab/>
        <w:t xml:space="preserve">   14</w:t>
      </w:r>
    </w:p>
    <w:p w14:paraId="3D4419F1" w14:textId="77777777" w:rsidR="008211D4" w:rsidRPr="00083184" w:rsidRDefault="008211D4" w:rsidP="008211D4">
      <w:pPr>
        <w:spacing w:line="240" w:lineRule="auto"/>
        <w:ind w:left="288"/>
        <w:jc w:val="both"/>
        <w:rPr>
          <w:rFonts w:ascii="Arial" w:hAnsi="Arial" w:cs="Arial"/>
          <w:color w:val="000000" w:themeColor="text1"/>
        </w:rPr>
      </w:pPr>
      <w:r w:rsidRPr="00083184">
        <w:rPr>
          <w:rFonts w:ascii="Arial" w:hAnsi="Arial" w:cs="Arial"/>
          <w:color w:val="000000" w:themeColor="text1"/>
        </w:rPr>
        <w:t>Energy</w:t>
      </w:r>
      <w:r w:rsidR="00B55FA3" w:rsidRPr="00083184">
        <w:rPr>
          <w:rFonts w:ascii="Arial" w:hAnsi="Arial" w:cs="Arial"/>
          <w:color w:val="000000" w:themeColor="text1"/>
        </w:rPr>
        <w:tab/>
      </w:r>
      <w:r w:rsidR="00B55FA3" w:rsidRPr="00083184">
        <w:rPr>
          <w:rFonts w:ascii="Arial" w:hAnsi="Arial" w:cs="Arial"/>
          <w:color w:val="000000" w:themeColor="text1"/>
        </w:rPr>
        <w:tab/>
      </w:r>
      <w:r w:rsidR="00B55FA3" w:rsidRPr="00083184">
        <w:rPr>
          <w:rFonts w:ascii="Arial" w:hAnsi="Arial" w:cs="Arial"/>
          <w:color w:val="000000" w:themeColor="text1"/>
        </w:rPr>
        <w:tab/>
      </w:r>
      <w:r w:rsidR="00B55FA3" w:rsidRPr="00083184">
        <w:rPr>
          <w:rFonts w:ascii="Arial" w:hAnsi="Arial" w:cs="Arial"/>
          <w:color w:val="000000" w:themeColor="text1"/>
        </w:rPr>
        <w:tab/>
      </w:r>
      <w:r w:rsidR="00B55FA3" w:rsidRPr="00083184">
        <w:rPr>
          <w:rFonts w:ascii="Arial" w:hAnsi="Arial" w:cs="Arial"/>
          <w:color w:val="000000" w:themeColor="text1"/>
        </w:rPr>
        <w:tab/>
      </w:r>
      <w:r w:rsidR="00B55FA3" w:rsidRPr="00083184">
        <w:rPr>
          <w:rFonts w:ascii="Arial" w:hAnsi="Arial" w:cs="Arial"/>
          <w:color w:val="000000" w:themeColor="text1"/>
        </w:rPr>
        <w:tab/>
      </w:r>
      <w:r w:rsidR="00B55FA3" w:rsidRPr="00083184">
        <w:rPr>
          <w:rFonts w:ascii="Arial" w:hAnsi="Arial" w:cs="Arial"/>
          <w:color w:val="000000" w:themeColor="text1"/>
        </w:rPr>
        <w:tab/>
      </w:r>
      <w:r w:rsidR="00B55FA3" w:rsidRPr="00083184">
        <w:rPr>
          <w:rFonts w:ascii="Arial" w:hAnsi="Arial" w:cs="Arial"/>
          <w:color w:val="000000" w:themeColor="text1"/>
        </w:rPr>
        <w:tab/>
      </w:r>
      <w:r w:rsidR="00B55FA3" w:rsidRPr="00083184">
        <w:rPr>
          <w:rFonts w:ascii="Arial" w:hAnsi="Arial" w:cs="Arial"/>
          <w:color w:val="000000" w:themeColor="text1"/>
        </w:rPr>
        <w:tab/>
      </w:r>
      <w:r w:rsidR="00B55FA3" w:rsidRPr="00083184">
        <w:rPr>
          <w:rFonts w:ascii="Arial" w:hAnsi="Arial" w:cs="Arial"/>
          <w:color w:val="000000" w:themeColor="text1"/>
        </w:rPr>
        <w:tab/>
      </w:r>
      <w:r w:rsidR="00B55FA3" w:rsidRPr="00083184">
        <w:rPr>
          <w:rFonts w:ascii="Arial" w:hAnsi="Arial" w:cs="Arial"/>
          <w:color w:val="000000" w:themeColor="text1"/>
        </w:rPr>
        <w:tab/>
        <w:t xml:space="preserve">   15</w:t>
      </w:r>
    </w:p>
    <w:p w14:paraId="78A414EE" w14:textId="240BD5B5" w:rsidR="008211D4" w:rsidRPr="00083184" w:rsidRDefault="008211D4" w:rsidP="008211D4">
      <w:pPr>
        <w:spacing w:line="240" w:lineRule="auto"/>
        <w:ind w:left="288"/>
        <w:jc w:val="both"/>
        <w:rPr>
          <w:rFonts w:ascii="Arial" w:hAnsi="Arial" w:cs="Arial"/>
          <w:color w:val="000000" w:themeColor="text1"/>
        </w:rPr>
      </w:pPr>
      <w:r w:rsidRPr="00083184">
        <w:rPr>
          <w:rFonts w:ascii="Arial" w:hAnsi="Arial" w:cs="Arial"/>
          <w:color w:val="000000" w:themeColor="text1"/>
        </w:rPr>
        <w:t>Financials</w:t>
      </w:r>
      <w:r w:rsidR="00127E82">
        <w:rPr>
          <w:rFonts w:ascii="Arial" w:hAnsi="Arial" w:cs="Arial"/>
          <w:color w:val="000000" w:themeColor="text1"/>
        </w:rPr>
        <w:tab/>
      </w:r>
      <w:r w:rsidR="00127E82">
        <w:rPr>
          <w:rFonts w:ascii="Arial" w:hAnsi="Arial" w:cs="Arial"/>
          <w:color w:val="000000" w:themeColor="text1"/>
        </w:rPr>
        <w:tab/>
      </w:r>
      <w:r w:rsidR="00127E82">
        <w:rPr>
          <w:rFonts w:ascii="Arial" w:hAnsi="Arial" w:cs="Arial"/>
          <w:color w:val="000000" w:themeColor="text1"/>
        </w:rPr>
        <w:tab/>
      </w:r>
      <w:r w:rsidR="00127E82">
        <w:rPr>
          <w:rFonts w:ascii="Arial" w:hAnsi="Arial" w:cs="Arial"/>
          <w:color w:val="000000" w:themeColor="text1"/>
        </w:rPr>
        <w:tab/>
      </w:r>
      <w:r w:rsidR="00127E82">
        <w:rPr>
          <w:rFonts w:ascii="Arial" w:hAnsi="Arial" w:cs="Arial"/>
          <w:color w:val="000000" w:themeColor="text1"/>
        </w:rPr>
        <w:tab/>
      </w:r>
      <w:r w:rsidR="00127E82">
        <w:rPr>
          <w:rFonts w:ascii="Arial" w:hAnsi="Arial" w:cs="Arial"/>
          <w:color w:val="000000" w:themeColor="text1"/>
        </w:rPr>
        <w:tab/>
      </w:r>
      <w:r w:rsidR="00127E82">
        <w:rPr>
          <w:rFonts w:ascii="Arial" w:hAnsi="Arial" w:cs="Arial"/>
          <w:color w:val="000000" w:themeColor="text1"/>
        </w:rPr>
        <w:tab/>
      </w:r>
      <w:r w:rsidR="00127E82">
        <w:rPr>
          <w:rFonts w:ascii="Arial" w:hAnsi="Arial" w:cs="Arial"/>
          <w:color w:val="000000" w:themeColor="text1"/>
        </w:rPr>
        <w:tab/>
      </w:r>
      <w:r w:rsidR="00127E82">
        <w:rPr>
          <w:rFonts w:ascii="Arial" w:hAnsi="Arial" w:cs="Arial"/>
          <w:color w:val="000000" w:themeColor="text1"/>
        </w:rPr>
        <w:tab/>
      </w:r>
      <w:r w:rsidR="00127E82">
        <w:rPr>
          <w:rFonts w:ascii="Arial" w:hAnsi="Arial" w:cs="Arial"/>
          <w:color w:val="000000" w:themeColor="text1"/>
        </w:rPr>
        <w:tab/>
      </w:r>
      <w:r w:rsidR="00127E82">
        <w:rPr>
          <w:rFonts w:ascii="Arial" w:hAnsi="Arial" w:cs="Arial"/>
          <w:color w:val="000000" w:themeColor="text1"/>
        </w:rPr>
        <w:tab/>
        <w:t xml:space="preserve">   15</w:t>
      </w:r>
    </w:p>
    <w:p w14:paraId="49C3DB42" w14:textId="77777777" w:rsidR="008211D4" w:rsidRPr="00083184" w:rsidRDefault="008211D4" w:rsidP="008211D4">
      <w:pPr>
        <w:spacing w:line="240" w:lineRule="auto"/>
        <w:ind w:left="288"/>
        <w:jc w:val="both"/>
        <w:rPr>
          <w:rFonts w:ascii="Arial" w:hAnsi="Arial" w:cs="Arial"/>
          <w:color w:val="000000" w:themeColor="text1"/>
        </w:rPr>
      </w:pPr>
      <w:r w:rsidRPr="00083184">
        <w:rPr>
          <w:rFonts w:ascii="Arial" w:hAnsi="Arial" w:cs="Arial"/>
          <w:color w:val="000000" w:themeColor="text1"/>
        </w:rPr>
        <w:t>Healthcare</w:t>
      </w:r>
      <w:r w:rsidR="00D97F8A" w:rsidRPr="00083184">
        <w:rPr>
          <w:rFonts w:ascii="Arial" w:hAnsi="Arial" w:cs="Arial"/>
          <w:color w:val="000000" w:themeColor="text1"/>
        </w:rPr>
        <w:tab/>
      </w:r>
      <w:r w:rsidR="00D97F8A" w:rsidRPr="00083184">
        <w:rPr>
          <w:rFonts w:ascii="Arial" w:hAnsi="Arial" w:cs="Arial"/>
          <w:color w:val="000000" w:themeColor="text1"/>
        </w:rPr>
        <w:tab/>
      </w:r>
      <w:r w:rsidR="00D97F8A" w:rsidRPr="00083184">
        <w:rPr>
          <w:rFonts w:ascii="Arial" w:hAnsi="Arial" w:cs="Arial"/>
          <w:color w:val="000000" w:themeColor="text1"/>
        </w:rPr>
        <w:tab/>
      </w:r>
      <w:r w:rsidR="00D97F8A" w:rsidRPr="00083184">
        <w:rPr>
          <w:rFonts w:ascii="Arial" w:hAnsi="Arial" w:cs="Arial"/>
          <w:color w:val="000000" w:themeColor="text1"/>
        </w:rPr>
        <w:tab/>
      </w:r>
      <w:r w:rsidR="00D97F8A" w:rsidRPr="00083184">
        <w:rPr>
          <w:rFonts w:ascii="Arial" w:hAnsi="Arial" w:cs="Arial"/>
          <w:color w:val="000000" w:themeColor="text1"/>
        </w:rPr>
        <w:tab/>
      </w:r>
      <w:r w:rsidR="00D97F8A" w:rsidRPr="00083184">
        <w:rPr>
          <w:rFonts w:ascii="Arial" w:hAnsi="Arial" w:cs="Arial"/>
          <w:color w:val="000000" w:themeColor="text1"/>
        </w:rPr>
        <w:tab/>
      </w:r>
      <w:r w:rsidR="00D97F8A" w:rsidRPr="00083184">
        <w:rPr>
          <w:rFonts w:ascii="Arial" w:hAnsi="Arial" w:cs="Arial"/>
          <w:color w:val="000000" w:themeColor="text1"/>
        </w:rPr>
        <w:tab/>
      </w:r>
      <w:r w:rsidR="00D97F8A" w:rsidRPr="00083184">
        <w:rPr>
          <w:rFonts w:ascii="Arial" w:hAnsi="Arial" w:cs="Arial"/>
          <w:color w:val="000000" w:themeColor="text1"/>
        </w:rPr>
        <w:tab/>
      </w:r>
      <w:r w:rsidR="00D97F8A" w:rsidRPr="00083184">
        <w:rPr>
          <w:rFonts w:ascii="Arial" w:hAnsi="Arial" w:cs="Arial"/>
          <w:color w:val="000000" w:themeColor="text1"/>
        </w:rPr>
        <w:tab/>
      </w:r>
      <w:r w:rsidR="00D97F8A" w:rsidRPr="00083184">
        <w:rPr>
          <w:rFonts w:ascii="Arial" w:hAnsi="Arial" w:cs="Arial"/>
          <w:color w:val="000000" w:themeColor="text1"/>
        </w:rPr>
        <w:tab/>
      </w:r>
      <w:r w:rsidR="00D97F8A" w:rsidRPr="00083184">
        <w:rPr>
          <w:rFonts w:ascii="Arial" w:hAnsi="Arial" w:cs="Arial"/>
          <w:color w:val="000000" w:themeColor="text1"/>
        </w:rPr>
        <w:tab/>
        <w:t xml:space="preserve">   16</w:t>
      </w:r>
      <w:r w:rsidR="00B55FA3" w:rsidRPr="00083184">
        <w:rPr>
          <w:rFonts w:ascii="Arial" w:hAnsi="Arial" w:cs="Arial"/>
          <w:color w:val="000000" w:themeColor="text1"/>
        </w:rPr>
        <w:t xml:space="preserve"> </w:t>
      </w:r>
    </w:p>
    <w:p w14:paraId="79BF42EC" w14:textId="77777777" w:rsidR="008211D4" w:rsidRPr="00083184" w:rsidRDefault="008211D4" w:rsidP="008211D4">
      <w:pPr>
        <w:spacing w:line="240" w:lineRule="auto"/>
        <w:ind w:left="288"/>
        <w:jc w:val="both"/>
        <w:rPr>
          <w:rFonts w:ascii="Arial" w:hAnsi="Arial" w:cs="Arial"/>
          <w:color w:val="000000" w:themeColor="text1"/>
        </w:rPr>
      </w:pPr>
      <w:r w:rsidRPr="00083184">
        <w:rPr>
          <w:rFonts w:ascii="Arial" w:hAnsi="Arial" w:cs="Arial"/>
          <w:color w:val="000000" w:themeColor="text1"/>
        </w:rPr>
        <w:t>Industrials</w:t>
      </w:r>
      <w:r w:rsidR="00D97F8A" w:rsidRPr="00083184">
        <w:rPr>
          <w:rFonts w:ascii="Arial" w:hAnsi="Arial" w:cs="Arial"/>
          <w:color w:val="000000" w:themeColor="text1"/>
        </w:rPr>
        <w:tab/>
      </w:r>
      <w:r w:rsidR="00D97F8A" w:rsidRPr="00083184">
        <w:rPr>
          <w:rFonts w:ascii="Arial" w:hAnsi="Arial" w:cs="Arial"/>
          <w:color w:val="000000" w:themeColor="text1"/>
        </w:rPr>
        <w:tab/>
      </w:r>
      <w:r w:rsidR="00D97F8A" w:rsidRPr="00083184">
        <w:rPr>
          <w:rFonts w:ascii="Arial" w:hAnsi="Arial" w:cs="Arial"/>
          <w:color w:val="000000" w:themeColor="text1"/>
        </w:rPr>
        <w:tab/>
      </w:r>
      <w:r w:rsidR="00D97F8A" w:rsidRPr="00083184">
        <w:rPr>
          <w:rFonts w:ascii="Arial" w:hAnsi="Arial" w:cs="Arial"/>
          <w:color w:val="000000" w:themeColor="text1"/>
        </w:rPr>
        <w:tab/>
      </w:r>
      <w:r w:rsidR="00D97F8A" w:rsidRPr="00083184">
        <w:rPr>
          <w:rFonts w:ascii="Arial" w:hAnsi="Arial" w:cs="Arial"/>
          <w:color w:val="000000" w:themeColor="text1"/>
        </w:rPr>
        <w:tab/>
      </w:r>
      <w:r w:rsidR="00D97F8A" w:rsidRPr="00083184">
        <w:rPr>
          <w:rFonts w:ascii="Arial" w:hAnsi="Arial" w:cs="Arial"/>
          <w:color w:val="000000" w:themeColor="text1"/>
        </w:rPr>
        <w:tab/>
      </w:r>
      <w:r w:rsidR="00D97F8A" w:rsidRPr="00083184">
        <w:rPr>
          <w:rFonts w:ascii="Arial" w:hAnsi="Arial" w:cs="Arial"/>
          <w:color w:val="000000" w:themeColor="text1"/>
        </w:rPr>
        <w:tab/>
      </w:r>
      <w:r w:rsidR="00D97F8A" w:rsidRPr="00083184">
        <w:rPr>
          <w:rFonts w:ascii="Arial" w:hAnsi="Arial" w:cs="Arial"/>
          <w:color w:val="000000" w:themeColor="text1"/>
        </w:rPr>
        <w:tab/>
      </w:r>
      <w:r w:rsidR="00D97F8A" w:rsidRPr="00083184">
        <w:rPr>
          <w:rFonts w:ascii="Arial" w:hAnsi="Arial" w:cs="Arial"/>
          <w:color w:val="000000" w:themeColor="text1"/>
        </w:rPr>
        <w:tab/>
      </w:r>
      <w:r w:rsidR="00D97F8A" w:rsidRPr="00083184">
        <w:rPr>
          <w:rFonts w:ascii="Arial" w:hAnsi="Arial" w:cs="Arial"/>
          <w:color w:val="000000" w:themeColor="text1"/>
        </w:rPr>
        <w:tab/>
      </w:r>
      <w:r w:rsidR="00D97F8A" w:rsidRPr="00083184">
        <w:rPr>
          <w:rFonts w:ascii="Arial" w:hAnsi="Arial" w:cs="Arial"/>
          <w:color w:val="000000" w:themeColor="text1"/>
        </w:rPr>
        <w:tab/>
        <w:t xml:space="preserve">   17</w:t>
      </w:r>
    </w:p>
    <w:p w14:paraId="397750AB" w14:textId="77777777" w:rsidR="008211D4" w:rsidRPr="00083184" w:rsidRDefault="008211D4" w:rsidP="008211D4">
      <w:pPr>
        <w:spacing w:line="240" w:lineRule="auto"/>
        <w:ind w:left="288"/>
        <w:jc w:val="both"/>
        <w:rPr>
          <w:rFonts w:ascii="Arial" w:hAnsi="Arial" w:cs="Arial"/>
          <w:color w:val="000000" w:themeColor="text1"/>
        </w:rPr>
      </w:pPr>
      <w:r w:rsidRPr="00083184">
        <w:rPr>
          <w:rFonts w:ascii="Arial" w:hAnsi="Arial" w:cs="Arial"/>
          <w:color w:val="000000" w:themeColor="text1"/>
        </w:rPr>
        <w:t>Information Technology</w:t>
      </w:r>
      <w:r w:rsidR="00D97F8A" w:rsidRPr="00083184">
        <w:rPr>
          <w:rFonts w:ascii="Arial" w:hAnsi="Arial" w:cs="Arial"/>
          <w:color w:val="000000" w:themeColor="text1"/>
        </w:rPr>
        <w:tab/>
      </w:r>
      <w:r w:rsidR="00D97F8A" w:rsidRPr="00083184">
        <w:rPr>
          <w:rFonts w:ascii="Arial" w:hAnsi="Arial" w:cs="Arial"/>
          <w:color w:val="000000" w:themeColor="text1"/>
        </w:rPr>
        <w:tab/>
      </w:r>
      <w:r w:rsidR="00D97F8A" w:rsidRPr="00083184">
        <w:rPr>
          <w:rFonts w:ascii="Arial" w:hAnsi="Arial" w:cs="Arial"/>
          <w:color w:val="000000" w:themeColor="text1"/>
        </w:rPr>
        <w:tab/>
      </w:r>
      <w:r w:rsidR="00D97F8A" w:rsidRPr="00083184">
        <w:rPr>
          <w:rFonts w:ascii="Arial" w:hAnsi="Arial" w:cs="Arial"/>
          <w:color w:val="000000" w:themeColor="text1"/>
        </w:rPr>
        <w:tab/>
      </w:r>
      <w:r w:rsidR="00D97F8A" w:rsidRPr="00083184">
        <w:rPr>
          <w:rFonts w:ascii="Arial" w:hAnsi="Arial" w:cs="Arial"/>
          <w:color w:val="000000" w:themeColor="text1"/>
        </w:rPr>
        <w:tab/>
      </w:r>
      <w:r w:rsidR="00D97F8A" w:rsidRPr="00083184">
        <w:rPr>
          <w:rFonts w:ascii="Arial" w:hAnsi="Arial" w:cs="Arial"/>
          <w:color w:val="000000" w:themeColor="text1"/>
        </w:rPr>
        <w:tab/>
      </w:r>
      <w:r w:rsidR="00D97F8A" w:rsidRPr="00083184">
        <w:rPr>
          <w:rFonts w:ascii="Arial" w:hAnsi="Arial" w:cs="Arial"/>
          <w:color w:val="000000" w:themeColor="text1"/>
        </w:rPr>
        <w:tab/>
      </w:r>
      <w:r w:rsidR="00D97F8A" w:rsidRPr="00083184">
        <w:rPr>
          <w:rFonts w:ascii="Arial" w:hAnsi="Arial" w:cs="Arial"/>
          <w:color w:val="000000" w:themeColor="text1"/>
        </w:rPr>
        <w:tab/>
      </w:r>
      <w:r w:rsidR="00D97F8A" w:rsidRPr="00083184">
        <w:rPr>
          <w:rFonts w:ascii="Arial" w:hAnsi="Arial" w:cs="Arial"/>
          <w:color w:val="000000" w:themeColor="text1"/>
        </w:rPr>
        <w:tab/>
        <w:t xml:space="preserve">   18</w:t>
      </w:r>
    </w:p>
    <w:p w14:paraId="315E908E" w14:textId="77777777" w:rsidR="008211D4" w:rsidRPr="00083184" w:rsidRDefault="008211D4" w:rsidP="008211D4">
      <w:pPr>
        <w:spacing w:line="240" w:lineRule="auto"/>
        <w:ind w:left="288"/>
        <w:jc w:val="both"/>
        <w:rPr>
          <w:rFonts w:ascii="Arial" w:hAnsi="Arial" w:cs="Arial"/>
          <w:color w:val="000000" w:themeColor="text1"/>
        </w:rPr>
      </w:pPr>
      <w:r w:rsidRPr="00083184">
        <w:rPr>
          <w:rFonts w:ascii="Arial" w:hAnsi="Arial" w:cs="Arial"/>
          <w:color w:val="000000" w:themeColor="text1"/>
        </w:rPr>
        <w:t>Materials</w:t>
      </w:r>
      <w:r w:rsidR="00D97F8A" w:rsidRPr="00083184">
        <w:rPr>
          <w:rFonts w:ascii="Arial" w:hAnsi="Arial" w:cs="Arial"/>
          <w:color w:val="000000" w:themeColor="text1"/>
        </w:rPr>
        <w:tab/>
      </w:r>
      <w:r w:rsidR="00D97F8A" w:rsidRPr="00083184">
        <w:rPr>
          <w:rFonts w:ascii="Arial" w:hAnsi="Arial" w:cs="Arial"/>
          <w:color w:val="000000" w:themeColor="text1"/>
        </w:rPr>
        <w:tab/>
      </w:r>
      <w:r w:rsidR="00D97F8A" w:rsidRPr="00083184">
        <w:rPr>
          <w:rFonts w:ascii="Arial" w:hAnsi="Arial" w:cs="Arial"/>
          <w:color w:val="000000" w:themeColor="text1"/>
        </w:rPr>
        <w:tab/>
      </w:r>
      <w:r w:rsidR="00D97F8A" w:rsidRPr="00083184">
        <w:rPr>
          <w:rFonts w:ascii="Arial" w:hAnsi="Arial" w:cs="Arial"/>
          <w:color w:val="000000" w:themeColor="text1"/>
        </w:rPr>
        <w:tab/>
      </w:r>
      <w:r w:rsidR="00D97F8A" w:rsidRPr="00083184">
        <w:rPr>
          <w:rFonts w:ascii="Arial" w:hAnsi="Arial" w:cs="Arial"/>
          <w:color w:val="000000" w:themeColor="text1"/>
        </w:rPr>
        <w:tab/>
      </w:r>
      <w:r w:rsidR="00D97F8A" w:rsidRPr="00083184">
        <w:rPr>
          <w:rFonts w:ascii="Arial" w:hAnsi="Arial" w:cs="Arial"/>
          <w:color w:val="000000" w:themeColor="text1"/>
        </w:rPr>
        <w:tab/>
      </w:r>
      <w:r w:rsidR="00D97F8A" w:rsidRPr="00083184">
        <w:rPr>
          <w:rFonts w:ascii="Arial" w:hAnsi="Arial" w:cs="Arial"/>
          <w:color w:val="000000" w:themeColor="text1"/>
        </w:rPr>
        <w:tab/>
      </w:r>
      <w:r w:rsidR="00D97F8A" w:rsidRPr="00083184">
        <w:rPr>
          <w:rFonts w:ascii="Arial" w:hAnsi="Arial" w:cs="Arial"/>
          <w:color w:val="000000" w:themeColor="text1"/>
        </w:rPr>
        <w:tab/>
      </w:r>
      <w:r w:rsidR="00D97F8A" w:rsidRPr="00083184">
        <w:rPr>
          <w:rFonts w:ascii="Arial" w:hAnsi="Arial" w:cs="Arial"/>
          <w:color w:val="000000" w:themeColor="text1"/>
        </w:rPr>
        <w:tab/>
      </w:r>
      <w:r w:rsidR="00D97F8A" w:rsidRPr="00083184">
        <w:rPr>
          <w:rFonts w:ascii="Arial" w:hAnsi="Arial" w:cs="Arial"/>
          <w:color w:val="000000" w:themeColor="text1"/>
        </w:rPr>
        <w:tab/>
      </w:r>
      <w:r w:rsidR="00D97F8A" w:rsidRPr="00083184">
        <w:rPr>
          <w:rFonts w:ascii="Arial" w:hAnsi="Arial" w:cs="Arial"/>
          <w:color w:val="000000" w:themeColor="text1"/>
        </w:rPr>
        <w:tab/>
        <w:t xml:space="preserve">   18</w:t>
      </w:r>
    </w:p>
    <w:p w14:paraId="13DC68A9" w14:textId="77777777" w:rsidR="008211D4" w:rsidRPr="00083184" w:rsidRDefault="008211D4" w:rsidP="008211D4">
      <w:pPr>
        <w:spacing w:line="240" w:lineRule="auto"/>
        <w:ind w:left="288"/>
        <w:jc w:val="both"/>
        <w:rPr>
          <w:rFonts w:ascii="Arial" w:hAnsi="Arial" w:cs="Arial"/>
          <w:color w:val="000000" w:themeColor="text1"/>
        </w:rPr>
      </w:pPr>
      <w:r w:rsidRPr="00083184">
        <w:rPr>
          <w:rFonts w:ascii="Arial" w:hAnsi="Arial" w:cs="Arial"/>
          <w:color w:val="000000" w:themeColor="text1"/>
        </w:rPr>
        <w:t>Utilities</w:t>
      </w:r>
      <w:r w:rsidR="00D97F8A" w:rsidRPr="00083184">
        <w:rPr>
          <w:rFonts w:ascii="Arial" w:hAnsi="Arial" w:cs="Arial"/>
          <w:color w:val="000000" w:themeColor="text1"/>
        </w:rPr>
        <w:tab/>
      </w:r>
      <w:r w:rsidR="00D97F8A" w:rsidRPr="00083184">
        <w:rPr>
          <w:rFonts w:ascii="Arial" w:hAnsi="Arial" w:cs="Arial"/>
          <w:color w:val="000000" w:themeColor="text1"/>
        </w:rPr>
        <w:tab/>
      </w:r>
      <w:r w:rsidR="00D97F8A" w:rsidRPr="00083184">
        <w:rPr>
          <w:rFonts w:ascii="Arial" w:hAnsi="Arial" w:cs="Arial"/>
          <w:color w:val="000000" w:themeColor="text1"/>
        </w:rPr>
        <w:tab/>
      </w:r>
      <w:r w:rsidR="00D97F8A" w:rsidRPr="00083184">
        <w:rPr>
          <w:rFonts w:ascii="Arial" w:hAnsi="Arial" w:cs="Arial"/>
          <w:color w:val="000000" w:themeColor="text1"/>
        </w:rPr>
        <w:tab/>
      </w:r>
      <w:r w:rsidR="00D97F8A" w:rsidRPr="00083184">
        <w:rPr>
          <w:rFonts w:ascii="Arial" w:hAnsi="Arial" w:cs="Arial"/>
          <w:color w:val="000000" w:themeColor="text1"/>
        </w:rPr>
        <w:tab/>
      </w:r>
      <w:r w:rsidR="00D97F8A" w:rsidRPr="00083184">
        <w:rPr>
          <w:rFonts w:ascii="Arial" w:hAnsi="Arial" w:cs="Arial"/>
          <w:color w:val="000000" w:themeColor="text1"/>
        </w:rPr>
        <w:tab/>
      </w:r>
      <w:r w:rsidR="00D97F8A" w:rsidRPr="00083184">
        <w:rPr>
          <w:rFonts w:ascii="Arial" w:hAnsi="Arial" w:cs="Arial"/>
          <w:color w:val="000000" w:themeColor="text1"/>
        </w:rPr>
        <w:tab/>
      </w:r>
      <w:r w:rsidR="00D97F8A" w:rsidRPr="00083184">
        <w:rPr>
          <w:rFonts w:ascii="Arial" w:hAnsi="Arial" w:cs="Arial"/>
          <w:color w:val="000000" w:themeColor="text1"/>
        </w:rPr>
        <w:tab/>
      </w:r>
      <w:r w:rsidR="00D97F8A" w:rsidRPr="00083184">
        <w:rPr>
          <w:rFonts w:ascii="Arial" w:hAnsi="Arial" w:cs="Arial"/>
          <w:color w:val="000000" w:themeColor="text1"/>
        </w:rPr>
        <w:tab/>
      </w:r>
      <w:r w:rsidR="00D97F8A" w:rsidRPr="00083184">
        <w:rPr>
          <w:rFonts w:ascii="Arial" w:hAnsi="Arial" w:cs="Arial"/>
          <w:color w:val="000000" w:themeColor="text1"/>
        </w:rPr>
        <w:tab/>
      </w:r>
      <w:r w:rsidR="00D97F8A" w:rsidRPr="00083184">
        <w:rPr>
          <w:rFonts w:ascii="Arial" w:hAnsi="Arial" w:cs="Arial"/>
          <w:color w:val="000000" w:themeColor="text1"/>
        </w:rPr>
        <w:tab/>
        <w:t xml:space="preserve">   19</w:t>
      </w:r>
    </w:p>
    <w:p w14:paraId="09A7E367" w14:textId="2519B41E" w:rsidR="008211D4" w:rsidRPr="00083184" w:rsidRDefault="008211D4" w:rsidP="008211D4">
      <w:pPr>
        <w:spacing w:line="240" w:lineRule="auto"/>
        <w:ind w:left="288"/>
        <w:jc w:val="both"/>
        <w:rPr>
          <w:rFonts w:ascii="Arial" w:hAnsi="Arial" w:cs="Arial"/>
          <w:color w:val="000000" w:themeColor="text1"/>
        </w:rPr>
      </w:pPr>
      <w:r w:rsidRPr="00083184">
        <w:rPr>
          <w:rFonts w:ascii="Arial" w:hAnsi="Arial" w:cs="Arial"/>
          <w:color w:val="000000" w:themeColor="text1"/>
        </w:rPr>
        <w:t>Real Estate</w:t>
      </w:r>
      <w:r w:rsidR="00127E82">
        <w:rPr>
          <w:rFonts w:ascii="Arial" w:hAnsi="Arial" w:cs="Arial"/>
          <w:color w:val="000000" w:themeColor="text1"/>
        </w:rPr>
        <w:tab/>
      </w:r>
      <w:r w:rsidR="00127E82">
        <w:rPr>
          <w:rFonts w:ascii="Arial" w:hAnsi="Arial" w:cs="Arial"/>
          <w:color w:val="000000" w:themeColor="text1"/>
        </w:rPr>
        <w:tab/>
      </w:r>
      <w:r w:rsidR="00127E82">
        <w:rPr>
          <w:rFonts w:ascii="Arial" w:hAnsi="Arial" w:cs="Arial"/>
          <w:color w:val="000000" w:themeColor="text1"/>
        </w:rPr>
        <w:tab/>
      </w:r>
      <w:r w:rsidR="00127E82">
        <w:rPr>
          <w:rFonts w:ascii="Arial" w:hAnsi="Arial" w:cs="Arial"/>
          <w:color w:val="000000" w:themeColor="text1"/>
        </w:rPr>
        <w:tab/>
      </w:r>
      <w:r w:rsidR="00127E82">
        <w:rPr>
          <w:rFonts w:ascii="Arial" w:hAnsi="Arial" w:cs="Arial"/>
          <w:color w:val="000000" w:themeColor="text1"/>
        </w:rPr>
        <w:tab/>
      </w:r>
      <w:r w:rsidR="00127E82">
        <w:rPr>
          <w:rFonts w:ascii="Arial" w:hAnsi="Arial" w:cs="Arial"/>
          <w:color w:val="000000" w:themeColor="text1"/>
        </w:rPr>
        <w:tab/>
      </w:r>
      <w:r w:rsidR="00127E82">
        <w:rPr>
          <w:rFonts w:ascii="Arial" w:hAnsi="Arial" w:cs="Arial"/>
          <w:color w:val="000000" w:themeColor="text1"/>
        </w:rPr>
        <w:tab/>
      </w:r>
      <w:r w:rsidR="00127E82">
        <w:rPr>
          <w:rFonts w:ascii="Arial" w:hAnsi="Arial" w:cs="Arial"/>
          <w:color w:val="000000" w:themeColor="text1"/>
        </w:rPr>
        <w:tab/>
      </w:r>
      <w:r w:rsidR="00127E82">
        <w:rPr>
          <w:rFonts w:ascii="Arial" w:hAnsi="Arial" w:cs="Arial"/>
          <w:color w:val="000000" w:themeColor="text1"/>
        </w:rPr>
        <w:tab/>
      </w:r>
      <w:r w:rsidR="00127E82">
        <w:rPr>
          <w:rFonts w:ascii="Arial" w:hAnsi="Arial" w:cs="Arial"/>
          <w:color w:val="000000" w:themeColor="text1"/>
        </w:rPr>
        <w:tab/>
      </w:r>
      <w:r w:rsidR="00127E82">
        <w:rPr>
          <w:rFonts w:ascii="Arial" w:hAnsi="Arial" w:cs="Arial"/>
          <w:color w:val="000000" w:themeColor="text1"/>
        </w:rPr>
        <w:tab/>
        <w:t xml:space="preserve">   19</w:t>
      </w:r>
      <w:r w:rsidR="009A35F1">
        <w:rPr>
          <w:rFonts w:ascii="Arial" w:hAnsi="Arial" w:cs="Arial"/>
          <w:color w:val="000000" w:themeColor="text1"/>
        </w:rPr>
        <w:t xml:space="preserve"> </w:t>
      </w:r>
    </w:p>
    <w:p w14:paraId="08CBAF41" w14:textId="77777777" w:rsidR="008211D4" w:rsidRPr="00083184" w:rsidRDefault="008211D4" w:rsidP="008E7375">
      <w:pPr>
        <w:spacing w:line="240" w:lineRule="auto"/>
        <w:jc w:val="both"/>
        <w:outlineLvl w:val="0"/>
        <w:rPr>
          <w:rFonts w:ascii="Arial" w:hAnsi="Arial" w:cs="Arial"/>
          <w:b/>
          <w:color w:val="000000" w:themeColor="text1"/>
        </w:rPr>
      </w:pPr>
      <w:r w:rsidRPr="00083184">
        <w:rPr>
          <w:rFonts w:ascii="Arial" w:hAnsi="Arial" w:cs="Arial"/>
          <w:b/>
          <w:color w:val="000000" w:themeColor="text1"/>
        </w:rPr>
        <w:t>Current Holdings</w:t>
      </w:r>
    </w:p>
    <w:p w14:paraId="090EF302" w14:textId="77777777" w:rsidR="008211D4" w:rsidRPr="00083184" w:rsidRDefault="008211D4" w:rsidP="008211D4">
      <w:pPr>
        <w:spacing w:line="240" w:lineRule="auto"/>
        <w:ind w:left="288"/>
        <w:jc w:val="both"/>
        <w:rPr>
          <w:rFonts w:ascii="Arial" w:hAnsi="Arial" w:cs="Arial"/>
          <w:color w:val="000000" w:themeColor="text1"/>
        </w:rPr>
      </w:pPr>
      <w:r w:rsidRPr="00083184">
        <w:rPr>
          <w:rFonts w:ascii="Arial" w:hAnsi="Arial" w:cs="Arial"/>
          <w:color w:val="000000" w:themeColor="text1"/>
        </w:rPr>
        <w:t>International Flavors and Fragrances (NYSE: IFF)</w:t>
      </w:r>
      <w:r w:rsidR="007F26AD" w:rsidRPr="00083184">
        <w:rPr>
          <w:rFonts w:ascii="Arial" w:hAnsi="Arial" w:cs="Arial"/>
          <w:color w:val="000000" w:themeColor="text1"/>
        </w:rPr>
        <w:tab/>
      </w:r>
      <w:r w:rsidR="007F26AD" w:rsidRPr="00083184">
        <w:rPr>
          <w:rFonts w:ascii="Arial" w:hAnsi="Arial" w:cs="Arial"/>
          <w:color w:val="000000" w:themeColor="text1"/>
        </w:rPr>
        <w:tab/>
      </w:r>
      <w:r w:rsidR="007F26AD" w:rsidRPr="00083184">
        <w:rPr>
          <w:rFonts w:ascii="Arial" w:hAnsi="Arial" w:cs="Arial"/>
          <w:color w:val="000000" w:themeColor="text1"/>
        </w:rPr>
        <w:tab/>
      </w:r>
      <w:r w:rsidR="007F26AD" w:rsidRPr="00083184">
        <w:rPr>
          <w:rFonts w:ascii="Arial" w:hAnsi="Arial" w:cs="Arial"/>
          <w:color w:val="000000" w:themeColor="text1"/>
        </w:rPr>
        <w:tab/>
      </w:r>
      <w:r w:rsidR="007F26AD" w:rsidRPr="00083184">
        <w:rPr>
          <w:rFonts w:ascii="Arial" w:hAnsi="Arial" w:cs="Arial"/>
          <w:color w:val="000000" w:themeColor="text1"/>
        </w:rPr>
        <w:tab/>
        <w:t xml:space="preserve">   21</w:t>
      </w:r>
    </w:p>
    <w:p w14:paraId="1D8D5584" w14:textId="77777777" w:rsidR="008211D4" w:rsidRPr="00083184" w:rsidRDefault="008211D4" w:rsidP="008211D4">
      <w:pPr>
        <w:spacing w:line="240" w:lineRule="auto"/>
        <w:ind w:left="288"/>
        <w:jc w:val="both"/>
        <w:rPr>
          <w:rFonts w:ascii="Arial" w:hAnsi="Arial" w:cs="Arial"/>
          <w:color w:val="000000" w:themeColor="text1"/>
        </w:rPr>
      </w:pPr>
      <w:r w:rsidRPr="00083184">
        <w:rPr>
          <w:rFonts w:ascii="Arial" w:hAnsi="Arial" w:cs="Arial"/>
          <w:color w:val="000000" w:themeColor="text1"/>
        </w:rPr>
        <w:t>McDonald’s Corporation (NYSE: MCD)</w:t>
      </w:r>
      <w:r w:rsidR="007F26AD" w:rsidRPr="00083184">
        <w:rPr>
          <w:rFonts w:ascii="Arial" w:hAnsi="Arial" w:cs="Arial"/>
          <w:color w:val="000000" w:themeColor="text1"/>
        </w:rPr>
        <w:tab/>
      </w:r>
      <w:r w:rsidR="007F26AD" w:rsidRPr="00083184">
        <w:rPr>
          <w:rFonts w:ascii="Arial" w:hAnsi="Arial" w:cs="Arial"/>
          <w:color w:val="000000" w:themeColor="text1"/>
        </w:rPr>
        <w:tab/>
      </w:r>
      <w:r w:rsidR="007F26AD" w:rsidRPr="00083184">
        <w:rPr>
          <w:rFonts w:ascii="Arial" w:hAnsi="Arial" w:cs="Arial"/>
          <w:color w:val="000000" w:themeColor="text1"/>
        </w:rPr>
        <w:tab/>
      </w:r>
      <w:r w:rsidR="007F26AD" w:rsidRPr="00083184">
        <w:rPr>
          <w:rFonts w:ascii="Arial" w:hAnsi="Arial" w:cs="Arial"/>
          <w:color w:val="000000" w:themeColor="text1"/>
        </w:rPr>
        <w:tab/>
      </w:r>
      <w:r w:rsidR="007F26AD" w:rsidRPr="00083184">
        <w:rPr>
          <w:rFonts w:ascii="Arial" w:hAnsi="Arial" w:cs="Arial"/>
          <w:color w:val="000000" w:themeColor="text1"/>
        </w:rPr>
        <w:tab/>
      </w:r>
      <w:r w:rsidR="007F26AD" w:rsidRPr="00083184">
        <w:rPr>
          <w:rFonts w:ascii="Arial" w:hAnsi="Arial" w:cs="Arial"/>
          <w:color w:val="000000" w:themeColor="text1"/>
        </w:rPr>
        <w:tab/>
      </w:r>
      <w:r w:rsidR="007F26AD" w:rsidRPr="00083184">
        <w:rPr>
          <w:rFonts w:ascii="Arial" w:hAnsi="Arial" w:cs="Arial"/>
          <w:color w:val="000000" w:themeColor="text1"/>
        </w:rPr>
        <w:tab/>
        <w:t xml:space="preserve">   22</w:t>
      </w:r>
    </w:p>
    <w:p w14:paraId="52166EDC" w14:textId="77777777" w:rsidR="008211D4" w:rsidRPr="00083184" w:rsidRDefault="008211D4" w:rsidP="008211D4">
      <w:pPr>
        <w:spacing w:line="240" w:lineRule="auto"/>
        <w:ind w:left="288"/>
        <w:jc w:val="both"/>
        <w:rPr>
          <w:rFonts w:ascii="Arial" w:hAnsi="Arial" w:cs="Arial"/>
          <w:color w:val="000000" w:themeColor="text1"/>
        </w:rPr>
      </w:pPr>
      <w:r w:rsidRPr="00083184">
        <w:rPr>
          <w:rFonts w:ascii="Arial" w:hAnsi="Arial" w:cs="Arial"/>
          <w:color w:val="000000" w:themeColor="text1"/>
        </w:rPr>
        <w:t>Microsoft (NASDAQ: MSFT)</w:t>
      </w:r>
      <w:r w:rsidR="007F26AD" w:rsidRPr="00083184">
        <w:rPr>
          <w:rFonts w:ascii="Arial" w:hAnsi="Arial" w:cs="Arial"/>
          <w:color w:val="000000" w:themeColor="text1"/>
        </w:rPr>
        <w:tab/>
      </w:r>
      <w:r w:rsidR="007F26AD" w:rsidRPr="00083184">
        <w:rPr>
          <w:rFonts w:ascii="Arial" w:hAnsi="Arial" w:cs="Arial"/>
          <w:color w:val="000000" w:themeColor="text1"/>
        </w:rPr>
        <w:tab/>
      </w:r>
      <w:r w:rsidR="007F26AD" w:rsidRPr="00083184">
        <w:rPr>
          <w:rFonts w:ascii="Arial" w:hAnsi="Arial" w:cs="Arial"/>
          <w:color w:val="000000" w:themeColor="text1"/>
        </w:rPr>
        <w:tab/>
      </w:r>
      <w:r w:rsidR="007F26AD" w:rsidRPr="00083184">
        <w:rPr>
          <w:rFonts w:ascii="Arial" w:hAnsi="Arial" w:cs="Arial"/>
          <w:color w:val="000000" w:themeColor="text1"/>
        </w:rPr>
        <w:tab/>
      </w:r>
      <w:r w:rsidR="007F26AD" w:rsidRPr="00083184">
        <w:rPr>
          <w:rFonts w:ascii="Arial" w:hAnsi="Arial" w:cs="Arial"/>
          <w:color w:val="000000" w:themeColor="text1"/>
        </w:rPr>
        <w:tab/>
      </w:r>
      <w:r w:rsidR="007F26AD" w:rsidRPr="00083184">
        <w:rPr>
          <w:rFonts w:ascii="Arial" w:hAnsi="Arial" w:cs="Arial"/>
          <w:color w:val="000000" w:themeColor="text1"/>
        </w:rPr>
        <w:tab/>
      </w:r>
      <w:r w:rsidR="007F26AD" w:rsidRPr="00083184">
        <w:rPr>
          <w:rFonts w:ascii="Arial" w:hAnsi="Arial" w:cs="Arial"/>
          <w:color w:val="000000" w:themeColor="text1"/>
        </w:rPr>
        <w:tab/>
      </w:r>
      <w:r w:rsidR="007F26AD" w:rsidRPr="00083184">
        <w:rPr>
          <w:rFonts w:ascii="Arial" w:hAnsi="Arial" w:cs="Arial"/>
          <w:color w:val="000000" w:themeColor="text1"/>
        </w:rPr>
        <w:tab/>
        <w:t xml:space="preserve">   23</w:t>
      </w:r>
    </w:p>
    <w:p w14:paraId="41A7D9D2" w14:textId="77777777" w:rsidR="008211D4" w:rsidRPr="00083184" w:rsidRDefault="008211D4" w:rsidP="008211D4">
      <w:pPr>
        <w:spacing w:line="240" w:lineRule="auto"/>
        <w:ind w:left="288"/>
        <w:jc w:val="both"/>
        <w:rPr>
          <w:rFonts w:ascii="Arial" w:hAnsi="Arial" w:cs="Arial"/>
          <w:color w:val="000000" w:themeColor="text1"/>
        </w:rPr>
      </w:pPr>
      <w:r w:rsidRPr="00083184">
        <w:rPr>
          <w:rFonts w:ascii="Arial" w:hAnsi="Arial" w:cs="Arial"/>
          <w:color w:val="000000" w:themeColor="text1"/>
        </w:rPr>
        <w:t>The Boeing Company (NYSE: BA)</w:t>
      </w:r>
      <w:r w:rsidR="007F26AD" w:rsidRPr="00083184">
        <w:rPr>
          <w:rFonts w:ascii="Arial" w:hAnsi="Arial" w:cs="Arial"/>
          <w:color w:val="000000" w:themeColor="text1"/>
        </w:rPr>
        <w:tab/>
      </w:r>
      <w:r w:rsidR="007F26AD" w:rsidRPr="00083184">
        <w:rPr>
          <w:rFonts w:ascii="Arial" w:hAnsi="Arial" w:cs="Arial"/>
          <w:color w:val="000000" w:themeColor="text1"/>
        </w:rPr>
        <w:tab/>
      </w:r>
      <w:r w:rsidR="007F26AD" w:rsidRPr="00083184">
        <w:rPr>
          <w:rFonts w:ascii="Arial" w:hAnsi="Arial" w:cs="Arial"/>
          <w:color w:val="000000" w:themeColor="text1"/>
        </w:rPr>
        <w:tab/>
      </w:r>
      <w:r w:rsidR="007F26AD" w:rsidRPr="00083184">
        <w:rPr>
          <w:rFonts w:ascii="Arial" w:hAnsi="Arial" w:cs="Arial"/>
          <w:color w:val="000000" w:themeColor="text1"/>
        </w:rPr>
        <w:tab/>
      </w:r>
      <w:r w:rsidR="007F26AD" w:rsidRPr="00083184">
        <w:rPr>
          <w:rFonts w:ascii="Arial" w:hAnsi="Arial" w:cs="Arial"/>
          <w:color w:val="000000" w:themeColor="text1"/>
        </w:rPr>
        <w:tab/>
      </w:r>
      <w:r w:rsidR="007F26AD" w:rsidRPr="00083184">
        <w:rPr>
          <w:rFonts w:ascii="Arial" w:hAnsi="Arial" w:cs="Arial"/>
          <w:color w:val="000000" w:themeColor="text1"/>
        </w:rPr>
        <w:tab/>
      </w:r>
      <w:r w:rsidR="007F26AD" w:rsidRPr="00083184">
        <w:rPr>
          <w:rFonts w:ascii="Arial" w:hAnsi="Arial" w:cs="Arial"/>
          <w:color w:val="000000" w:themeColor="text1"/>
        </w:rPr>
        <w:tab/>
        <w:t xml:space="preserve">   24</w:t>
      </w:r>
    </w:p>
    <w:p w14:paraId="5F5C1658" w14:textId="77777777" w:rsidR="008211D4" w:rsidRPr="00083184" w:rsidRDefault="008211D4" w:rsidP="008211D4">
      <w:pPr>
        <w:spacing w:line="240" w:lineRule="auto"/>
        <w:jc w:val="both"/>
        <w:rPr>
          <w:rFonts w:ascii="Arial" w:hAnsi="Arial" w:cs="Arial"/>
          <w:color w:val="000000" w:themeColor="text1"/>
        </w:rPr>
      </w:pPr>
      <w:r w:rsidRPr="00083184">
        <w:rPr>
          <w:rFonts w:ascii="Arial" w:hAnsi="Arial" w:cs="Arial"/>
          <w:b/>
          <w:color w:val="000000" w:themeColor="text1"/>
        </w:rPr>
        <w:t>Lessons Learned</w:t>
      </w:r>
      <w:r w:rsidR="007F26AD" w:rsidRPr="00083184">
        <w:rPr>
          <w:rFonts w:ascii="Arial" w:hAnsi="Arial" w:cs="Arial"/>
          <w:b/>
          <w:color w:val="000000" w:themeColor="text1"/>
        </w:rPr>
        <w:tab/>
      </w:r>
      <w:r w:rsidR="007F26AD" w:rsidRPr="00083184">
        <w:rPr>
          <w:rFonts w:ascii="Arial" w:hAnsi="Arial" w:cs="Arial"/>
          <w:b/>
          <w:color w:val="000000" w:themeColor="text1"/>
        </w:rPr>
        <w:tab/>
      </w:r>
      <w:r w:rsidR="007F26AD" w:rsidRPr="00083184">
        <w:rPr>
          <w:rFonts w:ascii="Arial" w:hAnsi="Arial" w:cs="Arial"/>
          <w:b/>
          <w:color w:val="000000" w:themeColor="text1"/>
        </w:rPr>
        <w:tab/>
      </w:r>
      <w:r w:rsidR="007F26AD" w:rsidRPr="00083184">
        <w:rPr>
          <w:rFonts w:ascii="Arial" w:hAnsi="Arial" w:cs="Arial"/>
          <w:b/>
          <w:color w:val="000000" w:themeColor="text1"/>
        </w:rPr>
        <w:tab/>
      </w:r>
      <w:r w:rsidR="007F26AD" w:rsidRPr="00083184">
        <w:rPr>
          <w:rFonts w:ascii="Arial" w:hAnsi="Arial" w:cs="Arial"/>
          <w:b/>
          <w:color w:val="000000" w:themeColor="text1"/>
        </w:rPr>
        <w:tab/>
      </w:r>
      <w:r w:rsidR="007F26AD" w:rsidRPr="00083184">
        <w:rPr>
          <w:rFonts w:ascii="Arial" w:hAnsi="Arial" w:cs="Arial"/>
          <w:b/>
          <w:color w:val="000000" w:themeColor="text1"/>
        </w:rPr>
        <w:tab/>
      </w:r>
      <w:r w:rsidR="007F26AD" w:rsidRPr="00083184">
        <w:rPr>
          <w:rFonts w:ascii="Arial" w:hAnsi="Arial" w:cs="Arial"/>
          <w:b/>
          <w:color w:val="000000" w:themeColor="text1"/>
        </w:rPr>
        <w:tab/>
      </w:r>
      <w:r w:rsidR="007F26AD" w:rsidRPr="00083184">
        <w:rPr>
          <w:rFonts w:ascii="Arial" w:hAnsi="Arial" w:cs="Arial"/>
          <w:b/>
          <w:color w:val="000000" w:themeColor="text1"/>
        </w:rPr>
        <w:tab/>
      </w:r>
      <w:r w:rsidR="007F26AD" w:rsidRPr="00083184">
        <w:rPr>
          <w:rFonts w:ascii="Arial" w:hAnsi="Arial" w:cs="Arial"/>
          <w:b/>
          <w:color w:val="000000" w:themeColor="text1"/>
        </w:rPr>
        <w:tab/>
      </w:r>
      <w:r w:rsidR="007F26AD" w:rsidRPr="00083184">
        <w:rPr>
          <w:rFonts w:ascii="Arial" w:hAnsi="Arial" w:cs="Arial"/>
          <w:b/>
          <w:color w:val="000000" w:themeColor="text1"/>
        </w:rPr>
        <w:tab/>
        <w:t xml:space="preserve">   </w:t>
      </w:r>
      <w:r w:rsidR="007F26AD" w:rsidRPr="00083184">
        <w:rPr>
          <w:rFonts w:ascii="Arial" w:hAnsi="Arial" w:cs="Arial"/>
          <w:color w:val="000000" w:themeColor="text1"/>
        </w:rPr>
        <w:t>25</w:t>
      </w:r>
    </w:p>
    <w:p w14:paraId="6AD20BA0" w14:textId="77777777" w:rsidR="001B74E0" w:rsidRPr="00083184" w:rsidRDefault="001B74E0" w:rsidP="008E7375">
      <w:pPr>
        <w:outlineLvl w:val="0"/>
        <w:rPr>
          <w:rFonts w:ascii="Arial" w:hAnsi="Arial" w:cs="Arial"/>
          <w:b/>
          <w:color w:val="000000" w:themeColor="text1"/>
          <w:sz w:val="24"/>
          <w:szCs w:val="24"/>
          <w:u w:val="single"/>
        </w:rPr>
      </w:pPr>
      <w:r w:rsidRPr="00083184">
        <w:rPr>
          <w:rFonts w:ascii="Arial" w:hAnsi="Arial" w:cs="Arial"/>
          <w:b/>
          <w:color w:val="000000" w:themeColor="text1"/>
          <w:sz w:val="24"/>
          <w:szCs w:val="24"/>
          <w:u w:val="single"/>
        </w:rPr>
        <w:br w:type="page"/>
      </w:r>
      <w:r w:rsidRPr="00083184">
        <w:rPr>
          <w:rFonts w:ascii="Arial" w:hAnsi="Arial" w:cs="Arial"/>
          <w:b/>
          <w:color w:val="000000" w:themeColor="text1"/>
          <w:sz w:val="24"/>
          <w:szCs w:val="24"/>
          <w:u w:val="single"/>
        </w:rPr>
        <w:lastRenderedPageBreak/>
        <w:t>Investment Managers</w:t>
      </w:r>
    </w:p>
    <w:p w14:paraId="1714FB47" w14:textId="77777777" w:rsidR="00287267" w:rsidRPr="00083184" w:rsidRDefault="00287267" w:rsidP="00287267">
      <w:pPr>
        <w:autoSpaceDE w:val="0"/>
        <w:autoSpaceDN w:val="0"/>
        <w:adjustRightInd w:val="0"/>
        <w:spacing w:after="0" w:line="280" w:lineRule="atLeast"/>
        <w:rPr>
          <w:rFonts w:ascii="Arial" w:hAnsi="Arial" w:cs="Arial"/>
          <w:color w:val="000000" w:themeColor="text1"/>
          <w:sz w:val="24"/>
          <w:szCs w:val="24"/>
        </w:rPr>
        <w:sectPr w:rsidR="00287267" w:rsidRPr="00083184" w:rsidSect="001143B3">
          <w:headerReference w:type="even" r:id="rId9"/>
          <w:headerReference w:type="default" r:id="rId10"/>
          <w:footerReference w:type="default" r:id="rId11"/>
          <w:footerReference w:type="first" r:id="rId12"/>
          <w:pgSz w:w="12240" w:h="15840"/>
          <w:pgMar w:top="1440" w:right="1440" w:bottom="1440" w:left="1440" w:header="720" w:footer="720" w:gutter="0"/>
          <w:pgNumType w:start="1"/>
          <w:cols w:space="720"/>
          <w:titlePg/>
        </w:sectPr>
      </w:pPr>
    </w:p>
    <w:p w14:paraId="1AF899E7" w14:textId="75E6222B" w:rsidR="00287267" w:rsidRPr="00083184" w:rsidRDefault="00AE617F" w:rsidP="00287267">
      <w:pPr>
        <w:autoSpaceDE w:val="0"/>
        <w:autoSpaceDN w:val="0"/>
        <w:adjustRightInd w:val="0"/>
        <w:spacing w:after="0" w:line="280" w:lineRule="atLeast"/>
        <w:rPr>
          <w:rFonts w:ascii="Arial" w:hAnsi="Arial" w:cs="Arial"/>
          <w:color w:val="000000" w:themeColor="text1"/>
          <w:sz w:val="24"/>
          <w:szCs w:val="24"/>
        </w:rPr>
      </w:pPr>
      <w:r w:rsidRPr="00083184">
        <w:rPr>
          <w:rFonts w:ascii="Arial" w:hAnsi="Arial" w:cs="Arial"/>
          <w:color w:val="000000" w:themeColor="text1"/>
          <w:sz w:val="24"/>
          <w:szCs w:val="24"/>
        </w:rPr>
        <w:t>Christian Escotto-</w:t>
      </w:r>
      <w:r w:rsidR="00287267" w:rsidRPr="00083184">
        <w:rPr>
          <w:rFonts w:ascii="Arial" w:hAnsi="Arial" w:cs="Arial"/>
          <w:color w:val="000000" w:themeColor="text1"/>
          <w:sz w:val="24"/>
          <w:szCs w:val="24"/>
        </w:rPr>
        <w:t>Rosado</w:t>
      </w:r>
    </w:p>
    <w:p w14:paraId="4E34F4DB" w14:textId="77777777" w:rsidR="00287267" w:rsidRPr="00083184" w:rsidRDefault="00287267" w:rsidP="00287267">
      <w:pPr>
        <w:autoSpaceDE w:val="0"/>
        <w:autoSpaceDN w:val="0"/>
        <w:adjustRightInd w:val="0"/>
        <w:spacing w:after="0" w:line="280" w:lineRule="atLeast"/>
        <w:rPr>
          <w:rFonts w:ascii="Arial" w:hAnsi="Arial" w:cs="Arial"/>
          <w:color w:val="000000" w:themeColor="text1"/>
          <w:sz w:val="24"/>
          <w:szCs w:val="24"/>
        </w:rPr>
      </w:pPr>
      <w:r w:rsidRPr="00083184">
        <w:rPr>
          <w:rFonts w:ascii="Arial" w:hAnsi="Arial" w:cs="Arial"/>
          <w:color w:val="000000" w:themeColor="text1"/>
          <w:sz w:val="24"/>
          <w:szCs w:val="24"/>
        </w:rPr>
        <w:t>Yuan Gao</w:t>
      </w:r>
    </w:p>
    <w:p w14:paraId="60A24967" w14:textId="77777777" w:rsidR="00287267" w:rsidRPr="00083184" w:rsidRDefault="00287267" w:rsidP="00287267">
      <w:pPr>
        <w:autoSpaceDE w:val="0"/>
        <w:autoSpaceDN w:val="0"/>
        <w:adjustRightInd w:val="0"/>
        <w:spacing w:after="0" w:line="280" w:lineRule="atLeast"/>
        <w:rPr>
          <w:rFonts w:ascii="Arial" w:hAnsi="Arial" w:cs="Arial"/>
          <w:color w:val="000000" w:themeColor="text1"/>
          <w:sz w:val="24"/>
          <w:szCs w:val="24"/>
        </w:rPr>
      </w:pPr>
      <w:r w:rsidRPr="00083184">
        <w:rPr>
          <w:rFonts w:ascii="Arial" w:hAnsi="Arial" w:cs="Arial"/>
          <w:color w:val="000000" w:themeColor="text1"/>
          <w:sz w:val="24"/>
          <w:szCs w:val="24"/>
        </w:rPr>
        <w:t>Karthik Gurusamy</w:t>
      </w:r>
    </w:p>
    <w:p w14:paraId="4CE6D812" w14:textId="77777777" w:rsidR="00287267" w:rsidRPr="00083184" w:rsidRDefault="00287267" w:rsidP="00287267">
      <w:pPr>
        <w:autoSpaceDE w:val="0"/>
        <w:autoSpaceDN w:val="0"/>
        <w:adjustRightInd w:val="0"/>
        <w:spacing w:after="0" w:line="280" w:lineRule="atLeast"/>
        <w:rPr>
          <w:rFonts w:ascii="Arial" w:hAnsi="Arial" w:cs="Arial"/>
          <w:color w:val="000000" w:themeColor="text1"/>
          <w:sz w:val="24"/>
          <w:szCs w:val="24"/>
        </w:rPr>
      </w:pPr>
      <w:r w:rsidRPr="00083184">
        <w:rPr>
          <w:rFonts w:ascii="Arial" w:hAnsi="Arial" w:cs="Arial"/>
          <w:color w:val="000000" w:themeColor="text1"/>
          <w:sz w:val="24"/>
          <w:szCs w:val="24"/>
        </w:rPr>
        <w:t>Sijie Hu</w:t>
      </w:r>
    </w:p>
    <w:p w14:paraId="4EFC1AB5" w14:textId="77777777" w:rsidR="00287267" w:rsidRPr="00083184" w:rsidRDefault="000277BF" w:rsidP="00287267">
      <w:pPr>
        <w:autoSpaceDE w:val="0"/>
        <w:autoSpaceDN w:val="0"/>
        <w:adjustRightInd w:val="0"/>
        <w:spacing w:after="0" w:line="280" w:lineRule="atLeast"/>
        <w:rPr>
          <w:rFonts w:ascii="Arial" w:hAnsi="Arial" w:cs="Arial"/>
          <w:color w:val="000000" w:themeColor="text1"/>
          <w:sz w:val="24"/>
          <w:szCs w:val="24"/>
        </w:rPr>
      </w:pPr>
      <w:r w:rsidRPr="00083184">
        <w:rPr>
          <w:rFonts w:ascii="Arial" w:hAnsi="Arial" w:cs="Arial"/>
          <w:color w:val="000000" w:themeColor="text1"/>
          <w:sz w:val="24"/>
          <w:szCs w:val="24"/>
          <w:lang w:eastAsia="zh-CN"/>
        </w:rPr>
        <w:t>Jialian</w:t>
      </w:r>
      <w:r w:rsidR="00287267" w:rsidRPr="00083184">
        <w:rPr>
          <w:rFonts w:ascii="Arial" w:hAnsi="Arial" w:cs="Arial"/>
          <w:color w:val="000000" w:themeColor="text1"/>
          <w:sz w:val="24"/>
          <w:szCs w:val="24"/>
        </w:rPr>
        <w:t xml:space="preserve"> Li</w:t>
      </w:r>
    </w:p>
    <w:p w14:paraId="3899685F" w14:textId="77777777" w:rsidR="00287267" w:rsidRPr="00083184" w:rsidRDefault="00287267" w:rsidP="00287267">
      <w:pPr>
        <w:autoSpaceDE w:val="0"/>
        <w:autoSpaceDN w:val="0"/>
        <w:adjustRightInd w:val="0"/>
        <w:spacing w:after="0" w:line="280" w:lineRule="atLeast"/>
        <w:rPr>
          <w:rFonts w:ascii="Arial" w:hAnsi="Arial" w:cs="Arial"/>
          <w:color w:val="000000" w:themeColor="text1"/>
          <w:sz w:val="24"/>
          <w:szCs w:val="24"/>
        </w:rPr>
      </w:pPr>
      <w:r w:rsidRPr="00083184">
        <w:rPr>
          <w:rFonts w:ascii="Arial" w:hAnsi="Arial" w:cs="Arial"/>
          <w:color w:val="000000" w:themeColor="text1"/>
          <w:sz w:val="24"/>
          <w:szCs w:val="24"/>
        </w:rPr>
        <w:t>Lindsey Lozyniak</w:t>
      </w:r>
    </w:p>
    <w:p w14:paraId="5B9E582D" w14:textId="77777777" w:rsidR="00AE617F" w:rsidRPr="00083184" w:rsidRDefault="00AE617F" w:rsidP="00287267">
      <w:pPr>
        <w:autoSpaceDE w:val="0"/>
        <w:autoSpaceDN w:val="0"/>
        <w:adjustRightInd w:val="0"/>
        <w:spacing w:after="0" w:line="280" w:lineRule="atLeast"/>
        <w:rPr>
          <w:rFonts w:ascii="Arial" w:hAnsi="Arial" w:cs="Arial"/>
          <w:color w:val="000000" w:themeColor="text1"/>
          <w:sz w:val="24"/>
          <w:szCs w:val="24"/>
        </w:rPr>
      </w:pPr>
    </w:p>
    <w:p w14:paraId="7045DD73" w14:textId="0E43D711" w:rsidR="00287267" w:rsidRPr="00083184" w:rsidRDefault="00287267" w:rsidP="008E7375">
      <w:pPr>
        <w:autoSpaceDE w:val="0"/>
        <w:autoSpaceDN w:val="0"/>
        <w:adjustRightInd w:val="0"/>
        <w:spacing w:after="0" w:line="280" w:lineRule="atLeast"/>
        <w:outlineLvl w:val="0"/>
        <w:rPr>
          <w:rFonts w:ascii="Arial" w:hAnsi="Arial" w:cs="Arial"/>
          <w:color w:val="000000" w:themeColor="text1"/>
          <w:sz w:val="24"/>
          <w:szCs w:val="24"/>
        </w:rPr>
      </w:pPr>
      <w:r w:rsidRPr="00083184">
        <w:rPr>
          <w:rFonts w:ascii="Arial" w:hAnsi="Arial" w:cs="Arial"/>
          <w:color w:val="000000" w:themeColor="text1"/>
          <w:sz w:val="24"/>
          <w:szCs w:val="24"/>
        </w:rPr>
        <w:t xml:space="preserve">Anshul Manglani </w:t>
      </w:r>
    </w:p>
    <w:p w14:paraId="434D75EB" w14:textId="77777777" w:rsidR="00287267" w:rsidRPr="00083184" w:rsidRDefault="00287267" w:rsidP="00287267">
      <w:pPr>
        <w:autoSpaceDE w:val="0"/>
        <w:autoSpaceDN w:val="0"/>
        <w:adjustRightInd w:val="0"/>
        <w:spacing w:after="0" w:line="280" w:lineRule="atLeast"/>
        <w:rPr>
          <w:rFonts w:ascii="Arial" w:hAnsi="Arial" w:cs="Arial"/>
          <w:color w:val="000000" w:themeColor="text1"/>
          <w:sz w:val="24"/>
          <w:szCs w:val="24"/>
        </w:rPr>
      </w:pPr>
      <w:r w:rsidRPr="00083184">
        <w:rPr>
          <w:rFonts w:ascii="Arial" w:hAnsi="Arial" w:cs="Arial"/>
          <w:color w:val="000000" w:themeColor="text1"/>
          <w:sz w:val="24"/>
          <w:szCs w:val="24"/>
        </w:rPr>
        <w:t>Chintan Shah</w:t>
      </w:r>
    </w:p>
    <w:p w14:paraId="0DB19D01" w14:textId="77777777" w:rsidR="00287267" w:rsidRPr="00083184" w:rsidRDefault="00287267" w:rsidP="00287267">
      <w:pPr>
        <w:autoSpaceDE w:val="0"/>
        <w:autoSpaceDN w:val="0"/>
        <w:adjustRightInd w:val="0"/>
        <w:spacing w:after="0" w:line="280" w:lineRule="atLeast"/>
        <w:rPr>
          <w:rFonts w:ascii="Arial" w:hAnsi="Arial" w:cs="Arial"/>
          <w:color w:val="000000" w:themeColor="text1"/>
          <w:sz w:val="24"/>
          <w:szCs w:val="24"/>
        </w:rPr>
      </w:pPr>
      <w:r w:rsidRPr="00083184">
        <w:rPr>
          <w:rFonts w:ascii="Arial" w:hAnsi="Arial" w:cs="Arial"/>
          <w:color w:val="000000" w:themeColor="text1"/>
          <w:sz w:val="24"/>
          <w:szCs w:val="24"/>
        </w:rPr>
        <w:t>Di Yang</w:t>
      </w:r>
    </w:p>
    <w:p w14:paraId="71E0E0AA" w14:textId="77777777" w:rsidR="00287267" w:rsidRPr="00083184" w:rsidRDefault="00287267" w:rsidP="00287267">
      <w:pPr>
        <w:rPr>
          <w:rFonts w:ascii="Arial" w:hAnsi="Arial" w:cs="Arial"/>
          <w:b/>
          <w:color w:val="000000" w:themeColor="text1"/>
          <w:sz w:val="24"/>
          <w:szCs w:val="24"/>
          <w:u w:val="single"/>
        </w:rPr>
        <w:sectPr w:rsidR="00287267" w:rsidRPr="00083184" w:rsidSect="00287267">
          <w:type w:val="continuous"/>
          <w:pgSz w:w="12240" w:h="15840"/>
          <w:pgMar w:top="1440" w:right="1440" w:bottom="1440" w:left="1440" w:header="720" w:footer="720" w:gutter="0"/>
          <w:pgNumType w:start="1"/>
          <w:cols w:num="3" w:space="720"/>
        </w:sectPr>
      </w:pPr>
    </w:p>
    <w:p w14:paraId="5B17C787" w14:textId="77777777" w:rsidR="00287267" w:rsidRPr="00083184" w:rsidRDefault="00287267" w:rsidP="00287267">
      <w:pPr>
        <w:rPr>
          <w:rFonts w:ascii="Arial" w:hAnsi="Arial" w:cs="Arial"/>
          <w:b/>
          <w:color w:val="000000" w:themeColor="text1"/>
          <w:sz w:val="24"/>
          <w:szCs w:val="24"/>
          <w:u w:val="single"/>
        </w:rPr>
        <w:sectPr w:rsidR="00287267" w:rsidRPr="00083184" w:rsidSect="00287267">
          <w:type w:val="continuous"/>
          <w:pgSz w:w="12240" w:h="15840"/>
          <w:pgMar w:top="1440" w:right="1440" w:bottom="1440" w:left="1440" w:header="720" w:footer="720" w:gutter="0"/>
          <w:pgNumType w:start="1"/>
          <w:cols w:space="720"/>
        </w:sectPr>
      </w:pPr>
    </w:p>
    <w:p w14:paraId="3A4E63EE" w14:textId="77777777" w:rsidR="001B74E0" w:rsidRPr="00083184" w:rsidRDefault="00287267" w:rsidP="008E7375">
      <w:pPr>
        <w:outlineLvl w:val="0"/>
        <w:rPr>
          <w:rFonts w:ascii="Arial" w:hAnsi="Arial" w:cs="Arial"/>
          <w:b/>
          <w:color w:val="000000" w:themeColor="text1"/>
          <w:sz w:val="24"/>
          <w:szCs w:val="24"/>
          <w:u w:val="single"/>
        </w:rPr>
      </w:pPr>
      <w:r w:rsidRPr="00083184">
        <w:rPr>
          <w:rFonts w:ascii="Arial" w:hAnsi="Arial" w:cs="Arial"/>
          <w:b/>
          <w:color w:val="000000" w:themeColor="text1"/>
          <w:sz w:val="24"/>
          <w:szCs w:val="24"/>
          <w:u w:val="single"/>
        </w:rPr>
        <w:t>Fall Officer Positions</w:t>
      </w:r>
    </w:p>
    <w:p w14:paraId="6C5C6BCA" w14:textId="77777777" w:rsidR="00287267" w:rsidRPr="00083184" w:rsidRDefault="00287267" w:rsidP="008E7375">
      <w:pPr>
        <w:outlineLvl w:val="0"/>
        <w:rPr>
          <w:rFonts w:ascii="Arial" w:hAnsi="Arial" w:cs="Arial"/>
          <w:color w:val="000000" w:themeColor="text1"/>
          <w:sz w:val="24"/>
          <w:szCs w:val="24"/>
        </w:rPr>
      </w:pPr>
      <w:r w:rsidRPr="00083184">
        <w:rPr>
          <w:rFonts w:ascii="Arial" w:hAnsi="Arial" w:cs="Arial"/>
          <w:b/>
          <w:color w:val="000000" w:themeColor="text1"/>
          <w:sz w:val="24"/>
          <w:szCs w:val="24"/>
        </w:rPr>
        <w:t>Co-Lead Manager:</w:t>
      </w:r>
      <w:r w:rsidRPr="00083184">
        <w:rPr>
          <w:rFonts w:ascii="Arial" w:hAnsi="Arial" w:cs="Arial"/>
          <w:color w:val="000000" w:themeColor="text1"/>
          <w:sz w:val="24"/>
          <w:szCs w:val="24"/>
        </w:rPr>
        <w:t xml:space="preserve"> Anshul Manglani</w:t>
      </w:r>
    </w:p>
    <w:p w14:paraId="30A0056B" w14:textId="77777777" w:rsidR="00287267" w:rsidRPr="00083184" w:rsidRDefault="00287267" w:rsidP="008E7375">
      <w:pPr>
        <w:outlineLvl w:val="0"/>
        <w:rPr>
          <w:rFonts w:ascii="Arial" w:hAnsi="Arial" w:cs="Arial"/>
          <w:color w:val="000000" w:themeColor="text1"/>
          <w:sz w:val="24"/>
          <w:szCs w:val="24"/>
        </w:rPr>
      </w:pPr>
      <w:r w:rsidRPr="00083184">
        <w:rPr>
          <w:rFonts w:ascii="Arial" w:hAnsi="Arial" w:cs="Arial"/>
          <w:b/>
          <w:color w:val="000000" w:themeColor="text1"/>
          <w:sz w:val="24"/>
          <w:szCs w:val="24"/>
        </w:rPr>
        <w:t>Co-Lead Manager:</w:t>
      </w:r>
      <w:r w:rsidRPr="00083184">
        <w:rPr>
          <w:rFonts w:ascii="Arial" w:hAnsi="Arial" w:cs="Arial"/>
          <w:color w:val="000000" w:themeColor="text1"/>
          <w:sz w:val="24"/>
          <w:szCs w:val="24"/>
        </w:rPr>
        <w:t xml:space="preserve"> Di Yang</w:t>
      </w:r>
    </w:p>
    <w:p w14:paraId="05FC960B" w14:textId="77777777" w:rsidR="00287267" w:rsidRPr="00083184" w:rsidRDefault="00287267" w:rsidP="008E7375">
      <w:pPr>
        <w:outlineLvl w:val="0"/>
        <w:rPr>
          <w:rFonts w:ascii="Arial" w:hAnsi="Arial" w:cs="Arial"/>
          <w:color w:val="000000" w:themeColor="text1"/>
          <w:sz w:val="24"/>
          <w:szCs w:val="24"/>
        </w:rPr>
      </w:pPr>
      <w:r w:rsidRPr="00083184">
        <w:rPr>
          <w:rFonts w:ascii="Arial" w:hAnsi="Arial" w:cs="Arial"/>
          <w:b/>
          <w:color w:val="000000" w:themeColor="text1"/>
          <w:sz w:val="24"/>
          <w:szCs w:val="24"/>
        </w:rPr>
        <w:t>Communications Manager:</w:t>
      </w:r>
      <w:r w:rsidRPr="00083184">
        <w:rPr>
          <w:rFonts w:ascii="Arial" w:hAnsi="Arial" w:cs="Arial"/>
          <w:color w:val="000000" w:themeColor="text1"/>
          <w:sz w:val="24"/>
          <w:szCs w:val="24"/>
        </w:rPr>
        <w:t xml:space="preserve"> Sijie Hu</w:t>
      </w:r>
    </w:p>
    <w:p w14:paraId="4614D201" w14:textId="77777777" w:rsidR="00287267" w:rsidRPr="00083184" w:rsidRDefault="00287267" w:rsidP="008E7375">
      <w:pPr>
        <w:outlineLvl w:val="0"/>
        <w:rPr>
          <w:rFonts w:ascii="Arial" w:hAnsi="Arial" w:cs="Arial"/>
          <w:color w:val="000000" w:themeColor="text1"/>
          <w:sz w:val="24"/>
          <w:szCs w:val="24"/>
        </w:rPr>
      </w:pPr>
      <w:r w:rsidRPr="00083184">
        <w:rPr>
          <w:rFonts w:ascii="Arial" w:hAnsi="Arial" w:cs="Arial"/>
          <w:b/>
          <w:color w:val="000000" w:themeColor="text1"/>
          <w:sz w:val="24"/>
          <w:szCs w:val="24"/>
        </w:rPr>
        <w:t xml:space="preserve">Digital Media Manager: </w:t>
      </w:r>
      <w:r w:rsidRPr="00083184">
        <w:rPr>
          <w:rFonts w:ascii="Arial" w:hAnsi="Arial" w:cs="Arial"/>
          <w:color w:val="000000" w:themeColor="text1"/>
          <w:sz w:val="24"/>
          <w:szCs w:val="24"/>
        </w:rPr>
        <w:t>Lindsey Lozyniak</w:t>
      </w:r>
    </w:p>
    <w:p w14:paraId="27C93812" w14:textId="77777777" w:rsidR="00287267" w:rsidRPr="00083184" w:rsidRDefault="00287267" w:rsidP="00287267">
      <w:pPr>
        <w:jc w:val="center"/>
        <w:rPr>
          <w:rFonts w:ascii="Arial" w:hAnsi="Arial" w:cs="Arial"/>
          <w:b/>
          <w:color w:val="000000" w:themeColor="text1"/>
          <w:sz w:val="24"/>
          <w:szCs w:val="24"/>
        </w:rPr>
      </w:pPr>
    </w:p>
    <w:p w14:paraId="6D78DDDB" w14:textId="77777777" w:rsidR="00E62DD2" w:rsidRPr="00083184" w:rsidRDefault="00E30C54" w:rsidP="008E7375">
      <w:pPr>
        <w:pStyle w:val="Title"/>
        <w:contextualSpacing w:val="0"/>
        <w:jc w:val="center"/>
        <w:outlineLvl w:val="0"/>
        <w:rPr>
          <w:rFonts w:ascii="Arial" w:eastAsia="Arial" w:hAnsi="Arial" w:cs="Arial"/>
          <w:b/>
          <w:color w:val="000000" w:themeColor="text1"/>
          <w:sz w:val="28"/>
          <w:szCs w:val="28"/>
        </w:rPr>
      </w:pPr>
      <w:r w:rsidRPr="00083184">
        <w:rPr>
          <w:rFonts w:ascii="Arial" w:eastAsia="Arial" w:hAnsi="Arial" w:cs="Arial"/>
          <w:b/>
          <w:color w:val="000000" w:themeColor="text1"/>
          <w:sz w:val="28"/>
          <w:szCs w:val="28"/>
        </w:rPr>
        <w:t>PORTFOLIO OVERVIEW</w:t>
      </w:r>
    </w:p>
    <w:p w14:paraId="50E41A29" w14:textId="77777777" w:rsidR="00E62DD2" w:rsidRPr="00083184" w:rsidRDefault="00E62DD2">
      <w:pPr>
        <w:rPr>
          <w:rFonts w:ascii="Arial" w:hAnsi="Arial" w:cs="Arial"/>
          <w:b/>
          <w:color w:val="000000" w:themeColor="text1"/>
          <w:sz w:val="24"/>
          <w:szCs w:val="24"/>
          <w:u w:val="single"/>
          <w:lang w:eastAsia="zh-CN"/>
        </w:rPr>
      </w:pPr>
    </w:p>
    <w:p w14:paraId="59CC7D9F" w14:textId="77777777" w:rsidR="00E62DD2" w:rsidRPr="00083184" w:rsidRDefault="00E30C54" w:rsidP="008E7375">
      <w:pPr>
        <w:outlineLvl w:val="0"/>
        <w:rPr>
          <w:rFonts w:ascii="Arial" w:eastAsia="Arial" w:hAnsi="Arial" w:cs="Arial"/>
          <w:b/>
          <w:color w:val="000000" w:themeColor="text1"/>
          <w:sz w:val="24"/>
          <w:szCs w:val="24"/>
          <w:u w:val="single"/>
        </w:rPr>
      </w:pPr>
      <w:r w:rsidRPr="00083184">
        <w:rPr>
          <w:rFonts w:ascii="Arial" w:eastAsia="Arial" w:hAnsi="Arial" w:cs="Arial"/>
          <w:b/>
          <w:color w:val="000000" w:themeColor="text1"/>
          <w:sz w:val="24"/>
          <w:szCs w:val="24"/>
          <w:u w:val="single"/>
        </w:rPr>
        <w:t>Investment Philosophy</w:t>
      </w:r>
    </w:p>
    <w:p w14:paraId="14FC17BA" w14:textId="78A9F1BD" w:rsidR="00E62DD2" w:rsidRPr="00083184" w:rsidRDefault="2561298F" w:rsidP="2561298F">
      <w:pPr>
        <w:pBdr>
          <w:top w:val="nil"/>
          <w:left w:val="nil"/>
          <w:bottom w:val="nil"/>
          <w:right w:val="nil"/>
          <w:between w:val="nil"/>
        </w:pBdr>
        <w:spacing w:after="0" w:line="240" w:lineRule="auto"/>
        <w:jc w:val="both"/>
        <w:rPr>
          <w:rFonts w:ascii="Arial" w:eastAsia="Arial" w:hAnsi="Arial" w:cs="Arial"/>
          <w:color w:val="000000" w:themeColor="text1"/>
          <w:sz w:val="24"/>
          <w:szCs w:val="24"/>
        </w:rPr>
      </w:pPr>
      <w:r w:rsidRPr="00083184">
        <w:rPr>
          <w:rFonts w:ascii="Arial" w:eastAsia="Arial" w:hAnsi="Arial" w:cs="Arial"/>
          <w:color w:val="000000" w:themeColor="text1"/>
          <w:sz w:val="24"/>
          <w:szCs w:val="24"/>
          <w:highlight w:val="white"/>
        </w:rPr>
        <w:t xml:space="preserve">The UConn Student Managed Fund follows the investment philosophies of Benjamin Graham, David Dodd, and Warren Buffet. While investing, the team keeps in mind the words of Warren Buffett, </w:t>
      </w:r>
      <w:r w:rsidRPr="00083184">
        <w:rPr>
          <w:rFonts w:ascii="Arial" w:eastAsia="Arial" w:hAnsi="Arial" w:cs="Arial"/>
          <w:i/>
          <w:iCs/>
          <w:color w:val="000000" w:themeColor="text1"/>
          <w:sz w:val="24"/>
          <w:szCs w:val="24"/>
          <w:highlight w:val="white"/>
        </w:rPr>
        <w:t>“</w:t>
      </w:r>
      <w:r w:rsidRPr="00083184">
        <w:rPr>
          <w:rFonts w:ascii="Arial" w:eastAsia="Arial" w:hAnsi="Arial" w:cs="Arial"/>
          <w:iCs/>
          <w:color w:val="000000" w:themeColor="text1"/>
          <w:sz w:val="24"/>
          <w:szCs w:val="24"/>
          <w:highlight w:val="white"/>
        </w:rPr>
        <w:t>It's far better to buy a wonderful company at a fair price than a fair company at a wonderful price.</w:t>
      </w:r>
      <w:r w:rsidRPr="00083184">
        <w:rPr>
          <w:rFonts w:ascii="Arial" w:eastAsia="Arial" w:hAnsi="Arial" w:cs="Arial"/>
          <w:i/>
          <w:iCs/>
          <w:color w:val="000000" w:themeColor="text1"/>
          <w:sz w:val="24"/>
          <w:szCs w:val="24"/>
          <w:highlight w:val="white"/>
        </w:rPr>
        <w:t>”</w:t>
      </w:r>
      <w:r w:rsidRPr="00083184">
        <w:rPr>
          <w:rFonts w:ascii="Arial" w:eastAsia="Arial" w:hAnsi="Arial" w:cs="Arial"/>
          <w:color w:val="000000" w:themeColor="text1"/>
          <w:sz w:val="24"/>
          <w:szCs w:val="24"/>
          <w:highlight w:val="white"/>
        </w:rPr>
        <w:t xml:space="preserve"> Investment philosophies established by these experts have formed a strong foundation for how we evaluate investment opportunities. Positions are added to our portfolio after conducting both qualitative and quantitative research to identify stocks that have a high margin of safety, wide economic moat and an excellent business model. Our qualitative research focuses on understanding the business’ quality, potential catalysts for long-term growth, position within the competitive landscape, and risks that could impact the business in the future. Our quantitative research aims to find the intrinsic value of a business by understanding the firm’s market performance, macroeconomic environment, financial condition, and performance when compared to peers. When making investment decisions, the primary focus is on the qualitative factors that will drive long-term value creation for the business</w:t>
      </w:r>
      <w:r w:rsidRPr="00083184">
        <w:rPr>
          <w:rFonts w:ascii="Arial" w:eastAsia="Arial" w:hAnsi="Arial" w:cs="Arial"/>
          <w:b/>
          <w:bCs/>
          <w:color w:val="000000" w:themeColor="text1"/>
          <w:sz w:val="24"/>
          <w:szCs w:val="24"/>
          <w:highlight w:val="white"/>
        </w:rPr>
        <w:t xml:space="preserve">. </w:t>
      </w:r>
    </w:p>
    <w:p w14:paraId="262701AE" w14:textId="77777777" w:rsidR="00E62DD2" w:rsidRPr="00083184" w:rsidRDefault="00E62DD2">
      <w:pPr>
        <w:rPr>
          <w:rFonts w:ascii="Arial" w:eastAsia="Arial" w:hAnsi="Arial" w:cs="Arial"/>
          <w:b/>
          <w:color w:val="000000" w:themeColor="text1"/>
          <w:sz w:val="24"/>
          <w:szCs w:val="24"/>
          <w:u w:val="single"/>
        </w:rPr>
      </w:pPr>
    </w:p>
    <w:p w14:paraId="41783226" w14:textId="77777777" w:rsidR="00DE0517" w:rsidRPr="00083184" w:rsidRDefault="00DE0517" w:rsidP="008E7375">
      <w:pPr>
        <w:pStyle w:val="NormalWeb"/>
        <w:spacing w:before="0" w:beforeAutospacing="0" w:after="160" w:afterAutospacing="0"/>
        <w:outlineLvl w:val="0"/>
        <w:rPr>
          <w:rFonts w:ascii="Arial" w:hAnsi="Arial" w:cs="Arial"/>
          <w:color w:val="000000" w:themeColor="text1"/>
        </w:rPr>
      </w:pPr>
      <w:r w:rsidRPr="00083184">
        <w:rPr>
          <w:rFonts w:ascii="Arial" w:hAnsi="Arial" w:cs="Arial"/>
          <w:b/>
          <w:bCs/>
          <w:color w:val="000000" w:themeColor="text1"/>
          <w:u w:val="single"/>
        </w:rPr>
        <w:t>Investment Strategy</w:t>
      </w:r>
    </w:p>
    <w:p w14:paraId="3B28AFA6" w14:textId="5D58E67B" w:rsidR="00DE0517" w:rsidRPr="00083184" w:rsidRDefault="00DE0517" w:rsidP="2561298F">
      <w:pPr>
        <w:pStyle w:val="NormalWeb"/>
        <w:spacing w:before="0" w:beforeAutospacing="0" w:after="0" w:afterAutospacing="0"/>
        <w:jc w:val="both"/>
        <w:rPr>
          <w:rFonts w:ascii="Arial" w:hAnsi="Arial" w:cs="Arial"/>
          <w:color w:val="000000" w:themeColor="text1"/>
        </w:rPr>
      </w:pPr>
      <w:r w:rsidRPr="00083184">
        <w:rPr>
          <w:rFonts w:ascii="Arial" w:hAnsi="Arial" w:cs="Arial"/>
          <w:color w:val="000000" w:themeColor="text1"/>
        </w:rPr>
        <w:t xml:space="preserve">Our investment strategy aims to take advantage of the long-term time horizon mandated by the prospectus. As such, we consider a 10-year time horizon for all investments. </w:t>
      </w:r>
      <w:r w:rsidR="000277BF" w:rsidRPr="00083184">
        <w:rPr>
          <w:rFonts w:ascii="Arial" w:hAnsi="Arial" w:cs="Arial"/>
          <w:color w:val="000000" w:themeColor="text1"/>
          <w:shd w:val="clear" w:color="auto" w:fill="FFFFFF"/>
        </w:rPr>
        <w:t xml:space="preserve">We choose to invest in </w:t>
      </w:r>
      <w:r w:rsidR="005B4231" w:rsidRPr="00083184">
        <w:rPr>
          <w:rFonts w:ascii="Arial" w:hAnsi="Arial" w:cs="Arial"/>
          <w:color w:val="000000" w:themeColor="text1"/>
          <w:shd w:val="clear" w:color="auto" w:fill="FFFFFF"/>
        </w:rPr>
        <w:t>great businesses</w:t>
      </w:r>
      <w:r w:rsidR="000277BF" w:rsidRPr="00083184">
        <w:rPr>
          <w:rFonts w:ascii="Arial" w:hAnsi="Arial" w:cs="Arial"/>
          <w:color w:val="000000" w:themeColor="text1"/>
          <w:shd w:val="clear" w:color="auto" w:fill="FFFFFF"/>
        </w:rPr>
        <w:t xml:space="preserve"> with </w:t>
      </w:r>
      <w:r w:rsidR="005B4231" w:rsidRPr="00083184">
        <w:rPr>
          <w:rFonts w:ascii="Arial" w:hAnsi="Arial" w:cs="Arial"/>
          <w:color w:val="000000" w:themeColor="text1"/>
          <w:shd w:val="clear" w:color="auto" w:fill="FFFFFF"/>
        </w:rPr>
        <w:t>wide economic moats and outstanding financials</w:t>
      </w:r>
      <w:r w:rsidR="000277BF" w:rsidRPr="00083184">
        <w:rPr>
          <w:rFonts w:ascii="Arial" w:eastAsiaTheme="minorEastAsia" w:hAnsi="Arial" w:cs="Arial"/>
          <w:color w:val="000000" w:themeColor="text1"/>
          <w:shd w:val="clear" w:color="auto" w:fill="FFFFFF"/>
        </w:rPr>
        <w:t>.</w:t>
      </w:r>
      <w:r w:rsidRPr="00083184">
        <w:rPr>
          <w:rFonts w:ascii="Arial" w:hAnsi="Arial" w:cs="Arial"/>
          <w:color w:val="000000" w:themeColor="text1"/>
        </w:rPr>
        <w:t xml:space="preserve"> Amongst other factors, a business is deemed ideal to invest in when it has</w:t>
      </w:r>
      <w:r w:rsidR="006116FE" w:rsidRPr="00083184">
        <w:rPr>
          <w:rFonts w:ascii="Arial" w:hAnsi="Arial" w:cs="Arial"/>
          <w:color w:val="000000" w:themeColor="text1"/>
        </w:rPr>
        <w:t xml:space="preserve"> </w:t>
      </w:r>
      <w:r w:rsidR="00AE617F" w:rsidRPr="00083184">
        <w:rPr>
          <w:rFonts w:ascii="Arial" w:hAnsi="Arial" w:cs="Arial"/>
          <w:color w:val="000000" w:themeColor="text1"/>
        </w:rPr>
        <w:t>healthy</w:t>
      </w:r>
      <w:r w:rsidRPr="00083184">
        <w:rPr>
          <w:rFonts w:ascii="Arial" w:hAnsi="Arial" w:cs="Arial"/>
          <w:color w:val="000000" w:themeColor="text1"/>
        </w:rPr>
        <w:t xml:space="preserve"> financial conditions, strong leadership, strong </w:t>
      </w:r>
      <w:r w:rsidR="00EF4C79">
        <w:rPr>
          <w:rFonts w:ascii="Arial" w:hAnsi="Arial" w:cs="Arial"/>
          <w:color w:val="000000" w:themeColor="text1"/>
        </w:rPr>
        <w:t>potential</w:t>
      </w:r>
      <w:r w:rsidRPr="00083184">
        <w:rPr>
          <w:rFonts w:ascii="Arial" w:hAnsi="Arial" w:cs="Arial"/>
          <w:color w:val="000000" w:themeColor="text1"/>
        </w:rPr>
        <w:t xml:space="preserve"> for growth, and a competitive advantage </w:t>
      </w:r>
      <w:r w:rsidR="00EF4C79">
        <w:rPr>
          <w:rFonts w:ascii="Arial" w:hAnsi="Arial" w:cs="Arial"/>
          <w:color w:val="000000" w:themeColor="text1"/>
        </w:rPr>
        <w:t>compared to</w:t>
      </w:r>
      <w:r w:rsidRPr="00083184">
        <w:rPr>
          <w:rFonts w:ascii="Arial" w:hAnsi="Arial" w:cs="Arial"/>
          <w:color w:val="000000" w:themeColor="text1"/>
        </w:rPr>
        <w:t xml:space="preserve"> </w:t>
      </w:r>
      <w:r w:rsidR="00EF4C79">
        <w:rPr>
          <w:rFonts w:ascii="Arial" w:hAnsi="Arial" w:cs="Arial"/>
          <w:color w:val="000000" w:themeColor="text1"/>
        </w:rPr>
        <w:t xml:space="preserve">its </w:t>
      </w:r>
      <w:r w:rsidRPr="00083184">
        <w:rPr>
          <w:rFonts w:ascii="Arial" w:hAnsi="Arial" w:cs="Arial"/>
          <w:color w:val="000000" w:themeColor="text1"/>
        </w:rPr>
        <w:t>peers. We invest in a variety of industries in order to construct a diversified portfolio and lower the portfolio’s risk.</w:t>
      </w:r>
    </w:p>
    <w:p w14:paraId="22E756F6" w14:textId="77777777" w:rsidR="001751C8" w:rsidRPr="00083184" w:rsidRDefault="001751C8" w:rsidP="00DE0517">
      <w:pPr>
        <w:pStyle w:val="NormalWeb"/>
        <w:spacing w:before="0" w:beforeAutospacing="0" w:after="0" w:afterAutospacing="0"/>
        <w:jc w:val="both"/>
        <w:rPr>
          <w:rFonts w:ascii="Arial" w:hAnsi="Arial" w:cs="Arial"/>
          <w:color w:val="000000" w:themeColor="text1"/>
        </w:rPr>
      </w:pPr>
    </w:p>
    <w:p w14:paraId="1FFFE52D" w14:textId="77777777" w:rsidR="00DE0517" w:rsidRPr="00083184" w:rsidRDefault="00DE0517" w:rsidP="00DE0517">
      <w:pPr>
        <w:pStyle w:val="NormalWeb"/>
        <w:spacing w:before="0" w:beforeAutospacing="0" w:after="0" w:afterAutospacing="0"/>
        <w:jc w:val="both"/>
        <w:rPr>
          <w:rFonts w:ascii="Arial" w:hAnsi="Arial" w:cs="Arial"/>
          <w:color w:val="000000" w:themeColor="text1"/>
        </w:rPr>
      </w:pPr>
      <w:r w:rsidRPr="00083184">
        <w:rPr>
          <w:rFonts w:ascii="Arial" w:hAnsi="Arial" w:cs="Arial"/>
          <w:color w:val="000000" w:themeColor="text1"/>
        </w:rPr>
        <w:t>We consider the following factors when evaluating investment opportunities:</w:t>
      </w:r>
    </w:p>
    <w:p w14:paraId="37079F9A" w14:textId="77777777" w:rsidR="00DE0517" w:rsidRPr="00083184" w:rsidRDefault="00DE0517" w:rsidP="00DE0517">
      <w:pPr>
        <w:rPr>
          <w:rFonts w:ascii="Arial" w:eastAsia="SimSun" w:hAnsi="Arial" w:cs="Arial"/>
          <w:color w:val="000000" w:themeColor="text1"/>
          <w:sz w:val="24"/>
          <w:szCs w:val="24"/>
        </w:rPr>
      </w:pPr>
    </w:p>
    <w:p w14:paraId="3A82AFE3" w14:textId="77777777" w:rsidR="00966EE9" w:rsidRPr="00083184" w:rsidRDefault="00966EE9" w:rsidP="00DE0517">
      <w:pPr>
        <w:rPr>
          <w:rFonts w:ascii="Arial" w:eastAsia="SimSun" w:hAnsi="Arial" w:cs="Arial"/>
          <w:color w:val="000000" w:themeColor="text1"/>
          <w:sz w:val="24"/>
          <w:szCs w:val="24"/>
        </w:rPr>
      </w:pPr>
    </w:p>
    <w:tbl>
      <w:tblPr>
        <w:tblW w:w="9347" w:type="dxa"/>
        <w:tblCellMar>
          <w:top w:w="15" w:type="dxa"/>
          <w:left w:w="15" w:type="dxa"/>
          <w:bottom w:w="15" w:type="dxa"/>
          <w:right w:w="15" w:type="dxa"/>
        </w:tblCellMar>
        <w:tblLook w:val="04A0" w:firstRow="1" w:lastRow="0" w:firstColumn="1" w:lastColumn="0" w:noHBand="0" w:noVBand="1"/>
      </w:tblPr>
      <w:tblGrid>
        <w:gridCol w:w="4099"/>
        <w:gridCol w:w="5248"/>
      </w:tblGrid>
      <w:tr w:rsidR="00083184" w:rsidRPr="00083184" w14:paraId="0EEEF519" w14:textId="77777777" w:rsidTr="001511CF">
        <w:trPr>
          <w:trHeight w:val="35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2623E" w14:textId="77777777" w:rsidR="00DE0517" w:rsidRPr="00083184" w:rsidRDefault="00DE0517" w:rsidP="007B60F7">
            <w:pPr>
              <w:ind w:left="140" w:right="140"/>
              <w:jc w:val="center"/>
              <w:rPr>
                <w:rFonts w:ascii="Arial" w:eastAsia="SimSun" w:hAnsi="Arial" w:cs="Arial"/>
                <w:color w:val="000000" w:themeColor="text1"/>
                <w:sz w:val="24"/>
                <w:szCs w:val="24"/>
              </w:rPr>
            </w:pPr>
            <w:r w:rsidRPr="00083184">
              <w:rPr>
                <w:rFonts w:ascii="Arial" w:eastAsia="SimSun" w:hAnsi="Arial" w:cs="Arial"/>
                <w:b/>
                <w:bCs/>
                <w:color w:val="000000" w:themeColor="text1"/>
                <w:sz w:val="24"/>
                <w:szCs w:val="24"/>
              </w:rPr>
              <w:t>Quantitative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FC900" w14:textId="77777777" w:rsidR="00DE0517" w:rsidRPr="00083184" w:rsidRDefault="00DE0517" w:rsidP="007B60F7">
            <w:pPr>
              <w:ind w:left="140" w:right="140"/>
              <w:jc w:val="center"/>
              <w:rPr>
                <w:rFonts w:ascii="Arial" w:eastAsia="SimSun" w:hAnsi="Arial" w:cs="Arial"/>
                <w:color w:val="000000" w:themeColor="text1"/>
                <w:sz w:val="24"/>
                <w:szCs w:val="24"/>
              </w:rPr>
            </w:pPr>
            <w:r w:rsidRPr="00083184">
              <w:rPr>
                <w:rFonts w:ascii="Arial" w:eastAsia="SimSun" w:hAnsi="Arial" w:cs="Arial"/>
                <w:b/>
                <w:bCs/>
                <w:color w:val="000000" w:themeColor="text1"/>
                <w:sz w:val="24"/>
                <w:szCs w:val="24"/>
              </w:rPr>
              <w:t>Qualitative</w:t>
            </w:r>
          </w:p>
        </w:tc>
      </w:tr>
      <w:tr w:rsidR="001143B3" w:rsidRPr="00083184" w14:paraId="3F166BC4" w14:textId="77777777" w:rsidTr="001511CF">
        <w:trPr>
          <w:trHeight w:val="34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D695F" w14:textId="77777777" w:rsidR="007F26AD" w:rsidRPr="00083184" w:rsidRDefault="007F26AD" w:rsidP="007F26AD">
            <w:pPr>
              <w:spacing w:after="0" w:line="240" w:lineRule="auto"/>
              <w:ind w:left="720" w:right="140"/>
              <w:textAlignment w:val="baseline"/>
              <w:rPr>
                <w:rFonts w:ascii="Arial" w:eastAsia="SimSun" w:hAnsi="Arial" w:cs="Arial"/>
                <w:color w:val="000000" w:themeColor="text1"/>
                <w:sz w:val="24"/>
                <w:szCs w:val="24"/>
              </w:rPr>
            </w:pPr>
          </w:p>
          <w:p w14:paraId="4F001835" w14:textId="77777777" w:rsidR="00DE0517" w:rsidRPr="00083184" w:rsidRDefault="00DE0517" w:rsidP="00DE0517">
            <w:pPr>
              <w:numPr>
                <w:ilvl w:val="0"/>
                <w:numId w:val="4"/>
              </w:numPr>
              <w:spacing w:after="0" w:line="240" w:lineRule="auto"/>
              <w:ind w:right="140"/>
              <w:textAlignment w:val="baseline"/>
              <w:rPr>
                <w:rFonts w:ascii="Arial" w:eastAsia="SimSun" w:hAnsi="Arial" w:cs="Arial"/>
                <w:color w:val="000000" w:themeColor="text1"/>
                <w:sz w:val="24"/>
                <w:szCs w:val="24"/>
              </w:rPr>
            </w:pPr>
            <w:r w:rsidRPr="00083184">
              <w:rPr>
                <w:rFonts w:ascii="Arial" w:eastAsia="SimSun" w:hAnsi="Arial" w:cs="Arial"/>
                <w:color w:val="000000" w:themeColor="text1"/>
                <w:sz w:val="24"/>
                <w:szCs w:val="24"/>
              </w:rPr>
              <w:t>Dividend yield</w:t>
            </w:r>
          </w:p>
          <w:p w14:paraId="51AD9A06" w14:textId="77777777" w:rsidR="00DE0517" w:rsidRPr="00083184" w:rsidRDefault="00DE0517" w:rsidP="00DE0517">
            <w:pPr>
              <w:numPr>
                <w:ilvl w:val="0"/>
                <w:numId w:val="4"/>
              </w:numPr>
              <w:spacing w:after="0" w:line="240" w:lineRule="auto"/>
              <w:ind w:right="140"/>
              <w:textAlignment w:val="baseline"/>
              <w:rPr>
                <w:rFonts w:ascii="Arial" w:eastAsia="SimSun" w:hAnsi="Arial" w:cs="Arial"/>
                <w:color w:val="000000" w:themeColor="text1"/>
                <w:sz w:val="24"/>
                <w:szCs w:val="24"/>
              </w:rPr>
            </w:pPr>
            <w:r w:rsidRPr="00083184">
              <w:rPr>
                <w:rFonts w:ascii="Arial" w:eastAsia="SimSun" w:hAnsi="Arial" w:cs="Arial"/>
                <w:color w:val="000000" w:themeColor="text1"/>
                <w:sz w:val="24"/>
                <w:szCs w:val="24"/>
              </w:rPr>
              <w:t>EPS growth rate</w:t>
            </w:r>
          </w:p>
          <w:p w14:paraId="0BFAA835" w14:textId="77777777" w:rsidR="00DE0517" w:rsidRPr="00083184" w:rsidRDefault="00DE0517" w:rsidP="00DE0517">
            <w:pPr>
              <w:numPr>
                <w:ilvl w:val="0"/>
                <w:numId w:val="4"/>
              </w:numPr>
              <w:spacing w:after="0" w:line="240" w:lineRule="auto"/>
              <w:ind w:right="140"/>
              <w:textAlignment w:val="baseline"/>
              <w:rPr>
                <w:rFonts w:ascii="Arial" w:eastAsia="SimSun" w:hAnsi="Arial" w:cs="Arial"/>
                <w:color w:val="000000" w:themeColor="text1"/>
                <w:sz w:val="24"/>
                <w:szCs w:val="24"/>
              </w:rPr>
            </w:pPr>
            <w:r w:rsidRPr="00083184">
              <w:rPr>
                <w:rFonts w:ascii="Arial" w:eastAsia="SimSun" w:hAnsi="Arial" w:cs="Arial"/>
                <w:color w:val="000000" w:themeColor="text1"/>
                <w:sz w:val="24"/>
                <w:szCs w:val="24"/>
              </w:rPr>
              <w:t>Return on Invest</w:t>
            </w:r>
            <w:r w:rsidR="007F26AD" w:rsidRPr="00083184">
              <w:rPr>
                <w:rFonts w:ascii="Arial" w:eastAsia="SimSun" w:hAnsi="Arial" w:cs="Arial"/>
                <w:color w:val="000000" w:themeColor="text1"/>
                <w:sz w:val="24"/>
                <w:szCs w:val="24"/>
              </w:rPr>
              <w:t>ed</w:t>
            </w:r>
            <w:r w:rsidRPr="00083184">
              <w:rPr>
                <w:rFonts w:ascii="Arial" w:eastAsia="SimSun" w:hAnsi="Arial" w:cs="Arial"/>
                <w:color w:val="000000" w:themeColor="text1"/>
                <w:sz w:val="24"/>
                <w:szCs w:val="24"/>
              </w:rPr>
              <w:t xml:space="preserve"> Capital</w:t>
            </w:r>
          </w:p>
          <w:p w14:paraId="2A13AC6E" w14:textId="77777777" w:rsidR="00DE0517" w:rsidRPr="00083184" w:rsidRDefault="00DE0517" w:rsidP="00DE0517">
            <w:pPr>
              <w:numPr>
                <w:ilvl w:val="0"/>
                <w:numId w:val="4"/>
              </w:numPr>
              <w:spacing w:after="0" w:line="240" w:lineRule="auto"/>
              <w:ind w:right="140"/>
              <w:textAlignment w:val="baseline"/>
              <w:rPr>
                <w:rFonts w:ascii="Arial" w:eastAsia="SimSun" w:hAnsi="Arial" w:cs="Arial"/>
                <w:color w:val="000000" w:themeColor="text1"/>
                <w:sz w:val="24"/>
                <w:szCs w:val="24"/>
              </w:rPr>
            </w:pPr>
            <w:r w:rsidRPr="00083184">
              <w:rPr>
                <w:rFonts w:ascii="Arial" w:eastAsia="SimSun" w:hAnsi="Arial" w:cs="Arial"/>
                <w:color w:val="000000" w:themeColor="text1"/>
                <w:sz w:val="24"/>
                <w:szCs w:val="24"/>
              </w:rPr>
              <w:t>Enterprise Value to EBITDA</w:t>
            </w:r>
          </w:p>
          <w:p w14:paraId="4FCAD41F" w14:textId="77777777" w:rsidR="00DE0517" w:rsidRPr="00083184" w:rsidRDefault="00DE0517" w:rsidP="00DE0517">
            <w:pPr>
              <w:numPr>
                <w:ilvl w:val="0"/>
                <w:numId w:val="4"/>
              </w:numPr>
              <w:spacing w:after="0" w:line="240" w:lineRule="auto"/>
              <w:ind w:right="140"/>
              <w:textAlignment w:val="baseline"/>
              <w:rPr>
                <w:rFonts w:ascii="Arial" w:eastAsia="SimSun" w:hAnsi="Arial" w:cs="Arial"/>
                <w:color w:val="000000" w:themeColor="text1"/>
                <w:sz w:val="24"/>
                <w:szCs w:val="24"/>
              </w:rPr>
            </w:pPr>
            <w:r w:rsidRPr="00083184">
              <w:rPr>
                <w:rFonts w:ascii="Arial" w:eastAsia="SimSun" w:hAnsi="Arial" w:cs="Arial"/>
                <w:color w:val="000000" w:themeColor="text1"/>
                <w:sz w:val="24"/>
                <w:szCs w:val="24"/>
              </w:rPr>
              <w:t>Price to Earnings ratio</w:t>
            </w:r>
          </w:p>
          <w:p w14:paraId="33389323" w14:textId="77777777" w:rsidR="00DE0517" w:rsidRPr="00083184" w:rsidRDefault="00DE0517" w:rsidP="00DE0517">
            <w:pPr>
              <w:numPr>
                <w:ilvl w:val="0"/>
                <w:numId w:val="4"/>
              </w:numPr>
              <w:spacing w:after="0" w:line="240" w:lineRule="auto"/>
              <w:ind w:right="140"/>
              <w:textAlignment w:val="baseline"/>
              <w:rPr>
                <w:rFonts w:ascii="Arial" w:eastAsia="SimSun" w:hAnsi="Arial" w:cs="Arial"/>
                <w:color w:val="000000" w:themeColor="text1"/>
                <w:sz w:val="24"/>
                <w:szCs w:val="24"/>
              </w:rPr>
            </w:pPr>
            <w:r w:rsidRPr="00083184">
              <w:rPr>
                <w:rFonts w:ascii="Arial" w:eastAsia="SimSun" w:hAnsi="Arial" w:cs="Arial"/>
                <w:color w:val="000000" w:themeColor="text1"/>
                <w:sz w:val="24"/>
                <w:szCs w:val="24"/>
              </w:rPr>
              <w:t>Debt to EBITDA</w:t>
            </w:r>
          </w:p>
          <w:p w14:paraId="1C717272" w14:textId="77777777" w:rsidR="00DE0517" w:rsidRPr="00083184" w:rsidRDefault="00DE0517" w:rsidP="00DE0517">
            <w:pPr>
              <w:numPr>
                <w:ilvl w:val="0"/>
                <w:numId w:val="4"/>
              </w:numPr>
              <w:spacing w:after="0" w:line="240" w:lineRule="auto"/>
              <w:ind w:right="140"/>
              <w:textAlignment w:val="baseline"/>
              <w:rPr>
                <w:rFonts w:ascii="Arial" w:eastAsia="SimSun" w:hAnsi="Arial" w:cs="Arial"/>
                <w:color w:val="000000" w:themeColor="text1"/>
                <w:sz w:val="24"/>
                <w:szCs w:val="24"/>
              </w:rPr>
            </w:pPr>
            <w:r w:rsidRPr="00083184">
              <w:rPr>
                <w:rFonts w:ascii="Arial" w:eastAsia="SimSun" w:hAnsi="Arial" w:cs="Arial"/>
                <w:color w:val="000000" w:themeColor="text1"/>
                <w:sz w:val="24"/>
                <w:szCs w:val="24"/>
              </w:rPr>
              <w:t>EBITDA to Interest Expense</w:t>
            </w:r>
          </w:p>
          <w:p w14:paraId="474032E4" w14:textId="77777777" w:rsidR="00DE0517" w:rsidRPr="00083184" w:rsidRDefault="00DE0517" w:rsidP="00DE0517">
            <w:pPr>
              <w:numPr>
                <w:ilvl w:val="0"/>
                <w:numId w:val="4"/>
              </w:numPr>
              <w:spacing w:after="0" w:line="240" w:lineRule="auto"/>
              <w:ind w:right="140"/>
              <w:textAlignment w:val="baseline"/>
              <w:rPr>
                <w:rFonts w:ascii="Arial" w:eastAsia="SimSun" w:hAnsi="Arial" w:cs="Arial"/>
                <w:color w:val="000000" w:themeColor="text1"/>
                <w:sz w:val="24"/>
                <w:szCs w:val="24"/>
              </w:rPr>
            </w:pPr>
            <w:r w:rsidRPr="00083184">
              <w:rPr>
                <w:rFonts w:ascii="Arial" w:eastAsia="SimSun" w:hAnsi="Arial" w:cs="Arial"/>
                <w:color w:val="000000" w:themeColor="text1"/>
                <w:sz w:val="24"/>
                <w:szCs w:val="24"/>
              </w:rPr>
              <w:t>Discount</w:t>
            </w:r>
            <w:r w:rsidR="007F26AD" w:rsidRPr="00083184">
              <w:rPr>
                <w:rFonts w:ascii="Arial" w:eastAsia="SimSun" w:hAnsi="Arial" w:cs="Arial"/>
                <w:color w:val="000000" w:themeColor="text1"/>
                <w:sz w:val="24"/>
                <w:szCs w:val="24"/>
              </w:rPr>
              <w:t>ed</w:t>
            </w:r>
            <w:r w:rsidRPr="00083184">
              <w:rPr>
                <w:rFonts w:ascii="Arial" w:eastAsia="SimSun" w:hAnsi="Arial" w:cs="Arial"/>
                <w:color w:val="000000" w:themeColor="text1"/>
                <w:sz w:val="24"/>
                <w:szCs w:val="24"/>
              </w:rPr>
              <w:t xml:space="preserve"> Free Cash Flow Model</w:t>
            </w:r>
          </w:p>
          <w:p w14:paraId="04ED2681" w14:textId="77777777" w:rsidR="00DE0517" w:rsidRPr="00083184" w:rsidRDefault="00DE0517" w:rsidP="00DE0517">
            <w:pPr>
              <w:numPr>
                <w:ilvl w:val="0"/>
                <w:numId w:val="4"/>
              </w:numPr>
              <w:spacing w:after="0" w:line="240" w:lineRule="auto"/>
              <w:ind w:right="140"/>
              <w:textAlignment w:val="baseline"/>
              <w:rPr>
                <w:rFonts w:ascii="Arial" w:eastAsia="SimSun" w:hAnsi="Arial" w:cs="Arial"/>
                <w:color w:val="000000" w:themeColor="text1"/>
                <w:sz w:val="24"/>
                <w:szCs w:val="24"/>
              </w:rPr>
            </w:pPr>
            <w:r w:rsidRPr="00083184">
              <w:rPr>
                <w:rFonts w:ascii="Arial" w:eastAsia="SimSun" w:hAnsi="Arial" w:cs="Arial"/>
                <w:color w:val="000000" w:themeColor="text1"/>
                <w:sz w:val="24"/>
                <w:szCs w:val="24"/>
              </w:rPr>
              <w:t>Margin of safety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AD5E4" w14:textId="77777777" w:rsidR="007F26AD" w:rsidRPr="00083184" w:rsidRDefault="007F26AD" w:rsidP="007F26AD">
            <w:pPr>
              <w:pStyle w:val="ListParagraph"/>
              <w:spacing w:line="240" w:lineRule="auto"/>
              <w:ind w:right="140"/>
              <w:rPr>
                <w:rFonts w:ascii="Arial" w:eastAsia="SimSun" w:hAnsi="Arial" w:cs="Arial"/>
                <w:color w:val="000000" w:themeColor="text1"/>
                <w:sz w:val="24"/>
                <w:szCs w:val="24"/>
              </w:rPr>
            </w:pPr>
          </w:p>
          <w:p w14:paraId="041C5A0F" w14:textId="77777777" w:rsidR="00DE0517" w:rsidRPr="00083184" w:rsidRDefault="00DE0517" w:rsidP="00DE0517">
            <w:pPr>
              <w:pStyle w:val="ListParagraph"/>
              <w:numPr>
                <w:ilvl w:val="0"/>
                <w:numId w:val="4"/>
              </w:numPr>
              <w:spacing w:line="240" w:lineRule="auto"/>
              <w:ind w:right="140"/>
              <w:rPr>
                <w:rFonts w:ascii="Arial" w:eastAsia="SimSun" w:hAnsi="Arial" w:cs="Arial"/>
                <w:color w:val="000000" w:themeColor="text1"/>
                <w:sz w:val="24"/>
                <w:szCs w:val="24"/>
              </w:rPr>
            </w:pPr>
            <w:r w:rsidRPr="00083184">
              <w:rPr>
                <w:rFonts w:ascii="Arial" w:eastAsia="SimSun" w:hAnsi="Arial" w:cs="Arial"/>
                <w:color w:val="000000" w:themeColor="text1"/>
                <w:sz w:val="24"/>
                <w:szCs w:val="24"/>
              </w:rPr>
              <w:t>Competitive Advantages</w:t>
            </w:r>
          </w:p>
          <w:p w14:paraId="4EB796D6" w14:textId="77777777" w:rsidR="00DE0517" w:rsidRPr="00083184" w:rsidRDefault="00DE0517" w:rsidP="00DE0517">
            <w:pPr>
              <w:pStyle w:val="ListParagraph"/>
              <w:numPr>
                <w:ilvl w:val="0"/>
                <w:numId w:val="4"/>
              </w:numPr>
              <w:spacing w:line="240" w:lineRule="auto"/>
              <w:ind w:right="140"/>
              <w:rPr>
                <w:rFonts w:ascii="Arial" w:eastAsia="SimSun" w:hAnsi="Arial" w:cs="Arial"/>
                <w:color w:val="000000" w:themeColor="text1"/>
                <w:sz w:val="24"/>
                <w:szCs w:val="24"/>
              </w:rPr>
            </w:pPr>
            <w:r w:rsidRPr="00083184">
              <w:rPr>
                <w:rFonts w:ascii="Arial" w:eastAsia="SimSun" w:hAnsi="Arial" w:cs="Arial"/>
                <w:color w:val="000000" w:themeColor="text1"/>
                <w:sz w:val="24"/>
                <w:szCs w:val="24"/>
              </w:rPr>
              <w:t>Management quality</w:t>
            </w:r>
          </w:p>
          <w:p w14:paraId="74228214" w14:textId="77777777" w:rsidR="00DE0517" w:rsidRPr="00083184" w:rsidRDefault="00DE0517" w:rsidP="00DE0517">
            <w:pPr>
              <w:pStyle w:val="ListParagraph"/>
              <w:numPr>
                <w:ilvl w:val="0"/>
                <w:numId w:val="4"/>
              </w:numPr>
              <w:spacing w:line="240" w:lineRule="auto"/>
              <w:ind w:right="140"/>
              <w:rPr>
                <w:rFonts w:ascii="Arial" w:eastAsia="SimSun" w:hAnsi="Arial" w:cs="Arial"/>
                <w:color w:val="000000" w:themeColor="text1"/>
                <w:sz w:val="24"/>
                <w:szCs w:val="24"/>
              </w:rPr>
            </w:pPr>
            <w:r w:rsidRPr="00083184">
              <w:rPr>
                <w:rFonts w:ascii="Arial" w:eastAsia="SimSun" w:hAnsi="Arial" w:cs="Arial"/>
                <w:color w:val="000000" w:themeColor="text1"/>
                <w:sz w:val="24"/>
                <w:szCs w:val="24"/>
              </w:rPr>
              <w:t>Environment, Social and Corporate Governance</w:t>
            </w:r>
          </w:p>
          <w:p w14:paraId="6AE54082" w14:textId="77777777" w:rsidR="00DE0517" w:rsidRPr="00083184" w:rsidRDefault="00DE0517" w:rsidP="00DE0517">
            <w:pPr>
              <w:pStyle w:val="ListParagraph"/>
              <w:numPr>
                <w:ilvl w:val="0"/>
                <w:numId w:val="4"/>
              </w:numPr>
              <w:spacing w:line="240" w:lineRule="auto"/>
              <w:ind w:right="140"/>
              <w:rPr>
                <w:rFonts w:ascii="Arial" w:eastAsia="SimSun" w:hAnsi="Arial" w:cs="Arial"/>
                <w:color w:val="000000" w:themeColor="text1"/>
                <w:sz w:val="24"/>
                <w:szCs w:val="24"/>
              </w:rPr>
            </w:pPr>
            <w:r w:rsidRPr="00083184">
              <w:rPr>
                <w:rFonts w:ascii="Arial" w:eastAsia="SimSun" w:hAnsi="Arial" w:cs="Arial"/>
                <w:color w:val="000000" w:themeColor="text1"/>
                <w:sz w:val="24"/>
                <w:szCs w:val="24"/>
              </w:rPr>
              <w:t>Merger and Acquisition considerations</w:t>
            </w:r>
          </w:p>
          <w:p w14:paraId="77E8B62E" w14:textId="77777777" w:rsidR="00DE0517" w:rsidRPr="00083184" w:rsidRDefault="00DE0517" w:rsidP="00DE0517">
            <w:pPr>
              <w:pStyle w:val="ListParagraph"/>
              <w:numPr>
                <w:ilvl w:val="0"/>
                <w:numId w:val="4"/>
              </w:numPr>
              <w:spacing w:line="240" w:lineRule="auto"/>
              <w:ind w:right="140"/>
              <w:rPr>
                <w:rFonts w:ascii="Arial" w:eastAsia="SimSun" w:hAnsi="Arial" w:cs="Arial"/>
                <w:color w:val="000000" w:themeColor="text1"/>
                <w:sz w:val="24"/>
                <w:szCs w:val="24"/>
              </w:rPr>
            </w:pPr>
            <w:r w:rsidRPr="00083184">
              <w:rPr>
                <w:rFonts w:ascii="Arial" w:eastAsia="SimSun" w:hAnsi="Arial" w:cs="Arial"/>
                <w:color w:val="000000" w:themeColor="text1"/>
                <w:sz w:val="24"/>
                <w:szCs w:val="24"/>
              </w:rPr>
              <w:t>Share Buyback considerations</w:t>
            </w:r>
          </w:p>
          <w:p w14:paraId="35A205C3" w14:textId="77777777" w:rsidR="00DE0517" w:rsidRPr="00083184" w:rsidRDefault="00DE0517" w:rsidP="00DE0517">
            <w:pPr>
              <w:pStyle w:val="ListParagraph"/>
              <w:numPr>
                <w:ilvl w:val="0"/>
                <w:numId w:val="4"/>
              </w:numPr>
              <w:spacing w:line="240" w:lineRule="auto"/>
              <w:ind w:right="140"/>
              <w:rPr>
                <w:rFonts w:ascii="Arial" w:eastAsia="SimSun" w:hAnsi="Arial" w:cs="Arial"/>
                <w:color w:val="000000" w:themeColor="text1"/>
                <w:sz w:val="24"/>
                <w:szCs w:val="24"/>
              </w:rPr>
            </w:pPr>
            <w:r w:rsidRPr="00083184">
              <w:rPr>
                <w:rFonts w:ascii="Arial" w:eastAsia="SimSun" w:hAnsi="Arial" w:cs="Arial"/>
                <w:color w:val="000000" w:themeColor="text1"/>
                <w:sz w:val="24"/>
                <w:szCs w:val="24"/>
              </w:rPr>
              <w:t>Risk</w:t>
            </w:r>
          </w:p>
          <w:p w14:paraId="23C3D7D8" w14:textId="77777777" w:rsidR="00DE0517" w:rsidRPr="00083184" w:rsidRDefault="00DE0517" w:rsidP="00DE0517">
            <w:pPr>
              <w:pStyle w:val="ListParagraph"/>
              <w:numPr>
                <w:ilvl w:val="0"/>
                <w:numId w:val="4"/>
              </w:numPr>
              <w:spacing w:line="240" w:lineRule="auto"/>
              <w:ind w:right="140"/>
              <w:rPr>
                <w:rFonts w:ascii="Arial" w:eastAsia="SimSun" w:hAnsi="Arial" w:cs="Arial"/>
                <w:color w:val="000000" w:themeColor="text1"/>
                <w:sz w:val="24"/>
                <w:szCs w:val="24"/>
              </w:rPr>
            </w:pPr>
            <w:r w:rsidRPr="00083184">
              <w:rPr>
                <w:rFonts w:ascii="Arial" w:eastAsia="SimSun" w:hAnsi="Arial" w:cs="Arial"/>
                <w:color w:val="000000" w:themeColor="text1"/>
                <w:sz w:val="24"/>
                <w:szCs w:val="24"/>
              </w:rPr>
              <w:t>Industry Outlook</w:t>
            </w:r>
          </w:p>
          <w:p w14:paraId="2B3C3051" w14:textId="77777777" w:rsidR="00DE0517" w:rsidRPr="00083184" w:rsidRDefault="00DE0517" w:rsidP="00DE0517">
            <w:pPr>
              <w:pStyle w:val="ListParagraph"/>
              <w:numPr>
                <w:ilvl w:val="0"/>
                <w:numId w:val="5"/>
              </w:numPr>
              <w:spacing w:line="240" w:lineRule="auto"/>
              <w:ind w:right="140"/>
              <w:rPr>
                <w:rFonts w:ascii="Arial" w:eastAsia="SimSun" w:hAnsi="Arial" w:cs="Arial"/>
                <w:color w:val="000000" w:themeColor="text1"/>
                <w:sz w:val="24"/>
                <w:szCs w:val="24"/>
              </w:rPr>
            </w:pPr>
            <w:r w:rsidRPr="00083184">
              <w:rPr>
                <w:rFonts w:ascii="Arial" w:eastAsia="SimSun" w:hAnsi="Arial" w:cs="Arial"/>
                <w:color w:val="000000" w:themeColor="text1"/>
                <w:sz w:val="24"/>
                <w:szCs w:val="24"/>
              </w:rPr>
              <w:t>Barriers to Entry</w:t>
            </w:r>
          </w:p>
        </w:tc>
      </w:tr>
    </w:tbl>
    <w:p w14:paraId="5A311DF6" w14:textId="77777777" w:rsidR="00E62DD2" w:rsidRPr="00083184" w:rsidRDefault="00E62DD2">
      <w:pPr>
        <w:rPr>
          <w:rFonts w:ascii="Arial" w:eastAsia="Arial" w:hAnsi="Arial" w:cs="Arial"/>
          <w:b/>
          <w:color w:val="000000" w:themeColor="text1"/>
          <w:sz w:val="24"/>
          <w:szCs w:val="24"/>
          <w:u w:val="single"/>
        </w:rPr>
      </w:pPr>
    </w:p>
    <w:p w14:paraId="29574574" w14:textId="77777777" w:rsidR="001511CF" w:rsidRPr="00083184" w:rsidRDefault="001511CF">
      <w:pPr>
        <w:rPr>
          <w:rFonts w:ascii="Arial" w:eastAsia="Arial" w:hAnsi="Arial" w:cs="Arial"/>
          <w:b/>
          <w:color w:val="000000" w:themeColor="text1"/>
          <w:sz w:val="24"/>
          <w:szCs w:val="24"/>
          <w:u w:val="single"/>
        </w:rPr>
      </w:pPr>
    </w:p>
    <w:p w14:paraId="141039E0" w14:textId="77777777" w:rsidR="00E62DD2" w:rsidRPr="00083184" w:rsidRDefault="00E30C54" w:rsidP="008E7375">
      <w:pPr>
        <w:outlineLvl w:val="0"/>
        <w:rPr>
          <w:rFonts w:ascii="Arial" w:eastAsia="Arial" w:hAnsi="Arial" w:cs="Arial"/>
          <w:b/>
          <w:color w:val="000000" w:themeColor="text1"/>
          <w:sz w:val="24"/>
          <w:szCs w:val="24"/>
          <w:u w:val="single"/>
        </w:rPr>
      </w:pPr>
      <w:r w:rsidRPr="00083184">
        <w:rPr>
          <w:rFonts w:ascii="Arial" w:eastAsia="Arial" w:hAnsi="Arial" w:cs="Arial"/>
          <w:b/>
          <w:color w:val="000000" w:themeColor="text1"/>
          <w:sz w:val="24"/>
          <w:szCs w:val="24"/>
          <w:u w:val="single"/>
        </w:rPr>
        <w:t>Risk Management</w:t>
      </w:r>
    </w:p>
    <w:p w14:paraId="4D890BD5" w14:textId="77777777" w:rsidR="00E62DD2" w:rsidRPr="00083184" w:rsidRDefault="00E30C54" w:rsidP="008E7375">
      <w:pPr>
        <w:spacing w:after="0" w:line="240" w:lineRule="auto"/>
        <w:jc w:val="both"/>
        <w:outlineLvl w:val="0"/>
        <w:rPr>
          <w:rFonts w:ascii="Arial" w:eastAsia="Arial" w:hAnsi="Arial" w:cs="Arial"/>
          <w:color w:val="000000" w:themeColor="text1"/>
          <w:sz w:val="24"/>
          <w:szCs w:val="24"/>
        </w:rPr>
      </w:pPr>
      <w:r w:rsidRPr="00083184">
        <w:rPr>
          <w:rFonts w:ascii="Arial" w:eastAsia="Arial" w:hAnsi="Arial" w:cs="Arial"/>
          <w:color w:val="000000" w:themeColor="text1"/>
          <w:sz w:val="24"/>
          <w:szCs w:val="24"/>
        </w:rPr>
        <w:t>“Risk comes from not knowing what you are doing” - Warren Buffett.</w:t>
      </w:r>
    </w:p>
    <w:p w14:paraId="1D97D2D5" w14:textId="77777777" w:rsidR="00E62DD2" w:rsidRPr="00083184" w:rsidRDefault="00E62DD2">
      <w:pPr>
        <w:spacing w:after="0" w:line="240" w:lineRule="auto"/>
        <w:jc w:val="both"/>
        <w:rPr>
          <w:rFonts w:ascii="Arial" w:eastAsia="Arial" w:hAnsi="Arial" w:cs="Arial"/>
          <w:color w:val="000000" w:themeColor="text1"/>
          <w:sz w:val="24"/>
          <w:szCs w:val="24"/>
        </w:rPr>
      </w:pPr>
    </w:p>
    <w:p w14:paraId="647FF0CC" w14:textId="101E2610" w:rsidR="00E62DD2" w:rsidRPr="00083184" w:rsidRDefault="00E30C54">
      <w:pPr>
        <w:spacing w:after="0" w:line="240" w:lineRule="auto"/>
        <w:jc w:val="both"/>
        <w:rPr>
          <w:rFonts w:ascii="Arial" w:eastAsia="Arial" w:hAnsi="Arial" w:cs="Arial"/>
          <w:color w:val="000000" w:themeColor="text1"/>
          <w:sz w:val="24"/>
          <w:szCs w:val="24"/>
        </w:rPr>
      </w:pPr>
      <w:r w:rsidRPr="00083184">
        <w:rPr>
          <w:rFonts w:ascii="Arial" w:eastAsia="Arial" w:hAnsi="Arial" w:cs="Arial"/>
          <w:color w:val="000000" w:themeColor="text1"/>
          <w:sz w:val="24"/>
          <w:szCs w:val="24"/>
        </w:rPr>
        <w:t>Research analysts are expected to have a thorough understanding of various business and financial risks associated with their investment. Additionally, several risk metric</w:t>
      </w:r>
      <w:r w:rsidR="00622135">
        <w:rPr>
          <w:rFonts w:ascii="Arial" w:eastAsia="Arial" w:hAnsi="Arial" w:cs="Arial"/>
          <w:color w:val="000000" w:themeColor="text1"/>
          <w:sz w:val="24"/>
          <w:szCs w:val="24"/>
        </w:rPr>
        <w:t xml:space="preserve">s such as Margin of Safety, Net </w:t>
      </w:r>
      <w:r w:rsidRPr="00083184">
        <w:rPr>
          <w:rFonts w:ascii="Arial" w:eastAsia="Arial" w:hAnsi="Arial" w:cs="Arial"/>
          <w:color w:val="000000" w:themeColor="text1"/>
          <w:sz w:val="24"/>
          <w:szCs w:val="24"/>
        </w:rPr>
        <w:t>Debt/EBITDA, EBITDA/Interest Expense are considered to measure the soundness of the investment. Analysts also look at the credit rating and market-based risk measures such as credit spreads to weigh their investment decisions.</w:t>
      </w:r>
      <w:r w:rsidR="005B34A5" w:rsidRPr="00083184">
        <w:rPr>
          <w:rFonts w:ascii="Arial" w:eastAsia="Arial" w:hAnsi="Arial" w:cs="Arial"/>
          <w:color w:val="000000" w:themeColor="text1"/>
          <w:sz w:val="24"/>
          <w:szCs w:val="24"/>
        </w:rPr>
        <w:t xml:space="preserve"> Once an investment is made, </w:t>
      </w:r>
      <w:r w:rsidR="007F26AD" w:rsidRPr="00083184">
        <w:rPr>
          <w:rFonts w:ascii="Arial" w:eastAsia="Arial" w:hAnsi="Arial" w:cs="Arial"/>
          <w:color w:val="000000" w:themeColor="text1"/>
          <w:sz w:val="24"/>
          <w:szCs w:val="24"/>
        </w:rPr>
        <w:t>r</w:t>
      </w:r>
      <w:r w:rsidR="005B34A5" w:rsidRPr="00083184">
        <w:rPr>
          <w:rFonts w:ascii="Arial" w:eastAsia="Arial" w:hAnsi="Arial" w:cs="Arial"/>
          <w:color w:val="000000" w:themeColor="text1"/>
          <w:sz w:val="24"/>
          <w:szCs w:val="24"/>
        </w:rPr>
        <w:t xml:space="preserve">esearch analysts are responsible </w:t>
      </w:r>
      <w:r w:rsidR="00622135">
        <w:rPr>
          <w:rFonts w:ascii="Arial" w:eastAsia="Arial" w:hAnsi="Arial" w:cs="Arial"/>
          <w:color w:val="000000" w:themeColor="text1"/>
          <w:sz w:val="24"/>
          <w:szCs w:val="24"/>
        </w:rPr>
        <w:t>for</w:t>
      </w:r>
      <w:r w:rsidR="005B34A5" w:rsidRPr="00083184">
        <w:rPr>
          <w:rFonts w:ascii="Arial" w:eastAsia="Arial" w:hAnsi="Arial" w:cs="Arial"/>
          <w:color w:val="000000" w:themeColor="text1"/>
          <w:sz w:val="24"/>
          <w:szCs w:val="24"/>
        </w:rPr>
        <w:t xml:space="preserve"> follow</w:t>
      </w:r>
      <w:r w:rsidR="00622135">
        <w:rPr>
          <w:rFonts w:ascii="Arial" w:eastAsia="Arial" w:hAnsi="Arial" w:cs="Arial"/>
          <w:color w:val="000000" w:themeColor="text1"/>
          <w:sz w:val="24"/>
          <w:szCs w:val="24"/>
        </w:rPr>
        <w:t>ing</w:t>
      </w:r>
      <w:r w:rsidR="005B34A5" w:rsidRPr="00083184">
        <w:rPr>
          <w:rFonts w:ascii="Arial" w:eastAsia="Arial" w:hAnsi="Arial" w:cs="Arial"/>
          <w:color w:val="000000" w:themeColor="text1"/>
          <w:sz w:val="24"/>
          <w:szCs w:val="24"/>
        </w:rPr>
        <w:t xml:space="preserve"> up on any news </w:t>
      </w:r>
      <w:r w:rsidR="00622135">
        <w:rPr>
          <w:rFonts w:ascii="Arial" w:eastAsia="Arial" w:hAnsi="Arial" w:cs="Arial"/>
          <w:color w:val="000000" w:themeColor="text1"/>
          <w:sz w:val="24"/>
          <w:szCs w:val="24"/>
        </w:rPr>
        <w:t>events or economic</w:t>
      </w:r>
      <w:r w:rsidR="005B34A5" w:rsidRPr="00083184">
        <w:rPr>
          <w:rFonts w:ascii="Arial" w:eastAsia="Arial" w:hAnsi="Arial" w:cs="Arial"/>
          <w:color w:val="000000" w:themeColor="text1"/>
          <w:sz w:val="24"/>
          <w:szCs w:val="24"/>
        </w:rPr>
        <w:t xml:space="preserve"> developments</w:t>
      </w:r>
      <w:r w:rsidR="00622135">
        <w:rPr>
          <w:rFonts w:ascii="Arial" w:eastAsia="Arial" w:hAnsi="Arial" w:cs="Arial"/>
          <w:color w:val="000000" w:themeColor="text1"/>
          <w:sz w:val="24"/>
          <w:szCs w:val="24"/>
        </w:rPr>
        <w:t xml:space="preserve"> and assessing the i</w:t>
      </w:r>
      <w:r w:rsidR="005B34A5" w:rsidRPr="00083184">
        <w:rPr>
          <w:rFonts w:ascii="Arial" w:eastAsia="Arial" w:hAnsi="Arial" w:cs="Arial"/>
          <w:color w:val="000000" w:themeColor="text1"/>
          <w:sz w:val="24"/>
          <w:szCs w:val="24"/>
        </w:rPr>
        <w:t>mpact on their investments.</w:t>
      </w:r>
    </w:p>
    <w:p w14:paraId="1B459D86" w14:textId="77777777" w:rsidR="00E62DD2" w:rsidRPr="00083184" w:rsidRDefault="00E62DD2">
      <w:pPr>
        <w:spacing w:after="0" w:line="240" w:lineRule="auto"/>
        <w:rPr>
          <w:rFonts w:ascii="Arial" w:eastAsia="Arial" w:hAnsi="Arial" w:cs="Arial"/>
          <w:color w:val="000000" w:themeColor="text1"/>
          <w:sz w:val="24"/>
          <w:szCs w:val="24"/>
        </w:rPr>
      </w:pPr>
    </w:p>
    <w:p w14:paraId="58B8E83B" w14:textId="3A64C423" w:rsidR="00E62DD2" w:rsidRPr="00083184" w:rsidRDefault="00E30C54">
      <w:pPr>
        <w:spacing w:after="0" w:line="240" w:lineRule="auto"/>
        <w:jc w:val="both"/>
        <w:rPr>
          <w:rFonts w:ascii="Arial" w:eastAsia="Arial" w:hAnsi="Arial" w:cs="Arial"/>
          <w:color w:val="000000" w:themeColor="text1"/>
          <w:sz w:val="24"/>
          <w:szCs w:val="24"/>
        </w:rPr>
      </w:pPr>
      <w:r w:rsidRPr="00083184">
        <w:rPr>
          <w:rFonts w:ascii="Arial" w:eastAsia="Arial" w:hAnsi="Arial" w:cs="Arial"/>
          <w:color w:val="000000" w:themeColor="text1"/>
          <w:sz w:val="24"/>
          <w:szCs w:val="24"/>
        </w:rPr>
        <w:t xml:space="preserve">From a portfolio perspective, </w:t>
      </w:r>
      <w:r w:rsidR="00E26B87" w:rsidRPr="00083184">
        <w:rPr>
          <w:rFonts w:ascii="Arial" w:eastAsia="Arial" w:hAnsi="Arial" w:cs="Arial"/>
          <w:color w:val="000000" w:themeColor="text1"/>
          <w:sz w:val="24"/>
          <w:szCs w:val="24"/>
        </w:rPr>
        <w:t xml:space="preserve">all </w:t>
      </w:r>
      <w:r w:rsidR="00622135">
        <w:rPr>
          <w:rFonts w:ascii="Arial" w:eastAsia="Arial" w:hAnsi="Arial" w:cs="Arial"/>
          <w:color w:val="000000" w:themeColor="text1"/>
          <w:sz w:val="24"/>
          <w:szCs w:val="24"/>
        </w:rPr>
        <w:t xml:space="preserve">of </w:t>
      </w:r>
      <w:r w:rsidR="00E26B87" w:rsidRPr="00083184">
        <w:rPr>
          <w:rFonts w:ascii="Arial" w:eastAsia="Arial" w:hAnsi="Arial" w:cs="Arial"/>
          <w:color w:val="000000" w:themeColor="text1"/>
          <w:sz w:val="24"/>
          <w:szCs w:val="24"/>
        </w:rPr>
        <w:t xml:space="preserve">our investments </w:t>
      </w:r>
      <w:r w:rsidR="00622135">
        <w:rPr>
          <w:rFonts w:ascii="Arial" w:eastAsia="Arial" w:hAnsi="Arial" w:cs="Arial"/>
          <w:color w:val="000000" w:themeColor="text1"/>
          <w:sz w:val="24"/>
          <w:szCs w:val="24"/>
        </w:rPr>
        <w:t>must</w:t>
      </w:r>
      <w:r w:rsidR="00E26B87" w:rsidRPr="00083184">
        <w:rPr>
          <w:rFonts w:ascii="Arial" w:eastAsia="Arial" w:hAnsi="Arial" w:cs="Arial"/>
          <w:color w:val="000000" w:themeColor="text1"/>
          <w:sz w:val="24"/>
          <w:szCs w:val="24"/>
        </w:rPr>
        <w:t xml:space="preserve"> have a minimum Margin of Safety of 15%. A</w:t>
      </w:r>
      <w:r w:rsidRPr="00083184">
        <w:rPr>
          <w:rFonts w:ascii="Arial" w:eastAsia="Arial" w:hAnsi="Arial" w:cs="Arial"/>
          <w:color w:val="000000" w:themeColor="text1"/>
          <w:sz w:val="24"/>
          <w:szCs w:val="24"/>
        </w:rPr>
        <w:t>n appropriate stop loss</w:t>
      </w:r>
      <w:r w:rsidR="00E26B87" w:rsidRPr="00083184">
        <w:rPr>
          <w:rFonts w:ascii="Arial" w:eastAsia="Arial" w:hAnsi="Arial" w:cs="Arial"/>
          <w:color w:val="000000" w:themeColor="text1"/>
          <w:sz w:val="24"/>
          <w:szCs w:val="24"/>
        </w:rPr>
        <w:t xml:space="preserve"> (average is 15%-20%)</w:t>
      </w:r>
      <w:r w:rsidRPr="00083184">
        <w:rPr>
          <w:rFonts w:ascii="Arial" w:eastAsia="Arial" w:hAnsi="Arial" w:cs="Arial"/>
          <w:color w:val="000000" w:themeColor="text1"/>
          <w:sz w:val="24"/>
          <w:szCs w:val="24"/>
        </w:rPr>
        <w:t xml:space="preserve"> is placed on each stock that is purchased.</w:t>
      </w:r>
      <w:r w:rsidR="00E26B87" w:rsidRPr="00083184">
        <w:rPr>
          <w:rFonts w:ascii="Arial" w:eastAsia="Arial" w:hAnsi="Arial" w:cs="Arial"/>
          <w:color w:val="000000" w:themeColor="text1"/>
          <w:sz w:val="24"/>
          <w:szCs w:val="24"/>
        </w:rPr>
        <w:t xml:space="preserve"> However, some of our holdings have higher stop loss to account for stock’s volatility and market conditions.</w:t>
      </w:r>
      <w:r w:rsidRPr="00083184">
        <w:rPr>
          <w:rFonts w:ascii="Arial" w:eastAsia="Arial" w:hAnsi="Arial" w:cs="Arial"/>
          <w:color w:val="000000" w:themeColor="text1"/>
          <w:sz w:val="24"/>
          <w:szCs w:val="24"/>
        </w:rPr>
        <w:t xml:space="preserve"> </w:t>
      </w:r>
      <w:r w:rsidR="005B34A5" w:rsidRPr="00083184">
        <w:rPr>
          <w:rFonts w:ascii="Arial" w:eastAsia="Arial" w:hAnsi="Arial" w:cs="Arial"/>
          <w:color w:val="000000" w:themeColor="text1"/>
          <w:sz w:val="24"/>
          <w:szCs w:val="24"/>
        </w:rPr>
        <w:t>Our team also focuses on diversifying our portfolio holdings by investing in different sectors</w:t>
      </w:r>
      <w:r w:rsidR="00E26B87" w:rsidRPr="00083184">
        <w:rPr>
          <w:rFonts w:ascii="Arial" w:eastAsia="Arial" w:hAnsi="Arial" w:cs="Arial"/>
          <w:color w:val="000000" w:themeColor="text1"/>
          <w:sz w:val="24"/>
          <w:szCs w:val="24"/>
        </w:rPr>
        <w:t>.</w:t>
      </w:r>
    </w:p>
    <w:p w14:paraId="48B2155F" w14:textId="77777777" w:rsidR="00E62DD2" w:rsidRPr="00083184" w:rsidRDefault="00E62DD2">
      <w:pPr>
        <w:rPr>
          <w:rFonts w:ascii="Arial" w:eastAsia="Arial" w:hAnsi="Arial" w:cs="Arial"/>
          <w:b/>
          <w:color w:val="000000" w:themeColor="text1"/>
          <w:sz w:val="24"/>
          <w:szCs w:val="24"/>
          <w:u w:val="single"/>
        </w:rPr>
      </w:pPr>
    </w:p>
    <w:p w14:paraId="72EAB39A" w14:textId="77777777" w:rsidR="001511CF" w:rsidRPr="00083184" w:rsidRDefault="001511CF">
      <w:pPr>
        <w:rPr>
          <w:rFonts w:ascii="Arial" w:eastAsia="Arial" w:hAnsi="Arial" w:cs="Arial"/>
          <w:b/>
          <w:color w:val="000000" w:themeColor="text1"/>
          <w:sz w:val="24"/>
          <w:szCs w:val="24"/>
          <w:u w:val="single"/>
        </w:rPr>
      </w:pPr>
      <w:r w:rsidRPr="00083184">
        <w:rPr>
          <w:rFonts w:ascii="Arial" w:eastAsia="Arial" w:hAnsi="Arial" w:cs="Arial"/>
          <w:b/>
          <w:color w:val="000000" w:themeColor="text1"/>
          <w:sz w:val="24"/>
          <w:szCs w:val="24"/>
          <w:u w:val="single"/>
        </w:rPr>
        <w:br w:type="page"/>
      </w:r>
    </w:p>
    <w:p w14:paraId="30F90FD6" w14:textId="77777777" w:rsidR="00E62DD2" w:rsidRPr="00083184" w:rsidRDefault="00E30C54" w:rsidP="008E7375">
      <w:pPr>
        <w:outlineLvl w:val="0"/>
        <w:rPr>
          <w:rFonts w:ascii="Arial" w:eastAsia="Arial" w:hAnsi="Arial" w:cs="Arial"/>
          <w:b/>
          <w:color w:val="000000" w:themeColor="text1"/>
          <w:sz w:val="24"/>
          <w:szCs w:val="24"/>
          <w:u w:val="single"/>
        </w:rPr>
      </w:pPr>
      <w:r w:rsidRPr="00083184">
        <w:rPr>
          <w:rFonts w:ascii="Arial" w:eastAsia="Arial" w:hAnsi="Arial" w:cs="Arial"/>
          <w:b/>
          <w:color w:val="000000" w:themeColor="text1"/>
          <w:sz w:val="24"/>
          <w:szCs w:val="24"/>
          <w:u w:val="single"/>
        </w:rPr>
        <w:t>Investment Process</w:t>
      </w:r>
    </w:p>
    <w:p w14:paraId="3BBFC87E" w14:textId="77777777" w:rsidR="00622135" w:rsidRDefault="00E30C54">
      <w:pPr>
        <w:pBdr>
          <w:top w:val="nil"/>
          <w:left w:val="nil"/>
          <w:bottom w:val="nil"/>
          <w:right w:val="nil"/>
          <w:between w:val="nil"/>
        </w:pBdr>
        <w:spacing w:after="0" w:line="240" w:lineRule="auto"/>
        <w:jc w:val="both"/>
        <w:rPr>
          <w:rFonts w:ascii="Arial" w:eastAsia="Arial" w:hAnsi="Arial" w:cs="Arial"/>
          <w:color w:val="000000" w:themeColor="text1"/>
          <w:sz w:val="24"/>
          <w:szCs w:val="24"/>
        </w:rPr>
      </w:pPr>
      <w:r w:rsidRPr="00083184">
        <w:rPr>
          <w:rFonts w:ascii="Arial" w:eastAsia="Arial" w:hAnsi="Arial" w:cs="Arial"/>
          <w:color w:val="000000" w:themeColor="text1"/>
          <w:sz w:val="24"/>
          <w:szCs w:val="24"/>
        </w:rPr>
        <w:t>Each analyst covers at least two sectors of the S&amp;P 500. Each sector is covered by a team of two or more analysts who conduct thorough research and use both quantitative and qualitative criteria to identify attractive value investment opportunities within their sectors.</w:t>
      </w:r>
    </w:p>
    <w:p w14:paraId="605C35BA" w14:textId="77777777" w:rsidR="00622135" w:rsidRDefault="00622135">
      <w:pPr>
        <w:pBdr>
          <w:top w:val="nil"/>
          <w:left w:val="nil"/>
          <w:bottom w:val="nil"/>
          <w:right w:val="nil"/>
          <w:between w:val="nil"/>
        </w:pBdr>
        <w:spacing w:after="0" w:line="240" w:lineRule="auto"/>
        <w:jc w:val="both"/>
        <w:rPr>
          <w:rFonts w:ascii="Arial" w:eastAsia="Arial" w:hAnsi="Arial" w:cs="Arial"/>
          <w:color w:val="000000" w:themeColor="text1"/>
          <w:sz w:val="24"/>
          <w:szCs w:val="24"/>
        </w:rPr>
      </w:pPr>
    </w:p>
    <w:p w14:paraId="1E8F24BA" w14:textId="681CB754" w:rsidR="00E62DD2" w:rsidRPr="00083184" w:rsidRDefault="00622135">
      <w:pPr>
        <w:pBdr>
          <w:top w:val="nil"/>
          <w:left w:val="nil"/>
          <w:bottom w:val="nil"/>
          <w:right w:val="nil"/>
          <w:between w:val="nil"/>
        </w:pBdr>
        <w:spacing w:after="0" w:line="24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Teams pitches </w:t>
      </w:r>
      <w:r w:rsidR="001751C8" w:rsidRPr="00083184">
        <w:rPr>
          <w:rFonts w:ascii="Arial" w:eastAsia="Arial" w:hAnsi="Arial" w:cs="Arial"/>
          <w:color w:val="000000" w:themeColor="text1"/>
          <w:sz w:val="24"/>
          <w:szCs w:val="24"/>
        </w:rPr>
        <w:t xml:space="preserve">their </w:t>
      </w:r>
      <w:r w:rsidR="00E30C54" w:rsidRPr="00083184">
        <w:rPr>
          <w:rFonts w:ascii="Arial" w:eastAsia="Arial" w:hAnsi="Arial" w:cs="Arial"/>
          <w:color w:val="000000" w:themeColor="text1"/>
          <w:sz w:val="24"/>
          <w:szCs w:val="24"/>
        </w:rPr>
        <w:t>investment opportunities to the Student Manage</w:t>
      </w:r>
      <w:r>
        <w:rPr>
          <w:rFonts w:ascii="Arial" w:eastAsia="Arial" w:hAnsi="Arial" w:cs="Arial"/>
          <w:color w:val="000000" w:themeColor="text1"/>
          <w:sz w:val="24"/>
          <w:szCs w:val="24"/>
        </w:rPr>
        <w:t xml:space="preserve">d Fund at weekly </w:t>
      </w:r>
      <w:r w:rsidR="00E30C54" w:rsidRPr="00083184">
        <w:rPr>
          <w:rFonts w:ascii="Arial" w:eastAsia="Arial" w:hAnsi="Arial" w:cs="Arial"/>
          <w:color w:val="000000" w:themeColor="text1"/>
          <w:sz w:val="24"/>
          <w:szCs w:val="24"/>
        </w:rPr>
        <w:t>meetings, and are req</w:t>
      </w:r>
      <w:r>
        <w:rPr>
          <w:rFonts w:ascii="Arial" w:eastAsia="Arial" w:hAnsi="Arial" w:cs="Arial"/>
          <w:color w:val="000000" w:themeColor="text1"/>
          <w:sz w:val="24"/>
          <w:szCs w:val="24"/>
        </w:rPr>
        <w:t>uired to circulate their short r</w:t>
      </w:r>
      <w:r w:rsidR="00E30C54" w:rsidRPr="00083184">
        <w:rPr>
          <w:rFonts w:ascii="Arial" w:eastAsia="Arial" w:hAnsi="Arial" w:cs="Arial"/>
          <w:color w:val="000000" w:themeColor="text1"/>
          <w:sz w:val="24"/>
          <w:szCs w:val="24"/>
        </w:rPr>
        <w:t>eport, slide deck, and any other relevant material to the SMF team 48 hours prior to presenting.</w:t>
      </w:r>
    </w:p>
    <w:p w14:paraId="7480BA00" w14:textId="77777777" w:rsidR="00E62DD2" w:rsidRPr="00083184" w:rsidRDefault="00E62DD2">
      <w:pPr>
        <w:rPr>
          <w:rFonts w:ascii="Arial" w:eastAsia="Arial" w:hAnsi="Arial" w:cs="Arial"/>
          <w:color w:val="000000" w:themeColor="text1"/>
          <w:sz w:val="24"/>
          <w:szCs w:val="24"/>
        </w:rPr>
      </w:pPr>
    </w:p>
    <w:p w14:paraId="096C8851" w14:textId="1F00ECB8" w:rsidR="00E62DD2" w:rsidRPr="00083184" w:rsidRDefault="00E30C54">
      <w:pPr>
        <w:pBdr>
          <w:top w:val="nil"/>
          <w:left w:val="nil"/>
          <w:bottom w:val="nil"/>
          <w:right w:val="nil"/>
          <w:between w:val="nil"/>
        </w:pBdr>
        <w:spacing w:after="0" w:line="240" w:lineRule="auto"/>
        <w:jc w:val="both"/>
        <w:rPr>
          <w:rFonts w:ascii="Arial" w:eastAsia="Arial" w:hAnsi="Arial" w:cs="Arial"/>
          <w:color w:val="000000" w:themeColor="text1"/>
          <w:sz w:val="24"/>
          <w:szCs w:val="24"/>
        </w:rPr>
      </w:pPr>
      <w:r w:rsidRPr="00083184">
        <w:rPr>
          <w:rFonts w:ascii="Arial" w:eastAsia="Arial" w:hAnsi="Arial" w:cs="Arial"/>
          <w:color w:val="000000" w:themeColor="text1"/>
          <w:sz w:val="24"/>
          <w:szCs w:val="24"/>
        </w:rPr>
        <w:t>At least 7/9 team members must vote in favor of an investment in order for it</w:t>
      </w:r>
      <w:r w:rsidR="00AE617F" w:rsidRPr="00083184">
        <w:rPr>
          <w:rFonts w:ascii="Arial" w:eastAsia="Arial" w:hAnsi="Arial" w:cs="Arial"/>
          <w:color w:val="000000" w:themeColor="text1"/>
          <w:sz w:val="24"/>
          <w:szCs w:val="24"/>
        </w:rPr>
        <w:t xml:space="preserve"> to pass.</w:t>
      </w:r>
      <w:r w:rsidRPr="00083184">
        <w:rPr>
          <w:rFonts w:ascii="Arial" w:eastAsia="Arial" w:hAnsi="Arial" w:cs="Arial"/>
          <w:color w:val="000000" w:themeColor="text1"/>
          <w:sz w:val="24"/>
          <w:szCs w:val="24"/>
        </w:rPr>
        <w:t> Furthermore, position size is discounted by 10% for each negative vote;</w:t>
      </w:r>
    </w:p>
    <w:p w14:paraId="23B637B6" w14:textId="77777777" w:rsidR="00E62DD2" w:rsidRPr="00083184" w:rsidRDefault="00E30C54">
      <w:pPr>
        <w:numPr>
          <w:ilvl w:val="0"/>
          <w:numId w:val="3"/>
        </w:numPr>
        <w:pBdr>
          <w:top w:val="nil"/>
          <w:left w:val="nil"/>
          <w:bottom w:val="nil"/>
          <w:right w:val="nil"/>
          <w:between w:val="nil"/>
        </w:pBdr>
        <w:spacing w:after="0" w:line="240" w:lineRule="auto"/>
        <w:jc w:val="both"/>
        <w:rPr>
          <w:rFonts w:ascii="Arial" w:hAnsi="Arial" w:cs="Arial"/>
          <w:color w:val="000000" w:themeColor="text1"/>
          <w:sz w:val="24"/>
          <w:szCs w:val="24"/>
        </w:rPr>
      </w:pPr>
      <w:r w:rsidRPr="00083184">
        <w:rPr>
          <w:rFonts w:ascii="Arial" w:eastAsia="Arial" w:hAnsi="Arial" w:cs="Arial"/>
          <w:color w:val="000000" w:themeColor="text1"/>
          <w:sz w:val="24"/>
          <w:szCs w:val="24"/>
        </w:rPr>
        <w:t xml:space="preserve">For an investment with 9/9 favorable votes, 100% of the proposed position size will be allocated </w:t>
      </w:r>
    </w:p>
    <w:p w14:paraId="20840202" w14:textId="77777777" w:rsidR="00E62DD2" w:rsidRPr="00083184" w:rsidRDefault="00E30C54">
      <w:pPr>
        <w:numPr>
          <w:ilvl w:val="0"/>
          <w:numId w:val="3"/>
        </w:numPr>
        <w:pBdr>
          <w:top w:val="nil"/>
          <w:left w:val="nil"/>
          <w:bottom w:val="nil"/>
          <w:right w:val="nil"/>
          <w:between w:val="nil"/>
        </w:pBdr>
        <w:spacing w:after="0" w:line="240" w:lineRule="auto"/>
        <w:jc w:val="both"/>
        <w:rPr>
          <w:rFonts w:ascii="Arial" w:hAnsi="Arial" w:cs="Arial"/>
          <w:color w:val="000000" w:themeColor="text1"/>
          <w:sz w:val="24"/>
          <w:szCs w:val="24"/>
        </w:rPr>
      </w:pPr>
      <w:r w:rsidRPr="00083184">
        <w:rPr>
          <w:rFonts w:ascii="Arial" w:eastAsia="Arial" w:hAnsi="Arial" w:cs="Arial"/>
          <w:color w:val="000000" w:themeColor="text1"/>
          <w:sz w:val="24"/>
          <w:szCs w:val="24"/>
        </w:rPr>
        <w:t>For 8/9 favorable votes, 90% of the proposed position size will be allocated</w:t>
      </w:r>
    </w:p>
    <w:p w14:paraId="034DC5BF" w14:textId="77777777" w:rsidR="00E62DD2" w:rsidRPr="00083184" w:rsidRDefault="00E30C54">
      <w:pPr>
        <w:numPr>
          <w:ilvl w:val="0"/>
          <w:numId w:val="3"/>
        </w:numPr>
        <w:pBdr>
          <w:top w:val="nil"/>
          <w:left w:val="nil"/>
          <w:bottom w:val="nil"/>
          <w:right w:val="nil"/>
          <w:between w:val="nil"/>
        </w:pBdr>
        <w:spacing w:after="0" w:line="240" w:lineRule="auto"/>
        <w:jc w:val="both"/>
        <w:rPr>
          <w:rFonts w:ascii="Arial" w:hAnsi="Arial" w:cs="Arial"/>
          <w:color w:val="000000" w:themeColor="text1"/>
          <w:sz w:val="24"/>
          <w:szCs w:val="24"/>
        </w:rPr>
      </w:pPr>
      <w:r w:rsidRPr="00083184">
        <w:rPr>
          <w:rFonts w:ascii="Arial" w:eastAsia="Arial" w:hAnsi="Arial" w:cs="Arial"/>
          <w:color w:val="000000" w:themeColor="text1"/>
          <w:sz w:val="24"/>
          <w:szCs w:val="24"/>
        </w:rPr>
        <w:t>For 7/9 favorable votes, 80% of the proposed position size will be allocated</w:t>
      </w:r>
    </w:p>
    <w:p w14:paraId="59A7DAA5" w14:textId="77777777" w:rsidR="00E62DD2" w:rsidRPr="00083184" w:rsidRDefault="00E62DD2">
      <w:pPr>
        <w:rPr>
          <w:rFonts w:ascii="Arial" w:eastAsia="Arial" w:hAnsi="Arial" w:cs="Arial"/>
          <w:color w:val="000000" w:themeColor="text1"/>
          <w:sz w:val="24"/>
          <w:szCs w:val="24"/>
        </w:rPr>
      </w:pPr>
    </w:p>
    <w:p w14:paraId="177BD6DF" w14:textId="2C8C6D1E" w:rsidR="00E62DD2" w:rsidRPr="00083184" w:rsidRDefault="00E30C54">
      <w:pPr>
        <w:pBdr>
          <w:top w:val="nil"/>
          <w:left w:val="nil"/>
          <w:bottom w:val="nil"/>
          <w:right w:val="nil"/>
          <w:between w:val="nil"/>
        </w:pBdr>
        <w:spacing w:after="0" w:line="240" w:lineRule="auto"/>
        <w:jc w:val="both"/>
        <w:rPr>
          <w:rFonts w:ascii="Arial" w:eastAsia="Arial" w:hAnsi="Arial" w:cs="Arial"/>
          <w:color w:val="000000" w:themeColor="text1"/>
          <w:sz w:val="24"/>
          <w:szCs w:val="24"/>
        </w:rPr>
      </w:pPr>
      <w:r w:rsidRPr="00083184">
        <w:rPr>
          <w:rFonts w:ascii="Arial" w:eastAsia="Arial" w:hAnsi="Arial" w:cs="Arial"/>
          <w:color w:val="000000" w:themeColor="text1"/>
          <w:sz w:val="24"/>
          <w:szCs w:val="24"/>
        </w:rPr>
        <w:t xml:space="preserve">If an investment is not passed, the team may </w:t>
      </w:r>
      <w:r w:rsidR="00A56FB8" w:rsidRPr="00083184">
        <w:rPr>
          <w:rFonts w:ascii="Arial" w:eastAsia="Arial" w:hAnsi="Arial" w:cs="Arial"/>
          <w:color w:val="000000" w:themeColor="text1"/>
          <w:sz w:val="24"/>
          <w:szCs w:val="24"/>
        </w:rPr>
        <w:t>be allowed to pitch again</w:t>
      </w:r>
      <w:r w:rsidR="001511CF" w:rsidRPr="00083184">
        <w:rPr>
          <w:rFonts w:ascii="Arial" w:eastAsia="Arial" w:hAnsi="Arial" w:cs="Arial"/>
          <w:color w:val="000000" w:themeColor="text1"/>
          <w:sz w:val="24"/>
          <w:szCs w:val="24"/>
        </w:rPr>
        <w:t xml:space="preserve"> at a later date </w:t>
      </w:r>
      <w:r w:rsidRPr="00083184">
        <w:rPr>
          <w:rFonts w:ascii="Arial" w:eastAsia="Arial" w:hAnsi="Arial" w:cs="Arial"/>
          <w:color w:val="000000" w:themeColor="text1"/>
          <w:sz w:val="24"/>
          <w:szCs w:val="24"/>
        </w:rPr>
        <w:t>or allow a second vote at a revised position size.</w:t>
      </w:r>
    </w:p>
    <w:p w14:paraId="4515590B" w14:textId="77777777" w:rsidR="00AE617F" w:rsidRPr="00083184" w:rsidRDefault="00AE617F" w:rsidP="00291F6B">
      <w:pPr>
        <w:jc w:val="both"/>
        <w:rPr>
          <w:rFonts w:ascii="Arial" w:eastAsia="Arial" w:hAnsi="Arial" w:cs="Arial"/>
          <w:b/>
          <w:color w:val="000000" w:themeColor="text1"/>
          <w:sz w:val="24"/>
          <w:szCs w:val="24"/>
          <w:u w:val="single"/>
        </w:rPr>
      </w:pPr>
    </w:p>
    <w:p w14:paraId="59684646" w14:textId="5819F5D9" w:rsidR="000277BF" w:rsidRPr="00083184" w:rsidRDefault="000277BF" w:rsidP="00291F6B">
      <w:pPr>
        <w:jc w:val="both"/>
        <w:rPr>
          <w:rFonts w:ascii="Arial" w:hAnsi="Arial" w:cs="Arial"/>
          <w:color w:val="000000" w:themeColor="text1"/>
          <w:sz w:val="24"/>
          <w:szCs w:val="24"/>
          <w:shd w:val="clear" w:color="auto" w:fill="FFFFFF"/>
          <w:lang w:eastAsia="zh-CN"/>
        </w:rPr>
      </w:pPr>
      <w:r w:rsidRPr="00083184">
        <w:rPr>
          <w:rFonts w:ascii="Arial" w:hAnsi="Arial" w:cs="Arial"/>
          <w:color w:val="000000" w:themeColor="text1"/>
          <w:sz w:val="24"/>
          <w:szCs w:val="24"/>
          <w:shd w:val="clear" w:color="auto" w:fill="FFFFFF"/>
        </w:rPr>
        <w:t xml:space="preserve">After each investment, </w:t>
      </w:r>
      <w:r w:rsidR="00E807EC" w:rsidRPr="00083184">
        <w:rPr>
          <w:rFonts w:ascii="Arial" w:hAnsi="Arial" w:cs="Arial"/>
          <w:color w:val="000000" w:themeColor="text1"/>
          <w:sz w:val="24"/>
          <w:szCs w:val="24"/>
          <w:shd w:val="clear" w:color="auto" w:fill="FFFFFF"/>
        </w:rPr>
        <w:t>a</w:t>
      </w:r>
      <w:r w:rsidRPr="00083184">
        <w:rPr>
          <w:rFonts w:ascii="Arial" w:hAnsi="Arial" w:cs="Arial"/>
          <w:color w:val="000000" w:themeColor="text1"/>
          <w:sz w:val="24"/>
          <w:szCs w:val="24"/>
          <w:shd w:val="clear" w:color="auto" w:fill="FFFFFF"/>
        </w:rPr>
        <w:t>nalysts</w:t>
      </w:r>
      <w:r w:rsidR="00622135">
        <w:rPr>
          <w:rFonts w:ascii="Arial" w:hAnsi="Arial" w:cs="Arial"/>
          <w:color w:val="000000" w:themeColor="text1"/>
          <w:sz w:val="24"/>
          <w:szCs w:val="24"/>
          <w:shd w:val="clear" w:color="auto" w:fill="FFFFFF"/>
        </w:rPr>
        <w:t xml:space="preserve"> are responsible for</w:t>
      </w:r>
      <w:r w:rsidRPr="00083184">
        <w:rPr>
          <w:rFonts w:ascii="Arial" w:hAnsi="Arial" w:cs="Arial"/>
          <w:color w:val="000000" w:themeColor="text1"/>
          <w:sz w:val="24"/>
          <w:szCs w:val="24"/>
          <w:shd w:val="clear" w:color="auto" w:fill="FFFFFF"/>
        </w:rPr>
        <w:t xml:space="preserve"> </w:t>
      </w:r>
      <w:r w:rsidR="00622135">
        <w:rPr>
          <w:rFonts w:ascii="Arial" w:eastAsia="Arial" w:hAnsi="Arial" w:cs="Arial"/>
          <w:color w:val="000000" w:themeColor="text1"/>
          <w:sz w:val="24"/>
          <w:szCs w:val="24"/>
        </w:rPr>
        <w:t xml:space="preserve">following </w:t>
      </w:r>
      <w:r w:rsidR="00E807EC" w:rsidRPr="00083184">
        <w:rPr>
          <w:rFonts w:ascii="Arial" w:eastAsia="Arial" w:hAnsi="Arial" w:cs="Arial"/>
          <w:color w:val="000000" w:themeColor="text1"/>
          <w:sz w:val="24"/>
          <w:szCs w:val="24"/>
        </w:rPr>
        <w:t>up on any news</w:t>
      </w:r>
      <w:r w:rsidR="00622135">
        <w:rPr>
          <w:rFonts w:ascii="Arial" w:eastAsia="Arial" w:hAnsi="Arial" w:cs="Arial"/>
          <w:color w:val="000000" w:themeColor="text1"/>
          <w:sz w:val="24"/>
          <w:szCs w:val="24"/>
        </w:rPr>
        <w:t xml:space="preserve"> events</w:t>
      </w:r>
      <w:r w:rsidR="00E807EC" w:rsidRPr="00083184">
        <w:rPr>
          <w:rFonts w:ascii="Arial" w:eastAsia="Arial" w:hAnsi="Arial" w:cs="Arial"/>
          <w:color w:val="000000" w:themeColor="text1"/>
          <w:sz w:val="24"/>
          <w:szCs w:val="24"/>
        </w:rPr>
        <w:t xml:space="preserve"> or </w:t>
      </w:r>
      <w:r w:rsidR="00622135">
        <w:rPr>
          <w:rFonts w:ascii="Arial" w:eastAsia="Arial" w:hAnsi="Arial" w:cs="Arial"/>
          <w:color w:val="000000" w:themeColor="text1"/>
          <w:sz w:val="24"/>
          <w:szCs w:val="24"/>
        </w:rPr>
        <w:t xml:space="preserve">economic </w:t>
      </w:r>
      <w:r w:rsidR="00E807EC" w:rsidRPr="00083184">
        <w:rPr>
          <w:rFonts w:ascii="Arial" w:eastAsia="Arial" w:hAnsi="Arial" w:cs="Arial"/>
          <w:color w:val="000000" w:themeColor="text1"/>
          <w:sz w:val="24"/>
          <w:szCs w:val="24"/>
        </w:rPr>
        <w:t>developments and assess</w:t>
      </w:r>
      <w:r w:rsidR="00622135">
        <w:rPr>
          <w:rFonts w:ascii="Arial" w:eastAsia="Arial" w:hAnsi="Arial" w:cs="Arial"/>
          <w:color w:val="000000" w:themeColor="text1"/>
          <w:sz w:val="24"/>
          <w:szCs w:val="24"/>
        </w:rPr>
        <w:t xml:space="preserve">ing the </w:t>
      </w:r>
      <w:r w:rsidR="00E807EC" w:rsidRPr="00083184">
        <w:rPr>
          <w:rFonts w:ascii="Arial" w:eastAsia="Arial" w:hAnsi="Arial" w:cs="Arial"/>
          <w:color w:val="000000" w:themeColor="text1"/>
          <w:sz w:val="24"/>
          <w:szCs w:val="24"/>
        </w:rPr>
        <w:t xml:space="preserve">impact on their investments. </w:t>
      </w:r>
      <w:r w:rsidR="00622135">
        <w:rPr>
          <w:rFonts w:ascii="Arial" w:eastAsia="Arial" w:hAnsi="Arial" w:cs="Arial"/>
          <w:color w:val="000000" w:themeColor="text1"/>
          <w:sz w:val="24"/>
          <w:szCs w:val="24"/>
        </w:rPr>
        <w:t>If there are changes in</w:t>
      </w:r>
      <w:r w:rsidR="00447189" w:rsidRPr="00083184">
        <w:rPr>
          <w:rFonts w:ascii="Arial" w:eastAsia="Arial" w:hAnsi="Arial" w:cs="Arial"/>
          <w:color w:val="000000" w:themeColor="text1"/>
          <w:sz w:val="24"/>
          <w:szCs w:val="24"/>
        </w:rPr>
        <w:t xml:space="preserve"> the valuation assumptions or </w:t>
      </w:r>
      <w:r w:rsidR="00D92290" w:rsidRPr="00083184">
        <w:rPr>
          <w:rFonts w:ascii="Arial" w:eastAsia="Arial" w:hAnsi="Arial" w:cs="Arial"/>
          <w:color w:val="000000" w:themeColor="text1"/>
          <w:sz w:val="24"/>
          <w:szCs w:val="24"/>
        </w:rPr>
        <w:t>if</w:t>
      </w:r>
      <w:r w:rsidR="00E807EC" w:rsidRPr="00083184">
        <w:rPr>
          <w:rFonts w:ascii="Arial" w:eastAsia="Arial" w:hAnsi="Arial" w:cs="Arial"/>
          <w:color w:val="000000" w:themeColor="text1"/>
          <w:sz w:val="24"/>
          <w:szCs w:val="24"/>
        </w:rPr>
        <w:t xml:space="preserve"> the stock reaches its intrinsic value</w:t>
      </w:r>
      <w:r w:rsidR="00537366" w:rsidRPr="00083184">
        <w:rPr>
          <w:rFonts w:ascii="Arial" w:eastAsia="Arial" w:hAnsi="Arial" w:cs="Arial"/>
          <w:color w:val="000000" w:themeColor="text1"/>
          <w:sz w:val="24"/>
          <w:szCs w:val="24"/>
        </w:rPr>
        <w:t xml:space="preserve">, </w:t>
      </w:r>
      <w:r w:rsidRPr="00083184">
        <w:rPr>
          <w:rFonts w:ascii="Arial" w:hAnsi="Arial" w:cs="Arial"/>
          <w:color w:val="000000" w:themeColor="text1"/>
          <w:sz w:val="24"/>
          <w:szCs w:val="24"/>
          <w:shd w:val="clear" w:color="auto" w:fill="FFFFFF"/>
        </w:rPr>
        <w:t>analysts will present a "sell pitch" and the team will discuss and vote on the proposal. The required vote for approval is 5/9.</w:t>
      </w:r>
    </w:p>
    <w:p w14:paraId="51B83D5C" w14:textId="01861668" w:rsidR="00E62DD2" w:rsidRPr="00083184" w:rsidRDefault="00E30C54" w:rsidP="008E7375">
      <w:pPr>
        <w:outlineLvl w:val="0"/>
        <w:rPr>
          <w:rFonts w:ascii="Arial" w:eastAsia="Arial" w:hAnsi="Arial" w:cs="Arial"/>
          <w:b/>
          <w:color w:val="000000" w:themeColor="text1"/>
          <w:sz w:val="24"/>
          <w:szCs w:val="24"/>
          <w:u w:val="single"/>
        </w:rPr>
      </w:pPr>
      <w:r w:rsidRPr="00083184">
        <w:rPr>
          <w:rFonts w:ascii="Arial" w:eastAsia="Arial" w:hAnsi="Arial" w:cs="Arial"/>
          <w:b/>
          <w:color w:val="000000" w:themeColor="text1"/>
          <w:sz w:val="24"/>
          <w:szCs w:val="24"/>
          <w:u w:val="single"/>
        </w:rPr>
        <w:t>Sector Assignments</w:t>
      </w:r>
    </w:p>
    <w:p w14:paraId="2416CC1D" w14:textId="77777777" w:rsidR="00E62DD2" w:rsidRPr="00083184" w:rsidRDefault="00E30C54" w:rsidP="008E7375">
      <w:pPr>
        <w:pBdr>
          <w:top w:val="nil"/>
          <w:left w:val="nil"/>
          <w:bottom w:val="nil"/>
          <w:right w:val="nil"/>
          <w:between w:val="nil"/>
        </w:pBdr>
        <w:spacing w:after="0" w:line="240" w:lineRule="auto"/>
        <w:jc w:val="both"/>
        <w:outlineLvl w:val="0"/>
        <w:rPr>
          <w:rFonts w:ascii="Arial" w:eastAsia="Arial" w:hAnsi="Arial" w:cs="Arial"/>
          <w:color w:val="000000" w:themeColor="text1"/>
          <w:sz w:val="24"/>
          <w:szCs w:val="24"/>
        </w:rPr>
      </w:pPr>
      <w:r w:rsidRPr="00083184">
        <w:rPr>
          <w:rFonts w:ascii="Arial" w:eastAsia="Arial" w:hAnsi="Arial" w:cs="Arial"/>
          <w:b/>
          <w:color w:val="000000" w:themeColor="text1"/>
          <w:sz w:val="24"/>
          <w:szCs w:val="24"/>
        </w:rPr>
        <w:t xml:space="preserve">Basic Materials: </w:t>
      </w:r>
      <w:r w:rsidRPr="00083184">
        <w:rPr>
          <w:rFonts w:ascii="Arial" w:eastAsia="Arial" w:hAnsi="Arial" w:cs="Arial"/>
          <w:color w:val="000000" w:themeColor="text1"/>
          <w:sz w:val="24"/>
          <w:szCs w:val="24"/>
        </w:rPr>
        <w:t>Karthik Gurusamy, Anshul Manglani</w:t>
      </w:r>
    </w:p>
    <w:p w14:paraId="19A13846" w14:textId="77777777" w:rsidR="00E62DD2" w:rsidRPr="00083184" w:rsidRDefault="00E30C54" w:rsidP="008E7375">
      <w:pPr>
        <w:pBdr>
          <w:top w:val="nil"/>
          <w:left w:val="nil"/>
          <w:bottom w:val="nil"/>
          <w:right w:val="nil"/>
          <w:between w:val="nil"/>
        </w:pBdr>
        <w:spacing w:after="0" w:line="240" w:lineRule="auto"/>
        <w:jc w:val="both"/>
        <w:outlineLvl w:val="0"/>
        <w:rPr>
          <w:rFonts w:ascii="Arial" w:eastAsia="Arial" w:hAnsi="Arial" w:cs="Arial"/>
          <w:color w:val="000000" w:themeColor="text1"/>
          <w:sz w:val="24"/>
          <w:szCs w:val="24"/>
        </w:rPr>
      </w:pPr>
      <w:r w:rsidRPr="00083184">
        <w:rPr>
          <w:rFonts w:ascii="Arial" w:eastAsia="Arial" w:hAnsi="Arial" w:cs="Arial"/>
          <w:b/>
          <w:color w:val="000000" w:themeColor="text1"/>
          <w:sz w:val="24"/>
          <w:szCs w:val="24"/>
        </w:rPr>
        <w:t xml:space="preserve">Consumer Discretionary: </w:t>
      </w:r>
      <w:r w:rsidRPr="00083184">
        <w:rPr>
          <w:rFonts w:ascii="Arial" w:eastAsia="Arial" w:hAnsi="Arial" w:cs="Arial"/>
          <w:color w:val="000000" w:themeColor="text1"/>
          <w:sz w:val="24"/>
          <w:szCs w:val="24"/>
        </w:rPr>
        <w:t>Christian Escotto-Rosado, Yuan Gao</w:t>
      </w:r>
    </w:p>
    <w:p w14:paraId="58F890B2" w14:textId="77777777" w:rsidR="00E62DD2" w:rsidRPr="00083184" w:rsidRDefault="00E30C54">
      <w:pPr>
        <w:pBdr>
          <w:top w:val="nil"/>
          <w:left w:val="nil"/>
          <w:bottom w:val="nil"/>
          <w:right w:val="nil"/>
          <w:between w:val="nil"/>
        </w:pBdr>
        <w:spacing w:after="0" w:line="240" w:lineRule="auto"/>
        <w:jc w:val="both"/>
        <w:rPr>
          <w:rFonts w:ascii="Arial" w:eastAsia="Arial" w:hAnsi="Arial" w:cs="Arial"/>
          <w:color w:val="000000" w:themeColor="text1"/>
          <w:sz w:val="24"/>
          <w:szCs w:val="24"/>
        </w:rPr>
      </w:pPr>
      <w:r w:rsidRPr="00083184">
        <w:rPr>
          <w:rFonts w:ascii="Arial" w:eastAsia="Arial" w:hAnsi="Arial" w:cs="Arial"/>
          <w:b/>
          <w:color w:val="000000" w:themeColor="text1"/>
          <w:sz w:val="24"/>
          <w:szCs w:val="24"/>
        </w:rPr>
        <w:t xml:space="preserve">Consumer Staples: </w:t>
      </w:r>
      <w:r w:rsidR="000277BF" w:rsidRPr="00083184">
        <w:rPr>
          <w:rFonts w:ascii="Arial" w:hAnsi="Arial" w:cs="Arial"/>
          <w:color w:val="000000" w:themeColor="text1"/>
          <w:sz w:val="24"/>
          <w:szCs w:val="24"/>
          <w:lang w:eastAsia="zh-CN"/>
        </w:rPr>
        <w:t>Jialian</w:t>
      </w:r>
      <w:r w:rsidRPr="00083184">
        <w:rPr>
          <w:rFonts w:ascii="Arial" w:eastAsia="Arial" w:hAnsi="Arial" w:cs="Arial"/>
          <w:color w:val="000000" w:themeColor="text1"/>
          <w:sz w:val="24"/>
          <w:szCs w:val="24"/>
        </w:rPr>
        <w:t xml:space="preserve"> Li, Lindsey Lozyniak</w:t>
      </w:r>
    </w:p>
    <w:p w14:paraId="52D3F081" w14:textId="77777777" w:rsidR="00E62DD2" w:rsidRPr="00083184" w:rsidRDefault="00E30C54">
      <w:pPr>
        <w:pBdr>
          <w:top w:val="nil"/>
          <w:left w:val="nil"/>
          <w:bottom w:val="nil"/>
          <w:right w:val="nil"/>
          <w:between w:val="nil"/>
        </w:pBdr>
        <w:spacing w:after="0" w:line="240" w:lineRule="auto"/>
        <w:jc w:val="both"/>
        <w:rPr>
          <w:rFonts w:ascii="Arial" w:eastAsia="Arial" w:hAnsi="Arial" w:cs="Arial"/>
          <w:color w:val="000000" w:themeColor="text1"/>
          <w:sz w:val="24"/>
          <w:szCs w:val="24"/>
        </w:rPr>
      </w:pPr>
      <w:r w:rsidRPr="00083184">
        <w:rPr>
          <w:rFonts w:ascii="Arial" w:eastAsia="Arial" w:hAnsi="Arial" w:cs="Arial"/>
          <w:b/>
          <w:color w:val="000000" w:themeColor="text1"/>
          <w:sz w:val="24"/>
          <w:szCs w:val="24"/>
        </w:rPr>
        <w:t xml:space="preserve">Financials: </w:t>
      </w:r>
      <w:r w:rsidRPr="00083184">
        <w:rPr>
          <w:rFonts w:ascii="Arial" w:eastAsia="Arial" w:hAnsi="Arial" w:cs="Arial"/>
          <w:color w:val="000000" w:themeColor="text1"/>
          <w:sz w:val="24"/>
          <w:szCs w:val="24"/>
        </w:rPr>
        <w:t xml:space="preserve">Karthik Gurusamy, Sijie Hu </w:t>
      </w:r>
    </w:p>
    <w:p w14:paraId="27BE57A9" w14:textId="77777777" w:rsidR="00E62DD2" w:rsidRPr="00083184" w:rsidRDefault="00E30C54">
      <w:pPr>
        <w:pBdr>
          <w:top w:val="nil"/>
          <w:left w:val="nil"/>
          <w:bottom w:val="nil"/>
          <w:right w:val="nil"/>
          <w:between w:val="nil"/>
        </w:pBdr>
        <w:spacing w:after="0" w:line="240" w:lineRule="auto"/>
        <w:jc w:val="both"/>
        <w:rPr>
          <w:rFonts w:ascii="Arial" w:eastAsia="Arial" w:hAnsi="Arial" w:cs="Arial"/>
          <w:color w:val="000000" w:themeColor="text1"/>
          <w:sz w:val="24"/>
          <w:szCs w:val="24"/>
        </w:rPr>
      </w:pPr>
      <w:r w:rsidRPr="00083184">
        <w:rPr>
          <w:rFonts w:ascii="Arial" w:eastAsia="Arial" w:hAnsi="Arial" w:cs="Arial"/>
          <w:b/>
          <w:color w:val="000000" w:themeColor="text1"/>
          <w:sz w:val="24"/>
          <w:szCs w:val="24"/>
        </w:rPr>
        <w:t>Energy:</w:t>
      </w:r>
      <w:r w:rsidRPr="00083184">
        <w:rPr>
          <w:rFonts w:ascii="Arial" w:eastAsia="Arial" w:hAnsi="Arial" w:cs="Arial"/>
          <w:color w:val="000000" w:themeColor="text1"/>
          <w:sz w:val="24"/>
          <w:szCs w:val="24"/>
        </w:rPr>
        <w:t xml:space="preserve"> Yuan Gao, Anshul Manglani</w:t>
      </w:r>
    </w:p>
    <w:p w14:paraId="4C35BD38" w14:textId="77777777" w:rsidR="00E62DD2" w:rsidRPr="00083184" w:rsidRDefault="00E30C54">
      <w:pPr>
        <w:pBdr>
          <w:top w:val="nil"/>
          <w:left w:val="nil"/>
          <w:bottom w:val="nil"/>
          <w:right w:val="nil"/>
          <w:between w:val="nil"/>
        </w:pBdr>
        <w:spacing w:after="0" w:line="240" w:lineRule="auto"/>
        <w:jc w:val="both"/>
        <w:rPr>
          <w:rFonts w:ascii="Arial" w:eastAsia="Arial" w:hAnsi="Arial" w:cs="Arial"/>
          <w:color w:val="000000" w:themeColor="text1"/>
          <w:sz w:val="24"/>
          <w:szCs w:val="24"/>
        </w:rPr>
      </w:pPr>
      <w:r w:rsidRPr="00083184">
        <w:rPr>
          <w:rFonts w:ascii="Arial" w:eastAsia="Arial" w:hAnsi="Arial" w:cs="Arial"/>
          <w:b/>
          <w:color w:val="000000" w:themeColor="text1"/>
          <w:sz w:val="24"/>
          <w:szCs w:val="24"/>
        </w:rPr>
        <w:t>Healthcare:  </w:t>
      </w:r>
      <w:r w:rsidRPr="00083184">
        <w:rPr>
          <w:rFonts w:ascii="Arial" w:eastAsia="Arial" w:hAnsi="Arial" w:cs="Arial"/>
          <w:color w:val="000000" w:themeColor="text1"/>
          <w:sz w:val="24"/>
          <w:szCs w:val="24"/>
        </w:rPr>
        <w:t>Sijie Hu,</w:t>
      </w:r>
      <w:r w:rsidRPr="00083184">
        <w:rPr>
          <w:rFonts w:ascii="Arial" w:eastAsia="Arial" w:hAnsi="Arial" w:cs="Arial"/>
          <w:b/>
          <w:color w:val="000000" w:themeColor="text1"/>
          <w:sz w:val="24"/>
          <w:szCs w:val="24"/>
        </w:rPr>
        <w:t xml:space="preserve"> </w:t>
      </w:r>
      <w:r w:rsidRPr="00083184">
        <w:rPr>
          <w:rFonts w:ascii="Arial" w:eastAsia="Arial" w:hAnsi="Arial" w:cs="Arial"/>
          <w:color w:val="000000" w:themeColor="text1"/>
          <w:sz w:val="24"/>
          <w:szCs w:val="24"/>
        </w:rPr>
        <w:t xml:space="preserve">Anshul Manglani, </w:t>
      </w:r>
    </w:p>
    <w:p w14:paraId="44A8EA7B" w14:textId="77777777" w:rsidR="00E62DD2" w:rsidRPr="00083184" w:rsidRDefault="00E30C54">
      <w:pPr>
        <w:pBdr>
          <w:top w:val="nil"/>
          <w:left w:val="nil"/>
          <w:bottom w:val="nil"/>
          <w:right w:val="nil"/>
          <w:between w:val="nil"/>
        </w:pBdr>
        <w:spacing w:after="0" w:line="240" w:lineRule="auto"/>
        <w:jc w:val="both"/>
        <w:rPr>
          <w:rFonts w:ascii="Arial" w:eastAsia="Arial" w:hAnsi="Arial" w:cs="Arial"/>
          <w:color w:val="000000" w:themeColor="text1"/>
          <w:sz w:val="24"/>
          <w:szCs w:val="24"/>
        </w:rPr>
      </w:pPr>
      <w:r w:rsidRPr="00083184">
        <w:rPr>
          <w:rFonts w:ascii="Arial" w:eastAsia="Arial" w:hAnsi="Arial" w:cs="Arial"/>
          <w:b/>
          <w:color w:val="000000" w:themeColor="text1"/>
          <w:sz w:val="24"/>
          <w:szCs w:val="24"/>
        </w:rPr>
        <w:t xml:space="preserve">Industrials: </w:t>
      </w:r>
      <w:r w:rsidRPr="00083184">
        <w:rPr>
          <w:rFonts w:ascii="Arial" w:eastAsia="Arial" w:hAnsi="Arial" w:cs="Arial"/>
          <w:color w:val="000000" w:themeColor="text1"/>
          <w:sz w:val="24"/>
          <w:szCs w:val="24"/>
        </w:rPr>
        <w:t>Chintan Shah, Di Yang</w:t>
      </w:r>
    </w:p>
    <w:p w14:paraId="1F38420F" w14:textId="77777777" w:rsidR="00E62DD2" w:rsidRPr="00083184" w:rsidRDefault="00E30C54">
      <w:pPr>
        <w:pBdr>
          <w:top w:val="nil"/>
          <w:left w:val="nil"/>
          <w:bottom w:val="nil"/>
          <w:right w:val="nil"/>
          <w:between w:val="nil"/>
        </w:pBdr>
        <w:spacing w:after="0" w:line="240" w:lineRule="auto"/>
        <w:jc w:val="both"/>
        <w:rPr>
          <w:rFonts w:ascii="Arial" w:eastAsia="Arial" w:hAnsi="Arial" w:cs="Arial"/>
          <w:color w:val="000000" w:themeColor="text1"/>
          <w:sz w:val="24"/>
          <w:szCs w:val="24"/>
        </w:rPr>
      </w:pPr>
      <w:r w:rsidRPr="00083184">
        <w:rPr>
          <w:rFonts w:ascii="Arial" w:eastAsia="Arial" w:hAnsi="Arial" w:cs="Arial"/>
          <w:b/>
          <w:color w:val="000000" w:themeColor="text1"/>
          <w:sz w:val="24"/>
          <w:szCs w:val="24"/>
        </w:rPr>
        <w:t xml:space="preserve">Information Technology: </w:t>
      </w:r>
      <w:r w:rsidRPr="00083184">
        <w:rPr>
          <w:rFonts w:ascii="Arial" w:eastAsia="Arial" w:hAnsi="Arial" w:cs="Arial"/>
          <w:color w:val="000000" w:themeColor="text1"/>
          <w:sz w:val="24"/>
          <w:szCs w:val="24"/>
        </w:rPr>
        <w:t>Jailian Li, Chintan Shah</w:t>
      </w:r>
    </w:p>
    <w:p w14:paraId="4C4AF6F7" w14:textId="77777777" w:rsidR="00E62DD2" w:rsidRPr="00083184" w:rsidRDefault="00E30C54">
      <w:pPr>
        <w:pBdr>
          <w:top w:val="nil"/>
          <w:left w:val="nil"/>
          <w:bottom w:val="nil"/>
          <w:right w:val="nil"/>
          <w:between w:val="nil"/>
        </w:pBdr>
        <w:spacing w:after="0" w:line="240" w:lineRule="auto"/>
        <w:jc w:val="both"/>
        <w:rPr>
          <w:rFonts w:ascii="Arial" w:eastAsia="Arial" w:hAnsi="Arial" w:cs="Arial"/>
          <w:color w:val="000000" w:themeColor="text1"/>
          <w:sz w:val="24"/>
          <w:szCs w:val="24"/>
        </w:rPr>
      </w:pPr>
      <w:r w:rsidRPr="00083184">
        <w:rPr>
          <w:rFonts w:ascii="Arial" w:eastAsia="Arial" w:hAnsi="Arial" w:cs="Arial"/>
          <w:b/>
          <w:color w:val="000000" w:themeColor="text1"/>
          <w:sz w:val="24"/>
          <w:szCs w:val="24"/>
        </w:rPr>
        <w:t xml:space="preserve">Real Estate: </w:t>
      </w:r>
      <w:r w:rsidRPr="00083184">
        <w:rPr>
          <w:rFonts w:ascii="Arial" w:eastAsia="Arial" w:hAnsi="Arial" w:cs="Arial"/>
          <w:color w:val="000000" w:themeColor="text1"/>
          <w:sz w:val="24"/>
          <w:szCs w:val="24"/>
        </w:rPr>
        <w:t>Christian Escotto-Rosado, Lindsey Lozyniak</w:t>
      </w:r>
    </w:p>
    <w:p w14:paraId="72F14070" w14:textId="77777777" w:rsidR="00E62DD2" w:rsidRPr="00083184" w:rsidRDefault="00E30C54" w:rsidP="008E7375">
      <w:pPr>
        <w:pBdr>
          <w:top w:val="nil"/>
          <w:left w:val="nil"/>
          <w:bottom w:val="nil"/>
          <w:right w:val="nil"/>
          <w:between w:val="nil"/>
        </w:pBdr>
        <w:spacing w:after="0" w:line="240" w:lineRule="auto"/>
        <w:jc w:val="both"/>
        <w:outlineLvl w:val="0"/>
        <w:rPr>
          <w:rFonts w:ascii="Arial" w:eastAsia="Arial" w:hAnsi="Arial" w:cs="Arial"/>
          <w:color w:val="000000" w:themeColor="text1"/>
          <w:sz w:val="24"/>
          <w:szCs w:val="24"/>
        </w:rPr>
      </w:pPr>
      <w:r w:rsidRPr="00083184">
        <w:rPr>
          <w:rFonts w:ascii="Arial" w:eastAsia="Arial" w:hAnsi="Arial" w:cs="Arial"/>
          <w:b/>
          <w:color w:val="000000" w:themeColor="text1"/>
          <w:sz w:val="24"/>
          <w:szCs w:val="24"/>
        </w:rPr>
        <w:t xml:space="preserve">Telecommunications: </w:t>
      </w:r>
      <w:r w:rsidRPr="00083184">
        <w:rPr>
          <w:rFonts w:ascii="Arial" w:eastAsia="Arial" w:hAnsi="Arial" w:cs="Arial"/>
          <w:color w:val="000000" w:themeColor="text1"/>
          <w:sz w:val="24"/>
          <w:szCs w:val="24"/>
        </w:rPr>
        <w:t>Christian Escotto-Rosado, Yuan Gao</w:t>
      </w:r>
    </w:p>
    <w:p w14:paraId="2C41F94E" w14:textId="77777777" w:rsidR="00E62DD2" w:rsidRPr="00083184" w:rsidRDefault="00E30C54">
      <w:pPr>
        <w:rPr>
          <w:rFonts w:ascii="Arial" w:eastAsia="Arial" w:hAnsi="Arial" w:cs="Arial"/>
          <w:color w:val="000000" w:themeColor="text1"/>
          <w:sz w:val="24"/>
          <w:szCs w:val="24"/>
        </w:rPr>
      </w:pPr>
      <w:r w:rsidRPr="00083184">
        <w:rPr>
          <w:rFonts w:ascii="Arial" w:eastAsia="Arial" w:hAnsi="Arial" w:cs="Arial"/>
          <w:b/>
          <w:color w:val="000000" w:themeColor="text1"/>
          <w:sz w:val="24"/>
          <w:szCs w:val="24"/>
        </w:rPr>
        <w:t xml:space="preserve">Utilities: </w:t>
      </w:r>
      <w:r w:rsidRPr="00083184">
        <w:rPr>
          <w:rFonts w:ascii="Arial" w:eastAsia="Arial" w:hAnsi="Arial" w:cs="Arial"/>
          <w:color w:val="000000" w:themeColor="text1"/>
          <w:sz w:val="24"/>
          <w:szCs w:val="24"/>
        </w:rPr>
        <w:t>Karthik Gurusamy, Di Yang</w:t>
      </w:r>
    </w:p>
    <w:p w14:paraId="7A05FF79" w14:textId="77777777" w:rsidR="001511CF" w:rsidRPr="00083184" w:rsidRDefault="001511CF" w:rsidP="001511CF">
      <w:pPr>
        <w:rPr>
          <w:rFonts w:ascii="Arial" w:eastAsia="Arial" w:hAnsi="Arial" w:cs="Arial"/>
          <w:color w:val="000000" w:themeColor="text1"/>
          <w:sz w:val="24"/>
          <w:szCs w:val="24"/>
        </w:rPr>
      </w:pPr>
      <w:r w:rsidRPr="00083184">
        <w:rPr>
          <w:rFonts w:ascii="Arial" w:eastAsia="Arial" w:hAnsi="Arial" w:cs="Arial"/>
          <w:color w:val="000000" w:themeColor="text1"/>
          <w:sz w:val="24"/>
          <w:szCs w:val="24"/>
        </w:rPr>
        <w:br w:type="page"/>
      </w:r>
    </w:p>
    <w:p w14:paraId="5326B280" w14:textId="77777777" w:rsidR="00966EE9" w:rsidRPr="00083184" w:rsidRDefault="00966EE9" w:rsidP="008E7375">
      <w:pPr>
        <w:spacing w:line="240" w:lineRule="auto"/>
        <w:outlineLvl w:val="0"/>
        <w:rPr>
          <w:rFonts w:ascii="Arial" w:eastAsia="Times New Roman" w:hAnsi="Arial" w:cs="Arial"/>
          <w:color w:val="000000" w:themeColor="text1"/>
          <w:sz w:val="24"/>
          <w:szCs w:val="24"/>
          <w:lang w:eastAsia="en-IN"/>
        </w:rPr>
      </w:pPr>
      <w:r w:rsidRPr="00083184">
        <w:rPr>
          <w:rFonts w:ascii="Arial" w:eastAsia="Times New Roman" w:hAnsi="Arial" w:cs="Arial"/>
          <w:b/>
          <w:bCs/>
          <w:color w:val="000000" w:themeColor="text1"/>
          <w:sz w:val="24"/>
          <w:szCs w:val="24"/>
          <w:u w:val="single"/>
          <w:lang w:eastAsia="en-IN"/>
        </w:rPr>
        <w:t>Portfolio Allocation</w:t>
      </w:r>
    </w:p>
    <w:p w14:paraId="0E9AC7EC" w14:textId="77777777" w:rsidR="00966EE9" w:rsidRPr="00083184" w:rsidRDefault="00966EE9" w:rsidP="00966EE9">
      <w:pPr>
        <w:spacing w:after="120" w:line="240" w:lineRule="auto"/>
        <w:jc w:val="both"/>
        <w:rPr>
          <w:rFonts w:ascii="Arial" w:eastAsia="Times New Roman" w:hAnsi="Arial" w:cs="Arial"/>
          <w:color w:val="000000" w:themeColor="text1"/>
          <w:sz w:val="24"/>
          <w:szCs w:val="24"/>
          <w:lang w:eastAsia="en-IN"/>
        </w:rPr>
      </w:pPr>
      <w:r w:rsidRPr="00083184">
        <w:rPr>
          <w:rFonts w:ascii="Arial" w:eastAsia="Times New Roman" w:hAnsi="Arial" w:cs="Arial"/>
          <w:color w:val="000000" w:themeColor="text1"/>
          <w:sz w:val="24"/>
          <w:szCs w:val="24"/>
          <w:lang w:eastAsia="en-IN"/>
        </w:rPr>
        <w:t>The chart below illustrates the portfolio allocation based on the market value of the securities as of November 30, 2018.</w:t>
      </w:r>
    </w:p>
    <w:p w14:paraId="62F46008" w14:textId="77777777" w:rsidR="001511CF" w:rsidRPr="00083184" w:rsidRDefault="00291F6B" w:rsidP="00966EE9">
      <w:pPr>
        <w:spacing w:after="120" w:line="240" w:lineRule="auto"/>
        <w:jc w:val="both"/>
        <w:rPr>
          <w:rFonts w:ascii="Arial" w:eastAsia="Times New Roman" w:hAnsi="Arial" w:cs="Arial"/>
          <w:color w:val="000000" w:themeColor="text1"/>
          <w:sz w:val="24"/>
          <w:szCs w:val="24"/>
          <w:lang w:eastAsia="en-IN"/>
        </w:rPr>
      </w:pPr>
      <w:r w:rsidRPr="00083184">
        <w:rPr>
          <w:noProof/>
          <w:color w:val="000000" w:themeColor="text1"/>
        </w:rPr>
        <w:drawing>
          <wp:anchor distT="0" distB="0" distL="114300" distR="114300" simplePos="0" relativeHeight="251666432" behindDoc="0" locked="0" layoutInCell="1" allowOverlap="1" wp14:anchorId="055FFACF" wp14:editId="4E258102">
            <wp:simplePos x="0" y="0"/>
            <wp:positionH relativeFrom="column">
              <wp:posOffset>692150</wp:posOffset>
            </wp:positionH>
            <wp:positionV relativeFrom="paragraph">
              <wp:posOffset>223520</wp:posOffset>
            </wp:positionV>
            <wp:extent cx="4553585" cy="3072765"/>
            <wp:effectExtent l="0" t="0" r="0" b="0"/>
            <wp:wrapSquare wrapText="bothSides"/>
            <wp:docPr id="1" name="Picture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BC39560-30D2-43E9-89F3-3E3821FEB8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BC39560-30D2-43E9-89F3-3E3821FEB85A}"/>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3585" cy="3072765"/>
                    </a:xfrm>
                    <a:prstGeom prst="rect">
                      <a:avLst/>
                    </a:prstGeom>
                    <a:noFill/>
                    <a:extLst/>
                  </pic:spPr>
                </pic:pic>
              </a:graphicData>
            </a:graphic>
            <wp14:sizeRelH relativeFrom="margin">
              <wp14:pctWidth>0</wp14:pctWidth>
            </wp14:sizeRelH>
            <wp14:sizeRelV relativeFrom="margin">
              <wp14:pctHeight>0</wp14:pctHeight>
            </wp14:sizeRelV>
          </wp:anchor>
        </w:drawing>
      </w:r>
    </w:p>
    <w:p w14:paraId="5414EEB1" w14:textId="77777777" w:rsidR="001511CF" w:rsidRPr="00083184" w:rsidRDefault="001511CF" w:rsidP="00057374">
      <w:pPr>
        <w:spacing w:after="120" w:line="240" w:lineRule="auto"/>
        <w:jc w:val="both"/>
        <w:rPr>
          <w:rFonts w:ascii="Arial" w:eastAsia="Times New Roman" w:hAnsi="Arial" w:cs="Arial"/>
          <w:color w:val="000000" w:themeColor="text1"/>
          <w:sz w:val="24"/>
          <w:szCs w:val="24"/>
          <w:lang w:eastAsia="en-IN"/>
        </w:rPr>
      </w:pPr>
    </w:p>
    <w:p w14:paraId="4215E9B2" w14:textId="77777777" w:rsidR="00966EE9" w:rsidRPr="00083184" w:rsidRDefault="00966EE9" w:rsidP="00057374">
      <w:pPr>
        <w:spacing w:after="0" w:line="240" w:lineRule="auto"/>
        <w:ind w:left="1440"/>
        <w:jc w:val="both"/>
        <w:rPr>
          <w:rFonts w:ascii="Arial" w:eastAsia="Times New Roman" w:hAnsi="Arial" w:cs="Arial"/>
          <w:color w:val="000000" w:themeColor="text1"/>
          <w:sz w:val="24"/>
          <w:szCs w:val="24"/>
          <w:lang w:eastAsia="en-IN"/>
        </w:rPr>
      </w:pPr>
    </w:p>
    <w:p w14:paraId="5DB332FF" w14:textId="77777777" w:rsidR="00966EE9" w:rsidRPr="00083184" w:rsidRDefault="00966EE9" w:rsidP="00966EE9">
      <w:pPr>
        <w:spacing w:after="0" w:line="240" w:lineRule="auto"/>
        <w:rPr>
          <w:rFonts w:ascii="Arial" w:eastAsia="Times New Roman" w:hAnsi="Arial" w:cs="Arial"/>
          <w:color w:val="000000" w:themeColor="text1"/>
          <w:sz w:val="24"/>
          <w:szCs w:val="24"/>
          <w:lang w:eastAsia="en-IN"/>
        </w:rPr>
      </w:pPr>
    </w:p>
    <w:p w14:paraId="3EB8389A" w14:textId="77777777" w:rsidR="00966EE9" w:rsidRPr="00083184" w:rsidRDefault="00966EE9" w:rsidP="001751C8">
      <w:pPr>
        <w:spacing w:after="0" w:line="240" w:lineRule="auto"/>
        <w:ind w:left="1440"/>
        <w:jc w:val="center"/>
        <w:rPr>
          <w:rFonts w:ascii="Arial" w:eastAsia="Times New Roman" w:hAnsi="Arial" w:cs="Arial"/>
          <w:color w:val="000000" w:themeColor="text1"/>
          <w:sz w:val="24"/>
          <w:szCs w:val="24"/>
          <w:lang w:eastAsia="en-IN"/>
        </w:rPr>
      </w:pPr>
    </w:p>
    <w:p w14:paraId="3C604F3A" w14:textId="77777777" w:rsidR="00966EE9" w:rsidRPr="00083184" w:rsidRDefault="00966EE9" w:rsidP="00966EE9">
      <w:pPr>
        <w:spacing w:after="0" w:line="240" w:lineRule="auto"/>
        <w:rPr>
          <w:rFonts w:ascii="Arial" w:eastAsia="Times New Roman" w:hAnsi="Arial" w:cs="Arial"/>
          <w:color w:val="000000" w:themeColor="text1"/>
          <w:sz w:val="24"/>
          <w:szCs w:val="24"/>
          <w:lang w:eastAsia="en-IN"/>
        </w:rPr>
      </w:pPr>
    </w:p>
    <w:p w14:paraId="55CC3165" w14:textId="77777777" w:rsidR="001511CF" w:rsidRPr="00083184" w:rsidRDefault="001511CF" w:rsidP="00966EE9">
      <w:pPr>
        <w:spacing w:line="240" w:lineRule="auto"/>
        <w:rPr>
          <w:rFonts w:ascii="Arial" w:eastAsia="Times New Roman" w:hAnsi="Arial" w:cs="Arial"/>
          <w:b/>
          <w:bCs/>
          <w:color w:val="000000" w:themeColor="text1"/>
          <w:sz w:val="24"/>
          <w:szCs w:val="24"/>
          <w:u w:val="single"/>
          <w:lang w:eastAsia="en-IN"/>
        </w:rPr>
      </w:pPr>
    </w:p>
    <w:p w14:paraId="158FDAEB" w14:textId="77777777" w:rsidR="001511CF" w:rsidRPr="00083184" w:rsidRDefault="001511CF" w:rsidP="00966EE9">
      <w:pPr>
        <w:spacing w:line="240" w:lineRule="auto"/>
        <w:rPr>
          <w:rFonts w:ascii="Arial" w:eastAsia="Times New Roman" w:hAnsi="Arial" w:cs="Arial"/>
          <w:b/>
          <w:bCs/>
          <w:color w:val="000000" w:themeColor="text1"/>
          <w:sz w:val="24"/>
          <w:szCs w:val="24"/>
          <w:u w:val="single"/>
          <w:lang w:eastAsia="en-IN"/>
        </w:rPr>
      </w:pPr>
    </w:p>
    <w:p w14:paraId="4ACE1A13" w14:textId="77777777" w:rsidR="001511CF" w:rsidRPr="00083184" w:rsidRDefault="001511CF" w:rsidP="00966EE9">
      <w:pPr>
        <w:spacing w:line="240" w:lineRule="auto"/>
        <w:rPr>
          <w:rFonts w:ascii="Arial" w:eastAsia="Times New Roman" w:hAnsi="Arial" w:cs="Arial"/>
          <w:b/>
          <w:bCs/>
          <w:color w:val="000000" w:themeColor="text1"/>
          <w:sz w:val="24"/>
          <w:szCs w:val="24"/>
          <w:u w:val="single"/>
          <w:lang w:eastAsia="en-IN"/>
        </w:rPr>
      </w:pPr>
    </w:p>
    <w:p w14:paraId="5FCB274A" w14:textId="77777777" w:rsidR="001511CF" w:rsidRPr="00083184" w:rsidRDefault="001511CF" w:rsidP="00966EE9">
      <w:pPr>
        <w:spacing w:line="240" w:lineRule="auto"/>
        <w:rPr>
          <w:rFonts w:ascii="Arial" w:eastAsia="Times New Roman" w:hAnsi="Arial" w:cs="Arial"/>
          <w:b/>
          <w:bCs/>
          <w:color w:val="000000" w:themeColor="text1"/>
          <w:sz w:val="24"/>
          <w:szCs w:val="24"/>
          <w:u w:val="single"/>
          <w:lang w:eastAsia="en-IN"/>
        </w:rPr>
      </w:pPr>
    </w:p>
    <w:p w14:paraId="0FAF1A4D" w14:textId="77777777" w:rsidR="001511CF" w:rsidRPr="00083184" w:rsidRDefault="001511CF" w:rsidP="00966EE9">
      <w:pPr>
        <w:spacing w:line="240" w:lineRule="auto"/>
        <w:rPr>
          <w:rFonts w:ascii="Arial" w:eastAsia="Times New Roman" w:hAnsi="Arial" w:cs="Arial"/>
          <w:b/>
          <w:bCs/>
          <w:color w:val="000000" w:themeColor="text1"/>
          <w:sz w:val="24"/>
          <w:szCs w:val="24"/>
          <w:u w:val="single"/>
          <w:lang w:eastAsia="en-IN"/>
        </w:rPr>
      </w:pPr>
    </w:p>
    <w:p w14:paraId="4B90BC56" w14:textId="77777777" w:rsidR="001511CF" w:rsidRPr="00083184" w:rsidRDefault="001511CF" w:rsidP="00966EE9">
      <w:pPr>
        <w:spacing w:line="240" w:lineRule="auto"/>
        <w:rPr>
          <w:rFonts w:ascii="Arial" w:eastAsia="Times New Roman" w:hAnsi="Arial" w:cs="Arial"/>
          <w:b/>
          <w:bCs/>
          <w:color w:val="000000" w:themeColor="text1"/>
          <w:sz w:val="24"/>
          <w:szCs w:val="24"/>
          <w:u w:val="single"/>
          <w:lang w:eastAsia="en-IN"/>
        </w:rPr>
      </w:pPr>
    </w:p>
    <w:p w14:paraId="0A960A35" w14:textId="77777777" w:rsidR="00090643" w:rsidRPr="00083184" w:rsidRDefault="00090643" w:rsidP="00966EE9">
      <w:pPr>
        <w:spacing w:line="240" w:lineRule="auto"/>
        <w:rPr>
          <w:rFonts w:ascii="Arial" w:eastAsia="Times New Roman" w:hAnsi="Arial" w:cs="Arial"/>
          <w:b/>
          <w:bCs/>
          <w:color w:val="000000" w:themeColor="text1"/>
          <w:sz w:val="24"/>
          <w:szCs w:val="24"/>
          <w:u w:val="single"/>
          <w:lang w:eastAsia="en-IN"/>
        </w:rPr>
      </w:pPr>
    </w:p>
    <w:p w14:paraId="39125A5D" w14:textId="77777777" w:rsidR="001511CF" w:rsidRPr="00083184" w:rsidRDefault="00057374" w:rsidP="00966EE9">
      <w:pPr>
        <w:spacing w:line="240" w:lineRule="auto"/>
        <w:rPr>
          <w:rFonts w:ascii="Arial" w:eastAsia="Times New Roman" w:hAnsi="Arial" w:cs="Arial"/>
          <w:b/>
          <w:bCs/>
          <w:color w:val="000000" w:themeColor="text1"/>
          <w:sz w:val="24"/>
          <w:szCs w:val="24"/>
          <w:u w:val="single"/>
          <w:lang w:eastAsia="en-IN"/>
        </w:rPr>
      </w:pPr>
      <w:r w:rsidRPr="00083184">
        <w:rPr>
          <w:rFonts w:ascii="Arial" w:eastAsia="Times New Roman" w:hAnsi="Arial" w:cs="Arial"/>
          <w:noProof/>
          <w:color w:val="000000" w:themeColor="text1"/>
          <w:sz w:val="24"/>
          <w:szCs w:val="24"/>
        </w:rPr>
        <w:drawing>
          <wp:anchor distT="0" distB="0" distL="114300" distR="114300" simplePos="0" relativeHeight="251659776" behindDoc="1" locked="0" layoutInCell="1" allowOverlap="1" wp14:anchorId="0FD31135" wp14:editId="2F47CBD0">
            <wp:simplePos x="0" y="0"/>
            <wp:positionH relativeFrom="page">
              <wp:align>center</wp:align>
            </wp:positionH>
            <wp:positionV relativeFrom="paragraph">
              <wp:posOffset>309746</wp:posOffset>
            </wp:positionV>
            <wp:extent cx="4553712" cy="2953512"/>
            <wp:effectExtent l="0" t="0" r="5715" b="5715"/>
            <wp:wrapTight wrapText="bothSides">
              <wp:wrapPolygon edited="0">
                <wp:start x="0" y="0"/>
                <wp:lineTo x="0" y="21549"/>
                <wp:lineTo x="21567" y="21549"/>
                <wp:lineTo x="21567" y="0"/>
                <wp:lineTo x="0" y="0"/>
              </wp:wrapPolygon>
            </wp:wrapTight>
            <wp:docPr id="10" name="Picture 10" descr="https://lh4.googleusercontent.com/ZZt1X4hKywaijYhFCDc9RDnDMDSltkAMbA9L2PkqgyjtCwLL7m8Zs41RVkDCuK1s_87cGk-5cly3VRY3SyGNFoMJcT6UgtFPC1ATvW5uoQeaX7Y8OH1x_4vrL3WGPMwsrL0-sy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ZZt1X4hKywaijYhFCDc9RDnDMDSltkAMbA9L2PkqgyjtCwLL7m8Zs41RVkDCuK1s_87cGk-5cly3VRY3SyGNFoMJcT6UgtFPC1ATvW5uoQeaX7Y8OH1x_4vrL3WGPMwsrL0-syI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53712" cy="29535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163BA" w14:textId="77777777" w:rsidR="00057374" w:rsidRPr="00083184" w:rsidRDefault="00057374">
      <w:pPr>
        <w:rPr>
          <w:rFonts w:ascii="Arial" w:eastAsia="Times New Roman" w:hAnsi="Arial" w:cs="Arial"/>
          <w:b/>
          <w:bCs/>
          <w:color w:val="000000" w:themeColor="text1"/>
          <w:sz w:val="24"/>
          <w:szCs w:val="24"/>
          <w:u w:val="single"/>
          <w:lang w:eastAsia="en-IN"/>
        </w:rPr>
      </w:pPr>
      <w:r w:rsidRPr="00083184">
        <w:rPr>
          <w:rFonts w:ascii="Arial" w:eastAsia="Times New Roman" w:hAnsi="Arial" w:cs="Arial"/>
          <w:b/>
          <w:bCs/>
          <w:color w:val="000000" w:themeColor="text1"/>
          <w:sz w:val="24"/>
          <w:szCs w:val="24"/>
          <w:u w:val="single"/>
          <w:lang w:eastAsia="en-IN"/>
        </w:rPr>
        <w:br w:type="page"/>
      </w:r>
    </w:p>
    <w:p w14:paraId="6BFB840D" w14:textId="77777777" w:rsidR="00966EE9" w:rsidRPr="00083184" w:rsidRDefault="001751C8" w:rsidP="008E7375">
      <w:pPr>
        <w:spacing w:line="240" w:lineRule="auto"/>
        <w:outlineLvl w:val="0"/>
        <w:rPr>
          <w:rFonts w:ascii="Arial" w:eastAsia="Times New Roman" w:hAnsi="Arial" w:cs="Arial"/>
          <w:color w:val="000000" w:themeColor="text1"/>
          <w:sz w:val="24"/>
          <w:szCs w:val="24"/>
          <w:lang w:eastAsia="en-IN"/>
        </w:rPr>
      </w:pPr>
      <w:r w:rsidRPr="00083184">
        <w:rPr>
          <w:rFonts w:ascii="Arial" w:eastAsia="Times New Roman" w:hAnsi="Arial" w:cs="Arial"/>
          <w:b/>
          <w:bCs/>
          <w:color w:val="000000" w:themeColor="text1"/>
          <w:sz w:val="24"/>
          <w:szCs w:val="24"/>
          <w:u w:val="single"/>
          <w:lang w:eastAsia="en-IN"/>
        </w:rPr>
        <w:t xml:space="preserve">Portfolio </w:t>
      </w:r>
      <w:r w:rsidR="00966EE9" w:rsidRPr="00083184">
        <w:rPr>
          <w:rFonts w:ascii="Arial" w:eastAsia="Times New Roman" w:hAnsi="Arial" w:cs="Arial"/>
          <w:b/>
          <w:bCs/>
          <w:color w:val="000000" w:themeColor="text1"/>
          <w:sz w:val="24"/>
          <w:szCs w:val="24"/>
          <w:u w:val="single"/>
          <w:lang w:eastAsia="en-IN"/>
        </w:rPr>
        <w:t>Performance</w:t>
      </w:r>
    </w:p>
    <w:p w14:paraId="2B05CA61" w14:textId="77777777" w:rsidR="00966EE9" w:rsidRPr="00083184" w:rsidRDefault="00966EE9" w:rsidP="00966EE9">
      <w:pPr>
        <w:spacing w:after="0" w:line="240" w:lineRule="auto"/>
        <w:jc w:val="both"/>
        <w:rPr>
          <w:rFonts w:ascii="Arial" w:eastAsia="Times New Roman" w:hAnsi="Arial" w:cs="Arial"/>
          <w:color w:val="000000" w:themeColor="text1"/>
          <w:sz w:val="24"/>
          <w:szCs w:val="24"/>
          <w:lang w:eastAsia="en-IN"/>
        </w:rPr>
      </w:pPr>
      <w:r w:rsidRPr="00083184">
        <w:rPr>
          <w:rFonts w:ascii="Arial" w:eastAsia="Times New Roman" w:hAnsi="Arial" w:cs="Arial"/>
          <w:color w:val="000000" w:themeColor="text1"/>
          <w:sz w:val="24"/>
          <w:szCs w:val="24"/>
          <w:lang w:eastAsia="en-IN"/>
        </w:rPr>
        <w:t xml:space="preserve">The tables below depict </w:t>
      </w:r>
      <w:r w:rsidR="00221BCE" w:rsidRPr="00083184">
        <w:rPr>
          <w:rFonts w:ascii="Arial" w:eastAsia="Times New Roman" w:hAnsi="Arial" w:cs="Arial"/>
          <w:color w:val="000000" w:themeColor="text1"/>
          <w:sz w:val="24"/>
          <w:szCs w:val="24"/>
          <w:lang w:eastAsia="en-IN"/>
        </w:rPr>
        <w:t>our</w:t>
      </w:r>
      <w:r w:rsidRPr="00083184">
        <w:rPr>
          <w:rFonts w:ascii="Arial" w:eastAsia="Times New Roman" w:hAnsi="Arial" w:cs="Arial"/>
          <w:color w:val="000000" w:themeColor="text1"/>
          <w:sz w:val="24"/>
          <w:szCs w:val="24"/>
          <w:lang w:eastAsia="en-IN"/>
        </w:rPr>
        <w:t xml:space="preserve"> portfolio performance </w:t>
      </w:r>
      <w:r w:rsidR="00221BCE" w:rsidRPr="00083184">
        <w:rPr>
          <w:rFonts w:ascii="Arial" w:eastAsia="Times New Roman" w:hAnsi="Arial" w:cs="Arial"/>
          <w:color w:val="000000" w:themeColor="text1"/>
          <w:sz w:val="24"/>
          <w:szCs w:val="24"/>
          <w:lang w:eastAsia="en-IN"/>
        </w:rPr>
        <w:t>from</w:t>
      </w:r>
      <w:r w:rsidRPr="00083184">
        <w:rPr>
          <w:rFonts w:ascii="Arial" w:eastAsia="Times New Roman" w:hAnsi="Arial" w:cs="Arial"/>
          <w:color w:val="000000" w:themeColor="text1"/>
          <w:sz w:val="24"/>
          <w:szCs w:val="24"/>
          <w:lang w:eastAsia="en-IN"/>
        </w:rPr>
        <w:t xml:space="preserve"> Oct</w:t>
      </w:r>
      <w:r w:rsidR="00090643" w:rsidRPr="00083184">
        <w:rPr>
          <w:rFonts w:ascii="Arial" w:eastAsia="Times New Roman" w:hAnsi="Arial" w:cs="Arial"/>
          <w:color w:val="000000" w:themeColor="text1"/>
          <w:sz w:val="24"/>
          <w:szCs w:val="24"/>
          <w:lang w:eastAsia="en-IN"/>
        </w:rPr>
        <w:t xml:space="preserve"> 16,</w:t>
      </w:r>
      <w:r w:rsidR="00221BCE" w:rsidRPr="00083184">
        <w:rPr>
          <w:rFonts w:ascii="Arial" w:eastAsia="Times New Roman" w:hAnsi="Arial" w:cs="Arial"/>
          <w:color w:val="000000" w:themeColor="text1"/>
          <w:sz w:val="24"/>
          <w:szCs w:val="24"/>
          <w:lang w:eastAsia="en-IN"/>
        </w:rPr>
        <w:t xml:space="preserve"> </w:t>
      </w:r>
      <w:r w:rsidRPr="00083184">
        <w:rPr>
          <w:rFonts w:ascii="Arial" w:eastAsia="Times New Roman" w:hAnsi="Arial" w:cs="Arial"/>
          <w:color w:val="000000" w:themeColor="text1"/>
          <w:sz w:val="24"/>
          <w:szCs w:val="24"/>
          <w:lang w:eastAsia="en-IN"/>
        </w:rPr>
        <w:t>2018 to No</w:t>
      </w:r>
      <w:r w:rsidR="00E15BDF" w:rsidRPr="00083184">
        <w:rPr>
          <w:rFonts w:ascii="Arial" w:eastAsia="Times New Roman" w:hAnsi="Arial" w:cs="Arial"/>
          <w:color w:val="000000" w:themeColor="text1"/>
          <w:sz w:val="24"/>
          <w:szCs w:val="24"/>
          <w:lang w:eastAsia="en-IN"/>
        </w:rPr>
        <w:t>v</w:t>
      </w:r>
      <w:r w:rsidR="00090643" w:rsidRPr="00083184">
        <w:rPr>
          <w:rFonts w:ascii="Arial" w:eastAsia="Times New Roman" w:hAnsi="Arial" w:cs="Arial"/>
          <w:color w:val="000000" w:themeColor="text1"/>
          <w:sz w:val="24"/>
          <w:szCs w:val="24"/>
          <w:lang w:eastAsia="en-IN"/>
        </w:rPr>
        <w:t xml:space="preserve"> 30,</w:t>
      </w:r>
      <w:r w:rsidR="00057374" w:rsidRPr="00083184">
        <w:rPr>
          <w:rFonts w:ascii="Arial" w:eastAsia="Times New Roman" w:hAnsi="Arial" w:cs="Arial"/>
          <w:color w:val="000000" w:themeColor="text1"/>
          <w:sz w:val="24"/>
          <w:szCs w:val="24"/>
          <w:lang w:eastAsia="en-IN"/>
        </w:rPr>
        <w:t xml:space="preserve"> 2018:</w:t>
      </w:r>
    </w:p>
    <w:p w14:paraId="1831B532" w14:textId="77777777" w:rsidR="00E15BDF" w:rsidRPr="00083184" w:rsidRDefault="00E15BDF" w:rsidP="001751C8">
      <w:pPr>
        <w:spacing w:after="0" w:line="240" w:lineRule="auto"/>
        <w:jc w:val="center"/>
        <w:rPr>
          <w:rFonts w:ascii="Arial" w:eastAsia="Times New Roman" w:hAnsi="Arial" w:cs="Arial"/>
          <w:b/>
          <w:color w:val="000000" w:themeColor="text1"/>
          <w:sz w:val="24"/>
          <w:szCs w:val="24"/>
          <w:lang w:eastAsia="en-IN"/>
        </w:rPr>
      </w:pPr>
    </w:p>
    <w:p w14:paraId="4600FD5B" w14:textId="77777777" w:rsidR="00057374" w:rsidRPr="00083184" w:rsidRDefault="00057374" w:rsidP="00057374">
      <w:pPr>
        <w:spacing w:after="0" w:line="240" w:lineRule="auto"/>
        <w:rPr>
          <w:rFonts w:ascii="Arial" w:eastAsia="Times New Roman" w:hAnsi="Arial" w:cs="Arial"/>
          <w:b/>
          <w:color w:val="000000" w:themeColor="text1"/>
          <w:sz w:val="24"/>
          <w:szCs w:val="24"/>
          <w:lang w:eastAsia="en-IN"/>
        </w:rPr>
      </w:pPr>
    </w:p>
    <w:p w14:paraId="2F045CC2" w14:textId="77777777" w:rsidR="00966EE9" w:rsidRPr="00083184" w:rsidRDefault="00966EE9" w:rsidP="008E7375">
      <w:pPr>
        <w:spacing w:after="0" w:line="240" w:lineRule="auto"/>
        <w:jc w:val="center"/>
        <w:outlineLvl w:val="0"/>
        <w:rPr>
          <w:rFonts w:ascii="Arial" w:eastAsia="Times New Roman" w:hAnsi="Arial" w:cs="Arial"/>
          <w:b/>
          <w:color w:val="000000" w:themeColor="text1"/>
          <w:sz w:val="24"/>
          <w:szCs w:val="24"/>
          <w:u w:val="single"/>
          <w:lang w:eastAsia="en-IN"/>
        </w:rPr>
      </w:pPr>
      <w:r w:rsidRPr="00083184">
        <w:rPr>
          <w:rFonts w:ascii="Arial" w:eastAsia="Times New Roman" w:hAnsi="Arial" w:cs="Arial"/>
          <w:b/>
          <w:color w:val="000000" w:themeColor="text1"/>
          <w:sz w:val="24"/>
          <w:szCs w:val="24"/>
          <w:u w:val="single"/>
          <w:lang w:eastAsia="en-IN"/>
        </w:rPr>
        <w:t>Total Portfolio Unrealized Gains/(Losses)</w:t>
      </w:r>
    </w:p>
    <w:p w14:paraId="55674A01" w14:textId="77777777" w:rsidR="001511CF" w:rsidRPr="00083184" w:rsidRDefault="001511CF" w:rsidP="001751C8">
      <w:pPr>
        <w:spacing w:after="0" w:line="240" w:lineRule="auto"/>
        <w:jc w:val="center"/>
        <w:rPr>
          <w:rFonts w:ascii="Arial" w:eastAsia="Times New Roman" w:hAnsi="Arial" w:cs="Arial"/>
          <w:b/>
          <w:color w:val="000000" w:themeColor="text1"/>
          <w:sz w:val="24"/>
          <w:szCs w:val="24"/>
          <w:lang w:eastAsia="en-IN"/>
        </w:rPr>
      </w:pPr>
    </w:p>
    <w:p w14:paraId="768EE5CC" w14:textId="77777777" w:rsidR="00966EE9" w:rsidRPr="00083184" w:rsidRDefault="00966EE9" w:rsidP="001751C8">
      <w:pPr>
        <w:spacing w:after="0" w:line="240" w:lineRule="auto"/>
        <w:jc w:val="center"/>
        <w:rPr>
          <w:rFonts w:ascii="Arial" w:eastAsia="Times New Roman" w:hAnsi="Arial" w:cs="Arial"/>
          <w:color w:val="000000" w:themeColor="text1"/>
          <w:sz w:val="24"/>
          <w:szCs w:val="24"/>
          <w:lang w:eastAsia="en-IN"/>
        </w:rPr>
      </w:pPr>
      <w:r w:rsidRPr="00083184">
        <w:rPr>
          <w:rFonts w:ascii="Arial" w:eastAsia="Times New Roman" w:hAnsi="Arial" w:cs="Arial"/>
          <w:noProof/>
          <w:color w:val="000000" w:themeColor="text1"/>
          <w:sz w:val="24"/>
          <w:szCs w:val="24"/>
        </w:rPr>
        <w:drawing>
          <wp:inline distT="0" distB="0" distL="0" distR="0" wp14:anchorId="7062AED2" wp14:editId="14D99A57">
            <wp:extent cx="4307307" cy="1443790"/>
            <wp:effectExtent l="0" t="0" r="0" b="4445"/>
            <wp:docPr id="8" name="Picture 8" descr="https://lh3.googleusercontent.com/Bj26lZjE8ONB-0YK3LO-aug_2d36n_b74rrdJSS-VVirW1jsqEiYP3C5J4I3lLfURaoDKwpKZx0cP6KQjCPlNQkT74f-VljHn_xGuoLTBdfEykM_t3I4aN6TG344xzCqptNMdK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Bj26lZjE8ONB-0YK3LO-aug_2d36n_b74rrdJSS-VVirW1jsqEiYP3C5J4I3lLfURaoDKwpKZx0cP6KQjCPlNQkT74f-VljHn_xGuoLTBdfEykM_t3I4aN6TG344xzCqptNMdKF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7307" cy="1443790"/>
                    </a:xfrm>
                    <a:prstGeom prst="rect">
                      <a:avLst/>
                    </a:prstGeom>
                    <a:noFill/>
                    <a:ln>
                      <a:noFill/>
                    </a:ln>
                  </pic:spPr>
                </pic:pic>
              </a:graphicData>
            </a:graphic>
          </wp:inline>
        </w:drawing>
      </w:r>
    </w:p>
    <w:p w14:paraId="6312B05A" w14:textId="77777777" w:rsidR="00966EE9" w:rsidRPr="00083184" w:rsidRDefault="00966EE9" w:rsidP="00966EE9">
      <w:pPr>
        <w:spacing w:after="0" w:line="240" w:lineRule="auto"/>
        <w:rPr>
          <w:rFonts w:ascii="Arial" w:eastAsia="Times New Roman" w:hAnsi="Arial" w:cs="Arial"/>
          <w:color w:val="000000" w:themeColor="text1"/>
          <w:sz w:val="24"/>
          <w:szCs w:val="24"/>
          <w:lang w:eastAsia="en-IN"/>
        </w:rPr>
      </w:pPr>
    </w:p>
    <w:p w14:paraId="5F04669A" w14:textId="77777777" w:rsidR="00966EE9" w:rsidRPr="00083184" w:rsidRDefault="00966EE9" w:rsidP="001751C8">
      <w:pPr>
        <w:spacing w:after="0" w:line="240" w:lineRule="auto"/>
        <w:jc w:val="center"/>
        <w:rPr>
          <w:rFonts w:ascii="Arial" w:eastAsia="Times New Roman" w:hAnsi="Arial" w:cs="Arial"/>
          <w:color w:val="000000" w:themeColor="text1"/>
          <w:sz w:val="24"/>
          <w:szCs w:val="24"/>
          <w:lang w:eastAsia="en-IN"/>
        </w:rPr>
      </w:pPr>
      <w:r w:rsidRPr="00083184">
        <w:rPr>
          <w:rFonts w:ascii="Arial" w:eastAsia="Times New Roman" w:hAnsi="Arial" w:cs="Arial"/>
          <w:noProof/>
          <w:color w:val="000000" w:themeColor="text1"/>
          <w:sz w:val="24"/>
          <w:szCs w:val="24"/>
        </w:rPr>
        <w:drawing>
          <wp:inline distT="0" distB="0" distL="0" distR="0" wp14:anchorId="7B02AC61" wp14:editId="309C0EF5">
            <wp:extent cx="2987341" cy="909191"/>
            <wp:effectExtent l="0" t="0" r="0" b="5715"/>
            <wp:docPr id="7" name="Picture 7" descr="https://lh4.googleusercontent.com/XoBnsjy0Q4HlsSSyWnDDmhqBooW30JsilVyJbb6_swhgPyU29fGzG4078th3urOXZylC69VYDkC-oY_zP5q1Io40qgGq6IpR32_SrMVEWUjtIXilAvQgLcNy4TO6xYFIyhs01i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XoBnsjy0Q4HlsSSyWnDDmhqBooW30JsilVyJbb6_swhgPyU29fGzG4078th3urOXZylC69VYDkC-oY_zP5q1Io40qgGq6IpR32_SrMVEWUjtIXilAvQgLcNy4TO6xYFIyhs01ik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0427" cy="934478"/>
                    </a:xfrm>
                    <a:prstGeom prst="rect">
                      <a:avLst/>
                    </a:prstGeom>
                    <a:noFill/>
                    <a:ln>
                      <a:noFill/>
                    </a:ln>
                  </pic:spPr>
                </pic:pic>
              </a:graphicData>
            </a:graphic>
          </wp:inline>
        </w:drawing>
      </w:r>
    </w:p>
    <w:p w14:paraId="46E11017" w14:textId="77777777" w:rsidR="00221BCE" w:rsidRPr="00083184" w:rsidRDefault="00221BCE" w:rsidP="00966EE9">
      <w:pPr>
        <w:spacing w:after="0" w:line="240" w:lineRule="auto"/>
        <w:jc w:val="both"/>
        <w:rPr>
          <w:rFonts w:ascii="Arial" w:eastAsia="Times New Roman" w:hAnsi="Arial" w:cs="Arial"/>
          <w:color w:val="000000" w:themeColor="text1"/>
          <w:sz w:val="24"/>
          <w:szCs w:val="24"/>
          <w:lang w:eastAsia="en-IN"/>
        </w:rPr>
      </w:pPr>
    </w:p>
    <w:p w14:paraId="43331CA5" w14:textId="77777777" w:rsidR="00057374" w:rsidRPr="00083184" w:rsidRDefault="00057374" w:rsidP="00966EE9">
      <w:pPr>
        <w:spacing w:after="0" w:line="240" w:lineRule="auto"/>
        <w:jc w:val="both"/>
        <w:rPr>
          <w:rFonts w:ascii="Arial" w:eastAsia="Times New Roman" w:hAnsi="Arial" w:cs="Arial"/>
          <w:color w:val="000000" w:themeColor="text1"/>
          <w:sz w:val="24"/>
          <w:szCs w:val="24"/>
          <w:lang w:eastAsia="en-IN"/>
        </w:rPr>
      </w:pPr>
    </w:p>
    <w:p w14:paraId="1ADEBB10" w14:textId="053DFA65" w:rsidR="00966EE9" w:rsidRPr="00083184" w:rsidRDefault="2561298F" w:rsidP="2561298F">
      <w:pPr>
        <w:spacing w:after="0" w:line="240" w:lineRule="auto"/>
        <w:jc w:val="both"/>
        <w:rPr>
          <w:rFonts w:ascii="Arial" w:eastAsia="Times New Roman" w:hAnsi="Arial" w:cs="Arial"/>
          <w:color w:val="000000" w:themeColor="text1"/>
          <w:sz w:val="24"/>
          <w:szCs w:val="24"/>
          <w:lang w:eastAsia="en-IN"/>
        </w:rPr>
      </w:pPr>
      <w:r w:rsidRPr="00083184">
        <w:rPr>
          <w:rFonts w:ascii="Arial" w:eastAsia="Times New Roman" w:hAnsi="Arial" w:cs="Arial"/>
          <w:color w:val="000000" w:themeColor="text1"/>
          <w:sz w:val="24"/>
          <w:szCs w:val="24"/>
          <w:lang w:eastAsia="en-IN"/>
        </w:rPr>
        <w:t>Our portfolio has outperformed S&amp;P 500 during this period. As our investment horizon is 10 years, and we are more focused on analyzing and investing in companies that are selling at discount to their intrinsic value.</w:t>
      </w:r>
    </w:p>
    <w:p w14:paraId="6DBB1579" w14:textId="77777777" w:rsidR="00057374" w:rsidRPr="00083184" w:rsidRDefault="00057374" w:rsidP="00221BCE">
      <w:pPr>
        <w:spacing w:after="0" w:line="240" w:lineRule="auto"/>
        <w:jc w:val="center"/>
        <w:rPr>
          <w:rFonts w:ascii="Arial" w:eastAsia="Times New Roman" w:hAnsi="Arial" w:cs="Arial"/>
          <w:b/>
          <w:color w:val="000000" w:themeColor="text1"/>
          <w:sz w:val="24"/>
          <w:szCs w:val="24"/>
          <w:lang w:eastAsia="en-IN"/>
        </w:rPr>
      </w:pPr>
    </w:p>
    <w:p w14:paraId="3D33B9CB" w14:textId="77777777" w:rsidR="00057374" w:rsidRPr="00083184" w:rsidRDefault="00057374" w:rsidP="00221BCE">
      <w:pPr>
        <w:spacing w:after="0" w:line="240" w:lineRule="auto"/>
        <w:jc w:val="center"/>
        <w:rPr>
          <w:rFonts w:ascii="Arial" w:eastAsia="Times New Roman" w:hAnsi="Arial" w:cs="Arial"/>
          <w:b/>
          <w:color w:val="000000" w:themeColor="text1"/>
          <w:sz w:val="24"/>
          <w:szCs w:val="24"/>
          <w:lang w:eastAsia="en-IN"/>
        </w:rPr>
      </w:pPr>
    </w:p>
    <w:p w14:paraId="046B7DE3" w14:textId="77777777" w:rsidR="00966EE9" w:rsidRPr="00083184" w:rsidRDefault="00966EE9" w:rsidP="008E7375">
      <w:pPr>
        <w:spacing w:after="0" w:line="240" w:lineRule="auto"/>
        <w:jc w:val="center"/>
        <w:outlineLvl w:val="0"/>
        <w:rPr>
          <w:rFonts w:ascii="Arial" w:eastAsia="Times New Roman" w:hAnsi="Arial" w:cs="Arial"/>
          <w:b/>
          <w:color w:val="000000" w:themeColor="text1"/>
          <w:sz w:val="24"/>
          <w:szCs w:val="24"/>
          <w:u w:val="single"/>
          <w:lang w:eastAsia="en-IN"/>
        </w:rPr>
      </w:pPr>
      <w:r w:rsidRPr="00083184">
        <w:rPr>
          <w:rFonts w:ascii="Arial" w:eastAsia="Times New Roman" w:hAnsi="Arial" w:cs="Arial"/>
          <w:b/>
          <w:color w:val="000000" w:themeColor="text1"/>
          <w:sz w:val="24"/>
          <w:szCs w:val="24"/>
          <w:u w:val="single"/>
          <w:lang w:eastAsia="en-IN"/>
        </w:rPr>
        <w:t>Portfolio Unrealized Gains/(Losses)</w:t>
      </w:r>
    </w:p>
    <w:p w14:paraId="2AC9187A" w14:textId="77777777" w:rsidR="00057374" w:rsidRPr="00083184" w:rsidRDefault="00057374" w:rsidP="00221BCE">
      <w:pPr>
        <w:spacing w:after="0" w:line="240" w:lineRule="auto"/>
        <w:jc w:val="center"/>
        <w:rPr>
          <w:rFonts w:ascii="Arial" w:eastAsia="Times New Roman" w:hAnsi="Arial" w:cs="Arial"/>
          <w:b/>
          <w:color w:val="000000" w:themeColor="text1"/>
          <w:sz w:val="24"/>
          <w:szCs w:val="24"/>
          <w:u w:val="single"/>
          <w:lang w:eastAsia="en-IN"/>
        </w:rPr>
      </w:pPr>
    </w:p>
    <w:p w14:paraId="7FBCBDD5" w14:textId="77777777" w:rsidR="00966EE9" w:rsidRPr="00083184" w:rsidRDefault="00966EE9" w:rsidP="00221BCE">
      <w:pPr>
        <w:spacing w:after="0" w:line="240" w:lineRule="auto"/>
        <w:jc w:val="center"/>
        <w:rPr>
          <w:rFonts w:ascii="Arial" w:eastAsia="Times New Roman" w:hAnsi="Arial" w:cs="Arial"/>
          <w:color w:val="000000" w:themeColor="text1"/>
          <w:sz w:val="24"/>
          <w:szCs w:val="24"/>
          <w:lang w:eastAsia="en-IN"/>
        </w:rPr>
      </w:pPr>
      <w:r w:rsidRPr="00083184">
        <w:rPr>
          <w:rFonts w:ascii="Arial" w:eastAsia="Times New Roman" w:hAnsi="Arial" w:cs="Arial"/>
          <w:noProof/>
          <w:color w:val="000000" w:themeColor="text1"/>
          <w:sz w:val="24"/>
          <w:szCs w:val="24"/>
        </w:rPr>
        <w:drawing>
          <wp:inline distT="0" distB="0" distL="0" distR="0" wp14:anchorId="6DF6A172" wp14:editId="299C8774">
            <wp:extent cx="3409950" cy="1962150"/>
            <wp:effectExtent l="0" t="0" r="0" b="0"/>
            <wp:docPr id="6" name="Picture 6" descr="https://lh6.googleusercontent.com/sNXrafLUmYO6dL9xyVqZ2k-5CAO3IlQfHpeMOl3OyJxdluShHHbsX1Qcz2phfBgvpzfZqMcsJ1cBDIduzs7jaOb8Q5PDEBFPmtjDk8twl7fHBjH5yWsXshq-Dt2kgdEL_CPUn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sNXrafLUmYO6dL9xyVqZ2k-5CAO3IlQfHpeMOl3OyJxdluShHHbsX1Qcz2phfBgvpzfZqMcsJ1cBDIduzs7jaOb8Q5PDEBFPmtjDk8twl7fHBjH5yWsXshq-Dt2kgdEL_CPUnF-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9950" cy="1962150"/>
                    </a:xfrm>
                    <a:prstGeom prst="rect">
                      <a:avLst/>
                    </a:prstGeom>
                    <a:noFill/>
                    <a:ln>
                      <a:noFill/>
                    </a:ln>
                  </pic:spPr>
                </pic:pic>
              </a:graphicData>
            </a:graphic>
          </wp:inline>
        </w:drawing>
      </w:r>
    </w:p>
    <w:p w14:paraId="06CB9975" w14:textId="77777777" w:rsidR="00E15BDF" w:rsidRPr="00083184" w:rsidRDefault="00E15BDF" w:rsidP="00E15BDF">
      <w:pPr>
        <w:spacing w:line="240" w:lineRule="auto"/>
        <w:rPr>
          <w:rFonts w:ascii="Arial" w:eastAsia="Times New Roman" w:hAnsi="Arial" w:cs="Arial"/>
          <w:b/>
          <w:bCs/>
          <w:color w:val="000000" w:themeColor="text1"/>
          <w:sz w:val="24"/>
          <w:szCs w:val="24"/>
          <w:u w:val="single"/>
          <w:lang w:eastAsia="en-IN"/>
        </w:rPr>
      </w:pPr>
    </w:p>
    <w:p w14:paraId="4BCAC165" w14:textId="77777777" w:rsidR="00057374" w:rsidRPr="00083184" w:rsidRDefault="00057374">
      <w:pPr>
        <w:rPr>
          <w:rFonts w:ascii="Arial" w:eastAsia="Times New Roman" w:hAnsi="Arial" w:cs="Arial"/>
          <w:b/>
          <w:bCs/>
          <w:color w:val="000000" w:themeColor="text1"/>
          <w:sz w:val="24"/>
          <w:szCs w:val="24"/>
          <w:u w:val="single"/>
          <w:lang w:eastAsia="en-IN"/>
        </w:rPr>
      </w:pPr>
      <w:r w:rsidRPr="00083184">
        <w:rPr>
          <w:rFonts w:ascii="Arial" w:eastAsia="Times New Roman" w:hAnsi="Arial" w:cs="Arial"/>
          <w:b/>
          <w:bCs/>
          <w:color w:val="000000" w:themeColor="text1"/>
          <w:sz w:val="24"/>
          <w:szCs w:val="24"/>
          <w:u w:val="single"/>
          <w:lang w:eastAsia="en-IN"/>
        </w:rPr>
        <w:br w:type="page"/>
      </w:r>
    </w:p>
    <w:p w14:paraId="3C6A19C1" w14:textId="77777777" w:rsidR="00057374" w:rsidRPr="00083184" w:rsidRDefault="00966EE9" w:rsidP="008E7375">
      <w:pPr>
        <w:spacing w:line="240" w:lineRule="auto"/>
        <w:outlineLvl w:val="0"/>
        <w:rPr>
          <w:rFonts w:ascii="Arial" w:eastAsia="Times New Roman" w:hAnsi="Arial" w:cs="Arial"/>
          <w:b/>
          <w:bCs/>
          <w:color w:val="000000" w:themeColor="text1"/>
          <w:sz w:val="24"/>
          <w:szCs w:val="24"/>
          <w:u w:val="single"/>
          <w:lang w:eastAsia="en-IN"/>
        </w:rPr>
      </w:pPr>
      <w:r w:rsidRPr="00083184">
        <w:rPr>
          <w:rFonts w:ascii="Arial" w:eastAsia="Times New Roman" w:hAnsi="Arial" w:cs="Arial"/>
          <w:b/>
          <w:bCs/>
          <w:color w:val="000000" w:themeColor="text1"/>
          <w:sz w:val="24"/>
          <w:szCs w:val="24"/>
          <w:u w:val="single"/>
          <w:lang w:eastAsia="en-IN"/>
        </w:rPr>
        <w:t>Portfolio Performance vs S&amp;P 500</w:t>
      </w:r>
    </w:p>
    <w:p w14:paraId="4D6AE7B1" w14:textId="77777777" w:rsidR="00966EE9" w:rsidRPr="00083184" w:rsidRDefault="00966EE9" w:rsidP="00E15BDF">
      <w:pPr>
        <w:spacing w:line="240" w:lineRule="auto"/>
        <w:jc w:val="center"/>
        <w:rPr>
          <w:rFonts w:ascii="Arial" w:eastAsia="Times New Roman" w:hAnsi="Arial" w:cs="Arial"/>
          <w:color w:val="000000" w:themeColor="text1"/>
          <w:sz w:val="24"/>
          <w:szCs w:val="24"/>
          <w:lang w:eastAsia="en-IN"/>
        </w:rPr>
      </w:pPr>
      <w:r w:rsidRPr="00083184">
        <w:rPr>
          <w:rFonts w:ascii="Arial" w:eastAsia="Times New Roman" w:hAnsi="Arial" w:cs="Arial"/>
          <w:noProof/>
          <w:color w:val="000000" w:themeColor="text1"/>
          <w:sz w:val="24"/>
          <w:szCs w:val="24"/>
        </w:rPr>
        <w:drawing>
          <wp:inline distT="0" distB="0" distL="0" distR="0" wp14:anchorId="75053C7D" wp14:editId="64EE6EF6">
            <wp:extent cx="3733800" cy="2124075"/>
            <wp:effectExtent l="0" t="0" r="0" b="9525"/>
            <wp:docPr id="5" name="Picture 5" descr="https://lh4.googleusercontent.com/wFm17H7lA0ASOBs2wBsvqlaGGpffVBc0227A11pBDsPgzeDsKrECHt0zVPAjKJ1HZJiOVKHv6574odhmR0xs_7FELQJQgdpoPSXAKN8-nRGFwv90P1sDtfec16CiiewJUJLx8H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wFm17H7lA0ASOBs2wBsvqlaGGpffVBc0227A11pBDsPgzeDsKrECHt0zVPAjKJ1HZJiOVKHv6574odhmR0xs_7FELQJQgdpoPSXAKN8-nRGFwv90P1sDtfec16CiiewJUJLx8Hc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33800" cy="2124075"/>
                    </a:xfrm>
                    <a:prstGeom prst="rect">
                      <a:avLst/>
                    </a:prstGeom>
                    <a:noFill/>
                    <a:ln>
                      <a:noFill/>
                    </a:ln>
                  </pic:spPr>
                </pic:pic>
              </a:graphicData>
            </a:graphic>
          </wp:inline>
        </w:drawing>
      </w:r>
    </w:p>
    <w:p w14:paraId="19473E54" w14:textId="77777777" w:rsidR="00966EE9" w:rsidRPr="00083184" w:rsidRDefault="00966EE9" w:rsidP="008E7375">
      <w:pPr>
        <w:spacing w:after="0" w:line="240" w:lineRule="auto"/>
        <w:jc w:val="both"/>
        <w:outlineLvl w:val="0"/>
        <w:rPr>
          <w:rFonts w:ascii="Arial" w:eastAsia="Times New Roman" w:hAnsi="Arial" w:cs="Arial"/>
          <w:color w:val="000000" w:themeColor="text1"/>
          <w:sz w:val="24"/>
          <w:szCs w:val="24"/>
          <w:lang w:eastAsia="en-IN"/>
        </w:rPr>
      </w:pPr>
      <w:r w:rsidRPr="00083184">
        <w:rPr>
          <w:rFonts w:ascii="Arial" w:eastAsia="Times New Roman" w:hAnsi="Arial" w:cs="Arial"/>
          <w:color w:val="000000" w:themeColor="text1"/>
          <w:sz w:val="24"/>
          <w:szCs w:val="24"/>
          <w:lang w:eastAsia="en-IN"/>
        </w:rPr>
        <w:t xml:space="preserve">Below is the weekly performance comparison between our portfolio and the SPY </w:t>
      </w:r>
      <w:r w:rsidR="00E15BDF" w:rsidRPr="00083184">
        <w:rPr>
          <w:rFonts w:ascii="Arial" w:eastAsia="Times New Roman" w:hAnsi="Arial" w:cs="Arial"/>
          <w:color w:val="000000" w:themeColor="text1"/>
          <w:sz w:val="24"/>
          <w:szCs w:val="24"/>
          <w:lang w:eastAsia="en-IN"/>
        </w:rPr>
        <w:t>ETF</w:t>
      </w:r>
      <w:r w:rsidRPr="00083184">
        <w:rPr>
          <w:rFonts w:ascii="Arial" w:eastAsia="Times New Roman" w:hAnsi="Arial" w:cs="Arial"/>
          <w:color w:val="000000" w:themeColor="text1"/>
          <w:sz w:val="24"/>
          <w:szCs w:val="24"/>
          <w:lang w:eastAsia="en-IN"/>
        </w:rPr>
        <w:t>.</w:t>
      </w:r>
    </w:p>
    <w:p w14:paraId="5D2EEBDD" w14:textId="77777777" w:rsidR="00E15BDF" w:rsidRPr="00083184" w:rsidRDefault="00E15BDF" w:rsidP="00966EE9">
      <w:pPr>
        <w:spacing w:after="0" w:line="240" w:lineRule="auto"/>
        <w:jc w:val="both"/>
        <w:rPr>
          <w:rFonts w:ascii="Arial" w:eastAsia="Times New Roman" w:hAnsi="Arial" w:cs="Arial"/>
          <w:color w:val="000000" w:themeColor="text1"/>
          <w:sz w:val="24"/>
          <w:szCs w:val="24"/>
          <w:lang w:eastAsia="en-IN"/>
        </w:rPr>
      </w:pPr>
    </w:p>
    <w:p w14:paraId="6C1B64D5" w14:textId="77777777" w:rsidR="00966EE9" w:rsidRPr="00083184" w:rsidRDefault="00966EE9" w:rsidP="00E15BDF">
      <w:pPr>
        <w:spacing w:after="0" w:line="240" w:lineRule="auto"/>
        <w:jc w:val="center"/>
        <w:rPr>
          <w:rFonts w:ascii="Arial" w:eastAsia="Times New Roman" w:hAnsi="Arial" w:cs="Arial"/>
          <w:color w:val="000000" w:themeColor="text1"/>
          <w:sz w:val="24"/>
          <w:szCs w:val="24"/>
          <w:lang w:eastAsia="en-IN"/>
        </w:rPr>
      </w:pPr>
      <w:r w:rsidRPr="00083184">
        <w:rPr>
          <w:rFonts w:ascii="Arial" w:eastAsia="Times New Roman" w:hAnsi="Arial" w:cs="Arial"/>
          <w:noProof/>
          <w:color w:val="000000" w:themeColor="text1"/>
          <w:sz w:val="24"/>
          <w:szCs w:val="24"/>
        </w:rPr>
        <w:drawing>
          <wp:inline distT="0" distB="0" distL="0" distR="0" wp14:anchorId="2A23AE68" wp14:editId="35E699DC">
            <wp:extent cx="4648200" cy="1724025"/>
            <wp:effectExtent l="0" t="0" r="0" b="9525"/>
            <wp:docPr id="4" name="Picture 4" descr="https://lh5.googleusercontent.com/8WYSX5UOgG0puqNcwFAurR-M6wzR35rNn5rbQcFlFJBWFoASg2x2Ki-8npSjnqcaNUXHvh4uzQgXKIbYC5Zz8Ggm60ulr2qggJ5owMZ-a5gUnVKnxNCJuizfTFtl36-s1SWSRZ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8WYSX5UOgG0puqNcwFAurR-M6wzR35rNn5rbQcFlFJBWFoASg2x2Ki-8npSjnqcaNUXHvh4uzQgXKIbYC5Zz8Ggm60ulr2qggJ5owMZ-a5gUnVKnxNCJuizfTFtl36-s1SWSRZP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48200" cy="1724025"/>
                    </a:xfrm>
                    <a:prstGeom prst="rect">
                      <a:avLst/>
                    </a:prstGeom>
                    <a:noFill/>
                    <a:ln>
                      <a:noFill/>
                    </a:ln>
                  </pic:spPr>
                </pic:pic>
              </a:graphicData>
            </a:graphic>
          </wp:inline>
        </w:drawing>
      </w:r>
    </w:p>
    <w:p w14:paraId="71F840A1" w14:textId="77777777" w:rsidR="00966EE9" w:rsidRPr="00083184" w:rsidRDefault="00966EE9" w:rsidP="00966EE9">
      <w:pPr>
        <w:spacing w:after="0" w:line="240" w:lineRule="auto"/>
        <w:rPr>
          <w:rFonts w:ascii="Arial" w:eastAsia="Times New Roman" w:hAnsi="Arial" w:cs="Arial"/>
          <w:color w:val="000000" w:themeColor="text1"/>
          <w:sz w:val="24"/>
          <w:szCs w:val="24"/>
          <w:lang w:eastAsia="en-IN"/>
        </w:rPr>
      </w:pPr>
    </w:p>
    <w:p w14:paraId="5BD44710" w14:textId="6AE23857" w:rsidR="00966EE9" w:rsidRPr="00083184" w:rsidRDefault="00966EE9" w:rsidP="00966EE9">
      <w:pPr>
        <w:spacing w:after="0" w:line="240" w:lineRule="auto"/>
        <w:jc w:val="both"/>
        <w:rPr>
          <w:rFonts w:ascii="Arial" w:eastAsia="Times New Roman" w:hAnsi="Arial" w:cs="Arial"/>
          <w:color w:val="000000" w:themeColor="text1"/>
          <w:sz w:val="24"/>
          <w:szCs w:val="24"/>
          <w:lang w:eastAsia="en-IN"/>
        </w:rPr>
      </w:pPr>
      <w:r w:rsidRPr="00083184">
        <w:rPr>
          <w:rFonts w:ascii="Arial" w:eastAsia="Times New Roman" w:hAnsi="Arial" w:cs="Arial"/>
          <w:color w:val="000000" w:themeColor="text1"/>
          <w:sz w:val="24"/>
          <w:szCs w:val="24"/>
          <w:lang w:eastAsia="en-IN"/>
        </w:rPr>
        <w:t xml:space="preserve">Our account was funded on </w:t>
      </w:r>
      <w:r w:rsidR="00FF30F5" w:rsidRPr="00083184">
        <w:rPr>
          <w:rFonts w:ascii="Arial" w:eastAsia="Times New Roman" w:hAnsi="Arial" w:cs="Arial"/>
          <w:color w:val="000000" w:themeColor="text1"/>
          <w:sz w:val="24"/>
          <w:szCs w:val="24"/>
          <w:lang w:eastAsia="en-IN"/>
        </w:rPr>
        <w:t xml:space="preserve">Oct 3, </w:t>
      </w:r>
      <w:r w:rsidR="00E15BDF" w:rsidRPr="00083184">
        <w:rPr>
          <w:rFonts w:ascii="Arial" w:eastAsia="Times New Roman" w:hAnsi="Arial" w:cs="Arial"/>
          <w:color w:val="000000" w:themeColor="text1"/>
          <w:sz w:val="24"/>
          <w:szCs w:val="24"/>
          <w:lang w:eastAsia="en-IN"/>
        </w:rPr>
        <w:t>2</w:t>
      </w:r>
      <w:r w:rsidRPr="00083184">
        <w:rPr>
          <w:rFonts w:ascii="Arial" w:eastAsia="Times New Roman" w:hAnsi="Arial" w:cs="Arial"/>
          <w:color w:val="000000" w:themeColor="text1"/>
          <w:sz w:val="24"/>
          <w:szCs w:val="24"/>
          <w:lang w:eastAsia="en-IN"/>
        </w:rPr>
        <w:t>018</w:t>
      </w:r>
      <w:r w:rsidR="00537366" w:rsidRPr="00083184">
        <w:rPr>
          <w:rFonts w:ascii="Arial" w:eastAsia="Times New Roman" w:hAnsi="Arial" w:cs="Arial"/>
          <w:color w:val="000000" w:themeColor="text1"/>
          <w:sz w:val="24"/>
          <w:szCs w:val="24"/>
          <w:lang w:eastAsia="en-IN"/>
        </w:rPr>
        <w:t xml:space="preserve"> and our </w:t>
      </w:r>
      <w:r w:rsidRPr="00083184">
        <w:rPr>
          <w:rFonts w:ascii="Arial" w:eastAsia="Times New Roman" w:hAnsi="Arial" w:cs="Arial"/>
          <w:color w:val="000000" w:themeColor="text1"/>
          <w:sz w:val="24"/>
          <w:szCs w:val="24"/>
          <w:lang w:eastAsia="en-IN"/>
        </w:rPr>
        <w:t xml:space="preserve">first investment in IFF was on </w:t>
      </w:r>
      <w:r w:rsidR="00FF30F5" w:rsidRPr="00083184">
        <w:rPr>
          <w:rFonts w:ascii="Arial" w:eastAsia="Times New Roman" w:hAnsi="Arial" w:cs="Arial"/>
          <w:color w:val="000000" w:themeColor="text1"/>
          <w:sz w:val="24"/>
          <w:szCs w:val="24"/>
          <w:lang w:eastAsia="en-IN"/>
        </w:rPr>
        <w:t>Oct 16,</w:t>
      </w:r>
      <w:r w:rsidRPr="00083184">
        <w:rPr>
          <w:rFonts w:ascii="Arial" w:eastAsia="Times New Roman" w:hAnsi="Arial" w:cs="Arial"/>
          <w:color w:val="000000" w:themeColor="text1"/>
          <w:sz w:val="24"/>
          <w:szCs w:val="24"/>
          <w:lang w:eastAsia="en-IN"/>
        </w:rPr>
        <w:t xml:space="preserve"> 2018. </w:t>
      </w:r>
      <w:r w:rsidR="00A56FB8" w:rsidRPr="00083184">
        <w:rPr>
          <w:rFonts w:ascii="Arial" w:eastAsia="Times New Roman" w:hAnsi="Arial" w:cs="Arial"/>
          <w:color w:val="000000" w:themeColor="text1"/>
          <w:sz w:val="24"/>
          <w:szCs w:val="24"/>
          <w:lang w:eastAsia="en-IN"/>
        </w:rPr>
        <w:t>We initially</w:t>
      </w:r>
      <w:r w:rsidR="00E15BDF" w:rsidRPr="00083184">
        <w:rPr>
          <w:rFonts w:ascii="Arial" w:eastAsia="Times New Roman" w:hAnsi="Arial" w:cs="Arial"/>
          <w:color w:val="000000" w:themeColor="text1"/>
          <w:sz w:val="24"/>
          <w:szCs w:val="24"/>
          <w:lang w:eastAsia="en-IN"/>
        </w:rPr>
        <w:t xml:space="preserve"> assumed that </w:t>
      </w:r>
      <w:r w:rsidR="00FF30F5" w:rsidRPr="00083184">
        <w:rPr>
          <w:rFonts w:ascii="Arial" w:eastAsia="Times New Roman" w:hAnsi="Arial" w:cs="Arial"/>
          <w:color w:val="000000" w:themeColor="text1"/>
          <w:sz w:val="24"/>
          <w:szCs w:val="24"/>
          <w:lang w:eastAsia="en-IN"/>
        </w:rPr>
        <w:t xml:space="preserve">our </w:t>
      </w:r>
      <w:r w:rsidR="00E15BDF" w:rsidRPr="00083184">
        <w:rPr>
          <w:rFonts w:ascii="Arial" w:eastAsia="Times New Roman" w:hAnsi="Arial" w:cs="Arial"/>
          <w:color w:val="000000" w:themeColor="text1"/>
          <w:sz w:val="24"/>
          <w:szCs w:val="24"/>
          <w:lang w:eastAsia="en-IN"/>
        </w:rPr>
        <w:t>account was funded in SPY as mentioned in the prospectus</w:t>
      </w:r>
      <w:r w:rsidR="00A56FB8" w:rsidRPr="00083184">
        <w:rPr>
          <w:rFonts w:ascii="Arial" w:eastAsia="Times New Roman" w:hAnsi="Arial" w:cs="Arial"/>
          <w:color w:val="000000" w:themeColor="text1"/>
          <w:sz w:val="24"/>
          <w:szCs w:val="24"/>
          <w:lang w:eastAsia="en-IN"/>
        </w:rPr>
        <w:t>,</w:t>
      </w:r>
      <w:r w:rsidR="00E15BDF" w:rsidRPr="00083184">
        <w:rPr>
          <w:rFonts w:ascii="Arial" w:eastAsia="Times New Roman" w:hAnsi="Arial" w:cs="Arial"/>
          <w:color w:val="000000" w:themeColor="text1"/>
          <w:sz w:val="24"/>
          <w:szCs w:val="24"/>
          <w:lang w:eastAsia="en-IN"/>
        </w:rPr>
        <w:t xml:space="preserve"> but </w:t>
      </w:r>
      <w:r w:rsidR="00FF30F5" w:rsidRPr="00083184">
        <w:rPr>
          <w:rFonts w:ascii="Arial" w:eastAsia="Times New Roman" w:hAnsi="Arial" w:cs="Arial"/>
          <w:color w:val="000000" w:themeColor="text1"/>
          <w:sz w:val="24"/>
          <w:szCs w:val="24"/>
          <w:lang w:eastAsia="en-IN"/>
        </w:rPr>
        <w:t xml:space="preserve">later </w:t>
      </w:r>
      <w:r w:rsidR="00E15BDF" w:rsidRPr="00083184">
        <w:rPr>
          <w:rFonts w:ascii="Arial" w:eastAsia="Times New Roman" w:hAnsi="Arial" w:cs="Arial"/>
          <w:color w:val="000000" w:themeColor="text1"/>
          <w:sz w:val="24"/>
          <w:szCs w:val="24"/>
          <w:lang w:eastAsia="en-IN"/>
        </w:rPr>
        <w:t xml:space="preserve">realized </w:t>
      </w:r>
      <w:r w:rsidR="00FF30F5" w:rsidRPr="00083184">
        <w:rPr>
          <w:rFonts w:ascii="Arial" w:eastAsia="Times New Roman" w:hAnsi="Arial" w:cs="Arial"/>
          <w:color w:val="000000" w:themeColor="text1"/>
          <w:sz w:val="24"/>
          <w:szCs w:val="24"/>
          <w:lang w:eastAsia="en-IN"/>
        </w:rPr>
        <w:t xml:space="preserve">we were holding cash. Due to some operational difficulties, it took a while for us to get invested in </w:t>
      </w:r>
      <w:r w:rsidRPr="00083184">
        <w:rPr>
          <w:rFonts w:ascii="Arial" w:eastAsia="Times New Roman" w:hAnsi="Arial" w:cs="Arial"/>
          <w:color w:val="000000" w:themeColor="text1"/>
          <w:sz w:val="24"/>
          <w:szCs w:val="24"/>
          <w:lang w:eastAsia="en-IN"/>
        </w:rPr>
        <w:t>SPDR S&amp;P ETF, to be in accordance with the investment policy of the fund. Below is the table of transactions for perusal.  </w:t>
      </w:r>
    </w:p>
    <w:p w14:paraId="79B72446" w14:textId="77777777" w:rsidR="00FF30F5" w:rsidRPr="00083184" w:rsidRDefault="00FF30F5" w:rsidP="00966EE9">
      <w:pPr>
        <w:spacing w:after="0" w:line="240" w:lineRule="auto"/>
        <w:jc w:val="both"/>
        <w:rPr>
          <w:rFonts w:ascii="Arial" w:eastAsia="Times New Roman" w:hAnsi="Arial" w:cs="Arial"/>
          <w:color w:val="000000" w:themeColor="text1"/>
          <w:sz w:val="24"/>
          <w:szCs w:val="24"/>
          <w:lang w:eastAsia="en-IN"/>
        </w:rPr>
      </w:pPr>
    </w:p>
    <w:p w14:paraId="01F78E1D" w14:textId="77777777" w:rsidR="00966EE9" w:rsidRPr="00083184" w:rsidRDefault="00966EE9" w:rsidP="00FF30F5">
      <w:pPr>
        <w:spacing w:after="0" w:line="240" w:lineRule="auto"/>
        <w:jc w:val="center"/>
        <w:rPr>
          <w:rFonts w:ascii="Arial" w:eastAsia="Times New Roman" w:hAnsi="Arial" w:cs="Arial"/>
          <w:color w:val="000000" w:themeColor="text1"/>
          <w:sz w:val="24"/>
          <w:szCs w:val="24"/>
          <w:lang w:eastAsia="en-IN"/>
        </w:rPr>
      </w:pPr>
      <w:r w:rsidRPr="00083184">
        <w:rPr>
          <w:rFonts w:ascii="Arial" w:eastAsia="Times New Roman" w:hAnsi="Arial" w:cs="Arial"/>
          <w:noProof/>
          <w:color w:val="000000" w:themeColor="text1"/>
          <w:sz w:val="24"/>
          <w:szCs w:val="24"/>
        </w:rPr>
        <w:drawing>
          <wp:inline distT="0" distB="0" distL="0" distR="0" wp14:anchorId="6AA94ABC" wp14:editId="7BA508E0">
            <wp:extent cx="3819525" cy="1762125"/>
            <wp:effectExtent l="0" t="0" r="9525" b="9525"/>
            <wp:docPr id="11" name="Picture 11" descr="https://lh5.googleusercontent.com/1Mo9HmG8cCyaKkJaDfdanjssLLsQIt9DI0Jah9AI1QvrAjbvctd7Opzq6YRMl_qSFfD2rS9nj6b5BJuCmfJ3_6B5zgQG2NX1hir8Ld1gz-phBOEYXP-oHDVa5ASxeP4cLQ-agoJ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1Mo9HmG8cCyaKkJaDfdanjssLLsQIt9DI0Jah9AI1QvrAjbvctd7Opzq6YRMl_qSFfD2rS9nj6b5BJuCmfJ3_6B5zgQG2NX1hir8Ld1gz-phBOEYXP-oHDVa5ASxeP4cLQ-agoJ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9525" cy="1762125"/>
                    </a:xfrm>
                    <a:prstGeom prst="rect">
                      <a:avLst/>
                    </a:prstGeom>
                    <a:noFill/>
                    <a:ln>
                      <a:noFill/>
                    </a:ln>
                  </pic:spPr>
                </pic:pic>
              </a:graphicData>
            </a:graphic>
          </wp:inline>
        </w:drawing>
      </w:r>
    </w:p>
    <w:p w14:paraId="1113AB9B" w14:textId="77777777" w:rsidR="00FF30F5" w:rsidRPr="00083184" w:rsidRDefault="00FF30F5" w:rsidP="00966EE9">
      <w:pPr>
        <w:spacing w:after="0" w:line="240" w:lineRule="auto"/>
        <w:jc w:val="both"/>
        <w:rPr>
          <w:rFonts w:ascii="Arial" w:eastAsia="Times New Roman" w:hAnsi="Arial" w:cs="Arial"/>
          <w:color w:val="000000" w:themeColor="text1"/>
          <w:sz w:val="24"/>
          <w:szCs w:val="24"/>
          <w:lang w:eastAsia="en-IN"/>
        </w:rPr>
      </w:pPr>
    </w:p>
    <w:p w14:paraId="3AAB0E36" w14:textId="77777777" w:rsidR="00966EE9" w:rsidRPr="00083184" w:rsidRDefault="00966EE9" w:rsidP="00966EE9">
      <w:pPr>
        <w:spacing w:after="0" w:line="240" w:lineRule="auto"/>
        <w:jc w:val="both"/>
        <w:rPr>
          <w:rFonts w:ascii="Arial" w:eastAsia="Times New Roman" w:hAnsi="Arial" w:cs="Arial"/>
          <w:color w:val="000000" w:themeColor="text1"/>
          <w:sz w:val="24"/>
          <w:szCs w:val="24"/>
          <w:lang w:eastAsia="en-IN"/>
        </w:rPr>
      </w:pPr>
      <w:r w:rsidRPr="00083184">
        <w:rPr>
          <w:rFonts w:ascii="Arial" w:eastAsia="Times New Roman" w:hAnsi="Arial" w:cs="Arial"/>
          <w:color w:val="000000" w:themeColor="text1"/>
          <w:sz w:val="24"/>
          <w:szCs w:val="24"/>
          <w:lang w:eastAsia="en-IN"/>
        </w:rPr>
        <w:t xml:space="preserve">*SPDR ETF: SPDR S&amp;P 500 ETF; IFF: International </w:t>
      </w:r>
      <w:r w:rsidR="00FF30F5" w:rsidRPr="00083184">
        <w:rPr>
          <w:rFonts w:ascii="Arial" w:eastAsia="Times New Roman" w:hAnsi="Arial" w:cs="Arial"/>
          <w:color w:val="000000" w:themeColor="text1"/>
          <w:sz w:val="24"/>
          <w:szCs w:val="24"/>
          <w:lang w:eastAsia="en-IN"/>
        </w:rPr>
        <w:t>Flavors</w:t>
      </w:r>
      <w:r w:rsidRPr="00083184">
        <w:rPr>
          <w:rFonts w:ascii="Arial" w:eastAsia="Times New Roman" w:hAnsi="Arial" w:cs="Arial"/>
          <w:color w:val="000000" w:themeColor="text1"/>
          <w:sz w:val="24"/>
          <w:szCs w:val="24"/>
          <w:lang w:eastAsia="en-IN"/>
        </w:rPr>
        <w:t xml:space="preserve"> and Fragrances; MSFT: Microsoft   </w:t>
      </w:r>
    </w:p>
    <w:p w14:paraId="4F4D013D" w14:textId="77777777" w:rsidR="00966EE9" w:rsidRPr="00083184" w:rsidRDefault="00966EE9" w:rsidP="00966EE9">
      <w:pPr>
        <w:spacing w:after="0" w:line="240" w:lineRule="auto"/>
        <w:rPr>
          <w:rFonts w:ascii="Arial" w:eastAsia="Times New Roman" w:hAnsi="Arial" w:cs="Arial"/>
          <w:color w:val="000000" w:themeColor="text1"/>
          <w:sz w:val="24"/>
          <w:szCs w:val="24"/>
          <w:lang w:eastAsia="en-IN"/>
        </w:rPr>
      </w:pPr>
    </w:p>
    <w:p w14:paraId="58354FE9" w14:textId="77777777" w:rsidR="00966EE9" w:rsidRPr="00083184" w:rsidRDefault="00966EE9" w:rsidP="008E7375">
      <w:pPr>
        <w:spacing w:after="0" w:line="240" w:lineRule="auto"/>
        <w:jc w:val="both"/>
        <w:outlineLvl w:val="0"/>
        <w:rPr>
          <w:rFonts w:ascii="Arial" w:hAnsi="Arial" w:cs="Arial"/>
          <w:b/>
          <w:bCs/>
          <w:color w:val="000000" w:themeColor="text1"/>
          <w:sz w:val="24"/>
          <w:szCs w:val="24"/>
          <w:u w:val="single"/>
          <w:lang w:eastAsia="zh-CN"/>
        </w:rPr>
      </w:pPr>
      <w:r w:rsidRPr="00083184">
        <w:rPr>
          <w:rFonts w:ascii="Arial" w:eastAsia="Times New Roman" w:hAnsi="Arial" w:cs="Arial"/>
          <w:b/>
          <w:bCs/>
          <w:color w:val="000000" w:themeColor="text1"/>
          <w:sz w:val="24"/>
          <w:szCs w:val="24"/>
          <w:u w:val="single"/>
          <w:lang w:eastAsia="en-IN"/>
        </w:rPr>
        <w:t>Comparison with Theoretical Portfolio</w:t>
      </w:r>
      <w:r w:rsidR="000277BF" w:rsidRPr="00083184">
        <w:rPr>
          <w:rFonts w:ascii="Arial" w:hAnsi="Arial" w:cs="Arial"/>
          <w:b/>
          <w:bCs/>
          <w:color w:val="000000" w:themeColor="text1"/>
          <w:sz w:val="24"/>
          <w:szCs w:val="24"/>
          <w:u w:val="single"/>
          <w:lang w:eastAsia="zh-CN"/>
        </w:rPr>
        <w:t>*</w:t>
      </w:r>
    </w:p>
    <w:p w14:paraId="104773D1" w14:textId="77777777" w:rsidR="00057374" w:rsidRPr="00083184" w:rsidRDefault="00057374" w:rsidP="00966EE9">
      <w:pPr>
        <w:spacing w:after="0" w:line="240" w:lineRule="auto"/>
        <w:jc w:val="both"/>
        <w:rPr>
          <w:rFonts w:ascii="Arial" w:hAnsi="Arial" w:cs="Arial"/>
          <w:b/>
          <w:bCs/>
          <w:color w:val="000000" w:themeColor="text1"/>
          <w:sz w:val="24"/>
          <w:szCs w:val="24"/>
          <w:lang w:eastAsia="zh-CN"/>
        </w:rPr>
      </w:pPr>
    </w:p>
    <w:p w14:paraId="2032C80F" w14:textId="77777777" w:rsidR="000277BF" w:rsidRPr="00083184" w:rsidRDefault="000277BF" w:rsidP="00966EE9">
      <w:pPr>
        <w:spacing w:after="0" w:line="240" w:lineRule="auto"/>
        <w:jc w:val="both"/>
        <w:rPr>
          <w:rFonts w:ascii="Arial" w:hAnsi="Arial" w:cs="Arial"/>
          <w:color w:val="000000" w:themeColor="text1"/>
          <w:sz w:val="24"/>
          <w:szCs w:val="24"/>
          <w:lang w:eastAsia="zh-CN"/>
        </w:rPr>
      </w:pPr>
      <w:r w:rsidRPr="00083184">
        <w:rPr>
          <w:rFonts w:ascii="Arial" w:hAnsi="Arial" w:cs="Arial"/>
          <w:b/>
          <w:bCs/>
          <w:color w:val="000000" w:themeColor="text1"/>
          <w:sz w:val="24"/>
          <w:szCs w:val="24"/>
          <w:lang w:eastAsia="zh-CN"/>
        </w:rPr>
        <w:t>*</w:t>
      </w:r>
      <w:r w:rsidRPr="00083184">
        <w:rPr>
          <w:rFonts w:ascii="Arial" w:hAnsi="Arial" w:cs="Arial"/>
          <w:i/>
          <w:color w:val="000000" w:themeColor="text1"/>
          <w:szCs w:val="24"/>
          <w:shd w:val="clear" w:color="auto" w:fill="FFFFFF"/>
        </w:rPr>
        <w:t>This is for drawing an easier comparison with the other SMF teams' performance. This is not to inflate our past performance.</w:t>
      </w:r>
    </w:p>
    <w:p w14:paraId="5731A497" w14:textId="77777777" w:rsidR="00FF30F5" w:rsidRPr="00083184" w:rsidRDefault="00FF30F5" w:rsidP="00966EE9">
      <w:pPr>
        <w:spacing w:after="0" w:line="240" w:lineRule="auto"/>
        <w:jc w:val="both"/>
        <w:rPr>
          <w:rFonts w:ascii="Arial" w:eastAsia="Times New Roman" w:hAnsi="Arial" w:cs="Arial"/>
          <w:color w:val="000000" w:themeColor="text1"/>
          <w:sz w:val="24"/>
          <w:szCs w:val="24"/>
          <w:lang w:eastAsia="en-IN"/>
        </w:rPr>
      </w:pPr>
    </w:p>
    <w:p w14:paraId="26841717" w14:textId="77777777" w:rsidR="00966EE9" w:rsidRPr="00083184" w:rsidRDefault="00966EE9" w:rsidP="00966EE9">
      <w:pPr>
        <w:spacing w:after="0" w:line="240" w:lineRule="auto"/>
        <w:jc w:val="both"/>
        <w:rPr>
          <w:rFonts w:ascii="Arial" w:eastAsia="Times New Roman" w:hAnsi="Arial" w:cs="Arial"/>
          <w:color w:val="000000" w:themeColor="text1"/>
          <w:sz w:val="24"/>
          <w:szCs w:val="24"/>
          <w:lang w:eastAsia="en-IN"/>
        </w:rPr>
      </w:pPr>
      <w:r w:rsidRPr="00083184">
        <w:rPr>
          <w:rFonts w:ascii="Arial" w:eastAsia="Times New Roman" w:hAnsi="Arial" w:cs="Arial"/>
          <w:color w:val="000000" w:themeColor="text1"/>
          <w:sz w:val="24"/>
          <w:szCs w:val="24"/>
          <w:lang w:eastAsia="en-IN"/>
        </w:rPr>
        <w:t>Theoretical portfolio is the portfolio formed with the assumption that the initial funds were already invested in S&amp;P 500 as of day 1</w:t>
      </w:r>
      <w:r w:rsidR="00FF30F5" w:rsidRPr="00083184">
        <w:rPr>
          <w:rFonts w:ascii="Arial" w:eastAsia="Times New Roman" w:hAnsi="Arial" w:cs="Arial"/>
          <w:color w:val="000000" w:themeColor="text1"/>
          <w:sz w:val="24"/>
          <w:szCs w:val="24"/>
          <w:lang w:eastAsia="en-IN"/>
        </w:rPr>
        <w:t xml:space="preserve"> (i.e. Sept 4, 2018)</w:t>
      </w:r>
    </w:p>
    <w:p w14:paraId="347685DA" w14:textId="77777777" w:rsidR="00FF30F5" w:rsidRPr="00083184" w:rsidRDefault="00FF30F5" w:rsidP="00966EE9">
      <w:pPr>
        <w:spacing w:after="0" w:line="240" w:lineRule="auto"/>
        <w:jc w:val="both"/>
        <w:rPr>
          <w:rFonts w:ascii="Arial" w:eastAsia="Times New Roman" w:hAnsi="Arial" w:cs="Arial"/>
          <w:color w:val="000000" w:themeColor="text1"/>
          <w:sz w:val="24"/>
          <w:szCs w:val="24"/>
          <w:lang w:eastAsia="en-IN"/>
        </w:rPr>
      </w:pPr>
    </w:p>
    <w:p w14:paraId="41F9D463" w14:textId="77777777" w:rsidR="00966EE9" w:rsidRPr="00083184" w:rsidRDefault="00966EE9" w:rsidP="00FF30F5">
      <w:pPr>
        <w:spacing w:after="0" w:line="240" w:lineRule="auto"/>
        <w:jc w:val="center"/>
        <w:rPr>
          <w:rFonts w:ascii="Arial" w:eastAsia="Times New Roman" w:hAnsi="Arial" w:cs="Arial"/>
          <w:color w:val="000000" w:themeColor="text1"/>
          <w:sz w:val="24"/>
          <w:szCs w:val="24"/>
          <w:lang w:eastAsia="en-IN"/>
        </w:rPr>
      </w:pPr>
      <w:r w:rsidRPr="00083184">
        <w:rPr>
          <w:rFonts w:ascii="Arial" w:eastAsia="Times New Roman" w:hAnsi="Arial" w:cs="Arial"/>
          <w:noProof/>
          <w:color w:val="000000" w:themeColor="text1"/>
          <w:sz w:val="24"/>
          <w:szCs w:val="24"/>
        </w:rPr>
        <w:drawing>
          <wp:inline distT="0" distB="0" distL="0" distR="0" wp14:anchorId="05527FE0" wp14:editId="490069A6">
            <wp:extent cx="3409950" cy="1952625"/>
            <wp:effectExtent l="0" t="0" r="0" b="9525"/>
            <wp:docPr id="2" name="Picture 2" descr="https://lh6.googleusercontent.com/VRbpqVCDXBDLOJhd4c4osR3XbQGebio9hzEXi7YLhUNMVS-ftHynI_HLB1aCegBIlS45kQxdmdoV3HEVXLvR5ywi0cknPiMKpisGbluIguNRmR8FQxEUis4LqGP_R-mlcJw4Nx0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VRbpqVCDXBDLOJhd4c4osR3XbQGebio9hzEXi7YLhUNMVS-ftHynI_HLB1aCegBIlS45kQxdmdoV3HEVXLvR5ywi0cknPiMKpisGbluIguNRmR8FQxEUis4LqGP_R-mlcJw4Nx0h"/>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9950" cy="1952625"/>
                    </a:xfrm>
                    <a:prstGeom prst="rect">
                      <a:avLst/>
                    </a:prstGeom>
                    <a:noFill/>
                    <a:ln>
                      <a:noFill/>
                    </a:ln>
                  </pic:spPr>
                </pic:pic>
              </a:graphicData>
            </a:graphic>
          </wp:inline>
        </w:drawing>
      </w:r>
    </w:p>
    <w:p w14:paraId="2855ABCA" w14:textId="77777777" w:rsidR="00966EE9" w:rsidRPr="00083184" w:rsidRDefault="00966EE9" w:rsidP="00966EE9">
      <w:pPr>
        <w:spacing w:after="0" w:line="240" w:lineRule="auto"/>
        <w:rPr>
          <w:rFonts w:ascii="Arial" w:eastAsia="Times New Roman" w:hAnsi="Arial" w:cs="Arial"/>
          <w:color w:val="000000" w:themeColor="text1"/>
          <w:sz w:val="24"/>
          <w:szCs w:val="24"/>
          <w:lang w:eastAsia="en-IN"/>
        </w:rPr>
      </w:pPr>
    </w:p>
    <w:p w14:paraId="79AC2558" w14:textId="77777777" w:rsidR="00966EE9" w:rsidRPr="00083184" w:rsidRDefault="00966EE9" w:rsidP="00966EE9">
      <w:pPr>
        <w:spacing w:after="0" w:line="240" w:lineRule="auto"/>
        <w:jc w:val="both"/>
        <w:rPr>
          <w:rFonts w:ascii="Arial" w:eastAsia="Times New Roman" w:hAnsi="Arial" w:cs="Arial"/>
          <w:color w:val="000000" w:themeColor="text1"/>
          <w:sz w:val="24"/>
          <w:szCs w:val="24"/>
          <w:lang w:eastAsia="en-IN"/>
        </w:rPr>
      </w:pPr>
      <w:r w:rsidRPr="00083184">
        <w:rPr>
          <w:rFonts w:ascii="Arial" w:eastAsia="Times New Roman" w:hAnsi="Arial" w:cs="Arial"/>
          <w:color w:val="000000" w:themeColor="text1"/>
          <w:sz w:val="24"/>
          <w:szCs w:val="24"/>
          <w:lang w:eastAsia="en-IN"/>
        </w:rPr>
        <w:t xml:space="preserve">Below is the weekly performance comparison between our theoretical portfolio and the SPY </w:t>
      </w:r>
      <w:r w:rsidR="00537366" w:rsidRPr="00083184">
        <w:rPr>
          <w:rFonts w:ascii="Arial" w:eastAsia="Times New Roman" w:hAnsi="Arial" w:cs="Arial"/>
          <w:color w:val="000000" w:themeColor="text1"/>
          <w:sz w:val="24"/>
          <w:szCs w:val="24"/>
          <w:lang w:eastAsia="en-IN"/>
        </w:rPr>
        <w:t>ETF</w:t>
      </w:r>
      <w:r w:rsidRPr="00083184">
        <w:rPr>
          <w:rFonts w:ascii="Arial" w:eastAsia="Times New Roman" w:hAnsi="Arial" w:cs="Arial"/>
          <w:color w:val="000000" w:themeColor="text1"/>
          <w:sz w:val="24"/>
          <w:szCs w:val="24"/>
          <w:lang w:eastAsia="en-IN"/>
        </w:rPr>
        <w:t>.</w:t>
      </w:r>
    </w:p>
    <w:p w14:paraId="5C218D50" w14:textId="77777777" w:rsidR="00754BD6" w:rsidRPr="00083184" w:rsidRDefault="00754BD6" w:rsidP="00966EE9">
      <w:pPr>
        <w:spacing w:after="0" w:line="240" w:lineRule="auto"/>
        <w:jc w:val="both"/>
        <w:rPr>
          <w:rFonts w:ascii="Arial" w:eastAsia="Times New Roman" w:hAnsi="Arial" w:cs="Arial"/>
          <w:color w:val="000000" w:themeColor="text1"/>
          <w:sz w:val="24"/>
          <w:szCs w:val="24"/>
          <w:lang w:eastAsia="en-IN"/>
        </w:rPr>
      </w:pPr>
    </w:p>
    <w:p w14:paraId="0E372915" w14:textId="77777777" w:rsidR="00966EE9" w:rsidRPr="00083184" w:rsidRDefault="00966EE9" w:rsidP="00754BD6">
      <w:pPr>
        <w:spacing w:after="0" w:line="240" w:lineRule="auto"/>
        <w:jc w:val="center"/>
        <w:rPr>
          <w:rFonts w:ascii="Arial" w:eastAsia="Times New Roman" w:hAnsi="Arial" w:cs="Arial"/>
          <w:color w:val="000000" w:themeColor="text1"/>
          <w:sz w:val="24"/>
          <w:szCs w:val="24"/>
          <w:lang w:eastAsia="en-IN"/>
        </w:rPr>
      </w:pPr>
      <w:r w:rsidRPr="00083184">
        <w:rPr>
          <w:rFonts w:ascii="Arial" w:eastAsia="Times New Roman" w:hAnsi="Arial" w:cs="Arial"/>
          <w:noProof/>
          <w:color w:val="000000" w:themeColor="text1"/>
          <w:sz w:val="24"/>
          <w:szCs w:val="24"/>
        </w:rPr>
        <w:drawing>
          <wp:inline distT="0" distB="0" distL="0" distR="0" wp14:anchorId="2FE1E4C4" wp14:editId="0811F66B">
            <wp:extent cx="4095750" cy="2867025"/>
            <wp:effectExtent l="0" t="0" r="0" b="9525"/>
            <wp:docPr id="12" name="Picture 12" descr="https://lh3.googleusercontent.com/0no3KncfimUEhle18Z3gNJRffrSGy-hUm_8MPGCd-0JY-G4hg2Dg8LUMA8_SkRKZtSsWh0aD0w9eyuy-kKLQM37Gr34rkmM9bUpgpNXz_NVR0I8wRlaPKmn5R4DsEZYPlVpb84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0no3KncfimUEhle18Z3gNJRffrSGy-hUm_8MPGCd-0JY-G4hg2Dg8LUMA8_SkRKZtSsWh0aD0w9eyuy-kKLQM37Gr34rkmM9bUpgpNXz_NVR0I8wRlaPKmn5R4DsEZYPlVpb844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0" cy="2867025"/>
                    </a:xfrm>
                    <a:prstGeom prst="rect">
                      <a:avLst/>
                    </a:prstGeom>
                    <a:noFill/>
                    <a:ln>
                      <a:noFill/>
                    </a:ln>
                  </pic:spPr>
                </pic:pic>
              </a:graphicData>
            </a:graphic>
          </wp:inline>
        </w:drawing>
      </w:r>
    </w:p>
    <w:p w14:paraId="752FB722" w14:textId="77777777" w:rsidR="00966EE9" w:rsidRPr="00083184" w:rsidRDefault="00966EE9" w:rsidP="00966EE9">
      <w:pPr>
        <w:rPr>
          <w:rFonts w:ascii="Arial" w:hAnsi="Arial" w:cs="Arial"/>
          <w:color w:val="000000" w:themeColor="text1"/>
          <w:sz w:val="24"/>
          <w:szCs w:val="24"/>
        </w:rPr>
      </w:pPr>
    </w:p>
    <w:p w14:paraId="42918F82" w14:textId="77777777" w:rsidR="00E62DD2" w:rsidRPr="00083184" w:rsidRDefault="00E62DD2">
      <w:pPr>
        <w:spacing w:after="240" w:line="240" w:lineRule="auto"/>
        <w:rPr>
          <w:rFonts w:ascii="Arial" w:eastAsia="Arial" w:hAnsi="Arial" w:cs="Arial"/>
          <w:color w:val="000000" w:themeColor="text1"/>
          <w:sz w:val="24"/>
          <w:szCs w:val="24"/>
        </w:rPr>
      </w:pPr>
    </w:p>
    <w:p w14:paraId="653B4750" w14:textId="77777777" w:rsidR="00E62DD2" w:rsidRPr="00083184" w:rsidRDefault="00E62DD2">
      <w:pPr>
        <w:pBdr>
          <w:top w:val="nil"/>
          <w:left w:val="nil"/>
          <w:bottom w:val="nil"/>
          <w:right w:val="nil"/>
          <w:between w:val="nil"/>
        </w:pBdr>
        <w:spacing w:after="0" w:line="240" w:lineRule="auto"/>
        <w:jc w:val="both"/>
        <w:rPr>
          <w:rFonts w:ascii="Arial" w:eastAsia="Arial" w:hAnsi="Arial" w:cs="Arial"/>
          <w:color w:val="000000" w:themeColor="text1"/>
          <w:sz w:val="24"/>
          <w:szCs w:val="24"/>
        </w:rPr>
      </w:pPr>
    </w:p>
    <w:p w14:paraId="2E2BC724" w14:textId="77777777" w:rsidR="00E62DD2" w:rsidRPr="00083184" w:rsidRDefault="00E62DD2">
      <w:pPr>
        <w:rPr>
          <w:rFonts w:ascii="Arial" w:eastAsia="Arial" w:hAnsi="Arial" w:cs="Arial"/>
          <w:b/>
          <w:color w:val="000000" w:themeColor="text1"/>
          <w:sz w:val="24"/>
          <w:szCs w:val="24"/>
          <w:u w:val="single"/>
        </w:rPr>
      </w:pPr>
    </w:p>
    <w:p w14:paraId="60838C50" w14:textId="77777777" w:rsidR="00754BD6" w:rsidRPr="00083184" w:rsidRDefault="00754BD6" w:rsidP="00E26B87">
      <w:pPr>
        <w:spacing w:after="0" w:line="240" w:lineRule="auto"/>
        <w:rPr>
          <w:rFonts w:ascii="Arial" w:eastAsia="Times New Roman" w:hAnsi="Arial" w:cs="Arial"/>
          <w:b/>
          <w:bCs/>
          <w:color w:val="000000" w:themeColor="text1"/>
          <w:sz w:val="24"/>
          <w:szCs w:val="24"/>
        </w:rPr>
      </w:pPr>
    </w:p>
    <w:p w14:paraId="31AAC9E8" w14:textId="77777777" w:rsidR="00DE0517" w:rsidRPr="00083184" w:rsidRDefault="00DE0517" w:rsidP="008E7375">
      <w:pPr>
        <w:spacing w:after="0" w:line="240" w:lineRule="auto"/>
        <w:jc w:val="center"/>
        <w:outlineLvl w:val="0"/>
        <w:rPr>
          <w:rFonts w:ascii="Arial" w:eastAsia="Times New Roman" w:hAnsi="Arial" w:cs="Arial"/>
          <w:color w:val="000000" w:themeColor="text1"/>
          <w:sz w:val="28"/>
          <w:szCs w:val="28"/>
        </w:rPr>
      </w:pPr>
      <w:r w:rsidRPr="00083184">
        <w:rPr>
          <w:rFonts w:ascii="Arial" w:eastAsia="Times New Roman" w:hAnsi="Arial" w:cs="Arial"/>
          <w:b/>
          <w:bCs/>
          <w:color w:val="000000" w:themeColor="text1"/>
          <w:sz w:val="28"/>
          <w:szCs w:val="28"/>
        </w:rPr>
        <w:t>ECONOMIC OUTLOOK</w:t>
      </w:r>
    </w:p>
    <w:p w14:paraId="001091E4" w14:textId="77777777" w:rsidR="00DE0517" w:rsidRPr="00083184" w:rsidRDefault="00DE0517" w:rsidP="00DE0517">
      <w:pPr>
        <w:spacing w:after="0" w:line="240" w:lineRule="auto"/>
        <w:rPr>
          <w:rFonts w:ascii="Arial" w:eastAsia="Times New Roman" w:hAnsi="Arial" w:cs="Arial"/>
          <w:color w:val="000000" w:themeColor="text1"/>
          <w:sz w:val="24"/>
          <w:szCs w:val="24"/>
        </w:rPr>
      </w:pPr>
    </w:p>
    <w:p w14:paraId="16B98BAE" w14:textId="77777777" w:rsidR="00DE0517" w:rsidRPr="00083184" w:rsidRDefault="00DE0517" w:rsidP="00DE0517">
      <w:pPr>
        <w:spacing w:after="0" w:line="240" w:lineRule="auto"/>
        <w:jc w:val="both"/>
        <w:rPr>
          <w:rFonts w:ascii="Arial" w:eastAsia="Times New Roman" w:hAnsi="Arial" w:cs="Arial"/>
          <w:color w:val="000000" w:themeColor="text1"/>
          <w:sz w:val="24"/>
          <w:szCs w:val="24"/>
        </w:rPr>
      </w:pPr>
      <w:r w:rsidRPr="00083184">
        <w:rPr>
          <w:rFonts w:ascii="Arial" w:eastAsia="Times New Roman" w:hAnsi="Arial" w:cs="Arial"/>
          <w:color w:val="000000" w:themeColor="text1"/>
          <w:sz w:val="24"/>
          <w:szCs w:val="24"/>
        </w:rPr>
        <w:t>Having a holistic view on macroeconomic conditions is the cornerstone for our fundamental analysis. We analyze both U.S. and foreign economic conditions and developments. We also monitor their impact on our existing investments and potential opportunities.</w:t>
      </w:r>
    </w:p>
    <w:p w14:paraId="6730605C" w14:textId="77777777" w:rsidR="00DE0517" w:rsidRPr="00083184" w:rsidRDefault="00DE0517" w:rsidP="00DE0517">
      <w:pPr>
        <w:spacing w:after="0" w:line="240" w:lineRule="auto"/>
        <w:rPr>
          <w:rFonts w:ascii="Arial" w:eastAsia="Times New Roman" w:hAnsi="Arial" w:cs="Arial"/>
          <w:color w:val="000000" w:themeColor="text1"/>
          <w:sz w:val="24"/>
          <w:szCs w:val="24"/>
        </w:rPr>
      </w:pPr>
    </w:p>
    <w:p w14:paraId="45EDA23A" w14:textId="77777777" w:rsidR="00DE0517" w:rsidRPr="00083184" w:rsidRDefault="00DE0517" w:rsidP="008E7375">
      <w:pPr>
        <w:spacing w:line="240" w:lineRule="auto"/>
        <w:outlineLvl w:val="0"/>
        <w:rPr>
          <w:rFonts w:ascii="Arial" w:eastAsia="Times New Roman" w:hAnsi="Arial" w:cs="Arial"/>
          <w:b/>
          <w:bCs/>
          <w:color w:val="000000" w:themeColor="text1"/>
          <w:sz w:val="24"/>
          <w:szCs w:val="24"/>
          <w:u w:val="single"/>
        </w:rPr>
      </w:pPr>
      <w:r w:rsidRPr="00083184">
        <w:rPr>
          <w:rFonts w:ascii="Arial" w:eastAsia="Times New Roman" w:hAnsi="Arial" w:cs="Arial"/>
          <w:b/>
          <w:bCs/>
          <w:color w:val="000000" w:themeColor="text1"/>
          <w:sz w:val="24"/>
          <w:szCs w:val="24"/>
          <w:u w:val="single"/>
        </w:rPr>
        <w:t>US Economy &amp; Monetary Policy</w:t>
      </w:r>
    </w:p>
    <w:p w14:paraId="4875558D" w14:textId="77777777" w:rsidR="00DE0517" w:rsidRPr="00083184" w:rsidRDefault="00DE0517" w:rsidP="008E7375">
      <w:pPr>
        <w:spacing w:after="80" w:line="240" w:lineRule="auto"/>
        <w:outlineLvl w:val="0"/>
        <w:rPr>
          <w:rFonts w:ascii="Arial" w:eastAsia="Times New Roman" w:hAnsi="Arial" w:cs="Arial"/>
          <w:color w:val="000000" w:themeColor="text1"/>
          <w:sz w:val="24"/>
          <w:szCs w:val="24"/>
          <w:u w:val="single"/>
        </w:rPr>
      </w:pPr>
      <w:r w:rsidRPr="00083184">
        <w:rPr>
          <w:rFonts w:ascii="Arial" w:eastAsia="Times New Roman" w:hAnsi="Arial" w:cs="Arial"/>
          <w:color w:val="000000" w:themeColor="text1"/>
          <w:sz w:val="24"/>
          <w:szCs w:val="24"/>
          <w:u w:val="single"/>
        </w:rPr>
        <w:t>GDP</w:t>
      </w:r>
    </w:p>
    <w:p w14:paraId="585FCAD4" w14:textId="48EF4A6A" w:rsidR="00DE0517" w:rsidRPr="00083184" w:rsidRDefault="2561298F" w:rsidP="2561298F">
      <w:pPr>
        <w:spacing w:after="0" w:line="240" w:lineRule="auto"/>
        <w:jc w:val="both"/>
        <w:rPr>
          <w:rFonts w:ascii="Arial" w:eastAsia="Times New Roman" w:hAnsi="Arial" w:cs="Arial"/>
          <w:color w:val="000000" w:themeColor="text1"/>
          <w:sz w:val="24"/>
          <w:szCs w:val="24"/>
        </w:rPr>
      </w:pPr>
      <w:r w:rsidRPr="00083184">
        <w:rPr>
          <w:rFonts w:ascii="Arial" w:eastAsia="Times New Roman" w:hAnsi="Arial" w:cs="Arial"/>
          <w:color w:val="000000" w:themeColor="text1"/>
          <w:sz w:val="24"/>
          <w:szCs w:val="24"/>
        </w:rPr>
        <w:t xml:space="preserve">The U.S. economy has experienced a significant economic expansion for nearly a decade. As we move towards the end of the economic cycle, the U.S. economy is continuing to expand with real GDP growing at an annual rate of 3.5% in the third quarter of 2018. After growth picked up in the second quarter, due in part to consumer expenditures rising at a moderate pace, it slowed in the third </w:t>
      </w:r>
      <w:r w:rsidR="009B7C03">
        <w:rPr>
          <w:rFonts w:ascii="Arial" w:eastAsia="Times New Roman" w:hAnsi="Arial" w:cs="Arial"/>
          <w:color w:val="000000" w:themeColor="text1"/>
          <w:sz w:val="24"/>
          <w:szCs w:val="24"/>
        </w:rPr>
        <w:t xml:space="preserve">quarter </w:t>
      </w:r>
      <w:r w:rsidRPr="00083184">
        <w:rPr>
          <w:rFonts w:ascii="Arial" w:eastAsia="Times New Roman" w:hAnsi="Arial" w:cs="Arial"/>
          <w:color w:val="000000" w:themeColor="text1"/>
          <w:sz w:val="24"/>
          <w:szCs w:val="24"/>
        </w:rPr>
        <w:t>similar to the rate in the first half of the year. Personal Consumption Expenditure (PCE) is increasing at</w:t>
      </w:r>
      <w:r w:rsidR="009B7C03">
        <w:rPr>
          <w:rFonts w:ascii="Arial" w:eastAsia="Times New Roman" w:hAnsi="Arial" w:cs="Arial"/>
          <w:color w:val="000000" w:themeColor="text1"/>
          <w:sz w:val="24"/>
          <w:szCs w:val="24"/>
        </w:rPr>
        <w:t xml:space="preserve"> a steady rate</w:t>
      </w:r>
      <w:r w:rsidRPr="00083184">
        <w:rPr>
          <w:rFonts w:ascii="Arial" w:eastAsia="Times New Roman" w:hAnsi="Arial" w:cs="Arial"/>
          <w:color w:val="000000" w:themeColor="text1"/>
          <w:sz w:val="24"/>
          <w:szCs w:val="24"/>
        </w:rPr>
        <w:t>. Real PCE increased 0.3% and Disposa</w:t>
      </w:r>
      <w:r w:rsidR="00AE617F" w:rsidRPr="00083184">
        <w:rPr>
          <w:rFonts w:ascii="Arial" w:eastAsia="Times New Roman" w:hAnsi="Arial" w:cs="Arial"/>
          <w:color w:val="000000" w:themeColor="text1"/>
          <w:sz w:val="24"/>
          <w:szCs w:val="24"/>
        </w:rPr>
        <w:t>ble Personal Income (DPI) increased</w:t>
      </w:r>
      <w:r w:rsidRPr="00083184">
        <w:rPr>
          <w:rFonts w:ascii="Arial" w:eastAsia="Times New Roman" w:hAnsi="Arial" w:cs="Arial"/>
          <w:color w:val="000000" w:themeColor="text1"/>
          <w:sz w:val="24"/>
          <w:szCs w:val="24"/>
        </w:rPr>
        <w:t xml:space="preserve"> 0.1% as of </w:t>
      </w:r>
      <w:r w:rsidR="009B7C03">
        <w:rPr>
          <w:rFonts w:ascii="Arial" w:eastAsia="Times New Roman" w:hAnsi="Arial" w:cs="Arial"/>
          <w:color w:val="000000" w:themeColor="text1"/>
          <w:sz w:val="24"/>
          <w:szCs w:val="24"/>
        </w:rPr>
        <w:t xml:space="preserve">the </w:t>
      </w:r>
      <w:r w:rsidRPr="00083184">
        <w:rPr>
          <w:rFonts w:ascii="Arial" w:eastAsia="Times New Roman" w:hAnsi="Arial" w:cs="Arial"/>
          <w:color w:val="000000" w:themeColor="text1"/>
          <w:sz w:val="24"/>
          <w:szCs w:val="24"/>
        </w:rPr>
        <w:t>September report. These</w:t>
      </w:r>
      <w:r w:rsidR="009B7C03">
        <w:rPr>
          <w:rFonts w:ascii="Arial" w:eastAsia="Times New Roman" w:hAnsi="Arial" w:cs="Arial"/>
          <w:color w:val="000000" w:themeColor="text1"/>
          <w:sz w:val="24"/>
          <w:szCs w:val="24"/>
        </w:rPr>
        <w:t xml:space="preserve"> increases are mainly driven by </w:t>
      </w:r>
      <w:r w:rsidRPr="00083184">
        <w:rPr>
          <w:rFonts w:ascii="Arial" w:eastAsia="Times New Roman" w:hAnsi="Arial" w:cs="Arial"/>
          <w:color w:val="000000" w:themeColor="text1"/>
          <w:sz w:val="24"/>
          <w:szCs w:val="24"/>
        </w:rPr>
        <w:t>increase</w:t>
      </w:r>
      <w:r w:rsidR="009B7C03">
        <w:rPr>
          <w:rFonts w:ascii="Arial" w:eastAsia="Times New Roman" w:hAnsi="Arial" w:cs="Arial"/>
          <w:color w:val="000000" w:themeColor="text1"/>
          <w:sz w:val="24"/>
          <w:szCs w:val="24"/>
        </w:rPr>
        <w:t>s</w:t>
      </w:r>
      <w:r w:rsidRPr="00083184">
        <w:rPr>
          <w:rFonts w:ascii="Arial" w:eastAsia="Times New Roman" w:hAnsi="Arial" w:cs="Arial"/>
          <w:color w:val="000000" w:themeColor="text1"/>
          <w:sz w:val="24"/>
          <w:szCs w:val="24"/>
        </w:rPr>
        <w:t xml:space="preserve"> in wages, salaries, and government social benefits. However, after the effect of the recent hurricane</w:t>
      </w:r>
      <w:r w:rsidR="009B7C03">
        <w:rPr>
          <w:rFonts w:ascii="Arial" w:eastAsia="Times New Roman" w:hAnsi="Arial" w:cs="Arial"/>
          <w:color w:val="000000" w:themeColor="text1"/>
          <w:sz w:val="24"/>
          <w:szCs w:val="24"/>
        </w:rPr>
        <w:t>s, we expect the growth rate of spending to pick up in the fourth quarter</w:t>
      </w:r>
      <w:r w:rsidRPr="00083184">
        <w:rPr>
          <w:rFonts w:ascii="Arial" w:eastAsia="Times New Roman" w:hAnsi="Arial" w:cs="Arial"/>
          <w:color w:val="000000" w:themeColor="text1"/>
          <w:sz w:val="24"/>
          <w:szCs w:val="24"/>
        </w:rPr>
        <w:t xml:space="preserve">. This is consistent with the University </w:t>
      </w:r>
      <w:r w:rsidR="009B7C03">
        <w:rPr>
          <w:rFonts w:ascii="Arial" w:eastAsia="Times New Roman" w:hAnsi="Arial" w:cs="Arial"/>
          <w:color w:val="000000" w:themeColor="text1"/>
          <w:sz w:val="24"/>
          <w:szCs w:val="24"/>
        </w:rPr>
        <w:t>of Michigan Consumer Sentiment S</w:t>
      </w:r>
      <w:r w:rsidRPr="00083184">
        <w:rPr>
          <w:rFonts w:ascii="Arial" w:eastAsia="Times New Roman" w:hAnsi="Arial" w:cs="Arial"/>
          <w:color w:val="000000" w:themeColor="text1"/>
          <w:sz w:val="24"/>
          <w:szCs w:val="24"/>
        </w:rPr>
        <w:t>urvey. The recent trade tensions with China are expected to exert a downward pressure on GDP growth due to an increase in input prices and a decrease in foreign demand for goods and services.</w:t>
      </w:r>
    </w:p>
    <w:p w14:paraId="6DF5013A" w14:textId="77777777" w:rsidR="00DE0517" w:rsidRPr="00083184" w:rsidRDefault="00DE0517" w:rsidP="00DE0517">
      <w:pPr>
        <w:spacing w:after="0" w:line="240" w:lineRule="auto"/>
        <w:jc w:val="both"/>
        <w:rPr>
          <w:rFonts w:ascii="Arial" w:eastAsia="Times New Roman" w:hAnsi="Arial" w:cs="Arial"/>
          <w:color w:val="000000" w:themeColor="text1"/>
          <w:sz w:val="24"/>
          <w:szCs w:val="24"/>
        </w:rPr>
      </w:pPr>
    </w:p>
    <w:p w14:paraId="6B3D0295" w14:textId="77777777" w:rsidR="00DE0517" w:rsidRPr="00083184" w:rsidRDefault="00DE0517" w:rsidP="008E7375">
      <w:pPr>
        <w:spacing w:after="80" w:line="240" w:lineRule="auto"/>
        <w:jc w:val="both"/>
        <w:outlineLvl w:val="0"/>
        <w:rPr>
          <w:rFonts w:ascii="Arial" w:eastAsia="Times New Roman" w:hAnsi="Arial" w:cs="Arial"/>
          <w:color w:val="000000" w:themeColor="text1"/>
          <w:sz w:val="24"/>
          <w:szCs w:val="24"/>
          <w:u w:val="single"/>
        </w:rPr>
      </w:pPr>
      <w:r w:rsidRPr="00083184">
        <w:rPr>
          <w:rFonts w:ascii="Arial" w:eastAsia="Times New Roman" w:hAnsi="Arial" w:cs="Arial"/>
          <w:color w:val="000000" w:themeColor="text1"/>
          <w:sz w:val="24"/>
          <w:szCs w:val="24"/>
          <w:u w:val="single"/>
        </w:rPr>
        <w:t>Employment</w:t>
      </w:r>
    </w:p>
    <w:p w14:paraId="1E98F95B" w14:textId="44134F38" w:rsidR="00DE0517" w:rsidRPr="00083184" w:rsidRDefault="008E7375" w:rsidP="00DE0517">
      <w:pPr>
        <w:spacing w:after="0" w:line="240" w:lineRule="auto"/>
        <w:jc w:val="both"/>
        <w:rPr>
          <w:rFonts w:ascii="Arial" w:eastAsia="Times New Roman" w:hAnsi="Arial" w:cs="Arial"/>
          <w:color w:val="000000" w:themeColor="text1"/>
          <w:sz w:val="24"/>
          <w:szCs w:val="24"/>
        </w:rPr>
      </w:pPr>
      <w:r w:rsidRPr="00083184">
        <w:rPr>
          <w:rFonts w:ascii="Arial" w:eastAsia="Times New Roman" w:hAnsi="Arial" w:cs="Arial"/>
          <w:color w:val="000000" w:themeColor="text1"/>
          <w:sz w:val="24"/>
          <w:szCs w:val="24"/>
        </w:rPr>
        <w:t>The u</w:t>
      </w:r>
      <w:r w:rsidR="00DE0517" w:rsidRPr="00083184">
        <w:rPr>
          <w:rFonts w:ascii="Arial" w:eastAsia="Times New Roman" w:hAnsi="Arial" w:cs="Arial"/>
          <w:color w:val="000000" w:themeColor="text1"/>
          <w:sz w:val="24"/>
          <w:szCs w:val="24"/>
        </w:rPr>
        <w:t>nemployment rate has decreased signifi</w:t>
      </w:r>
      <w:r w:rsidRPr="00083184">
        <w:rPr>
          <w:rFonts w:ascii="Arial" w:eastAsia="Times New Roman" w:hAnsi="Arial" w:cs="Arial"/>
          <w:color w:val="000000" w:themeColor="text1"/>
          <w:sz w:val="24"/>
          <w:szCs w:val="24"/>
        </w:rPr>
        <w:t>cantly since the last recession.</w:t>
      </w:r>
      <w:r w:rsidR="00DE0517" w:rsidRPr="00083184">
        <w:rPr>
          <w:rFonts w:ascii="Arial" w:eastAsia="Times New Roman" w:hAnsi="Arial" w:cs="Arial"/>
          <w:color w:val="000000" w:themeColor="text1"/>
          <w:sz w:val="24"/>
          <w:szCs w:val="24"/>
        </w:rPr>
        <w:t xml:space="preserve"> </w:t>
      </w:r>
      <w:r w:rsidRPr="00083184">
        <w:rPr>
          <w:rFonts w:ascii="Arial" w:eastAsia="Times New Roman" w:hAnsi="Arial" w:cs="Arial"/>
          <w:color w:val="000000" w:themeColor="text1"/>
          <w:sz w:val="24"/>
          <w:szCs w:val="24"/>
        </w:rPr>
        <w:t xml:space="preserve">It is </w:t>
      </w:r>
      <w:r w:rsidR="00DE0517" w:rsidRPr="00083184">
        <w:rPr>
          <w:rFonts w:ascii="Arial" w:eastAsia="Times New Roman" w:hAnsi="Arial" w:cs="Arial"/>
          <w:color w:val="000000" w:themeColor="text1"/>
          <w:sz w:val="24"/>
          <w:szCs w:val="24"/>
        </w:rPr>
        <w:t>down to 3.7% and has moved below estimates of u*, indicating that the economy is a</w:t>
      </w:r>
      <w:r w:rsidRPr="00083184">
        <w:rPr>
          <w:rFonts w:ascii="Arial" w:eastAsia="Times New Roman" w:hAnsi="Arial" w:cs="Arial"/>
          <w:color w:val="000000" w:themeColor="text1"/>
          <w:sz w:val="24"/>
          <w:szCs w:val="24"/>
        </w:rPr>
        <w:t>t maximum employment. Initial j</w:t>
      </w:r>
      <w:r w:rsidR="00DE0517" w:rsidRPr="00083184">
        <w:rPr>
          <w:rFonts w:ascii="Arial" w:eastAsia="Times New Roman" w:hAnsi="Arial" w:cs="Arial"/>
          <w:color w:val="000000" w:themeColor="text1"/>
          <w:sz w:val="24"/>
          <w:szCs w:val="24"/>
        </w:rPr>
        <w:t>obless claims ha</w:t>
      </w:r>
      <w:r w:rsidR="003B3E6B" w:rsidRPr="00083184">
        <w:rPr>
          <w:rFonts w:ascii="Arial" w:eastAsia="Times New Roman" w:hAnsi="Arial" w:cs="Arial"/>
          <w:color w:val="000000" w:themeColor="text1"/>
          <w:sz w:val="24"/>
          <w:szCs w:val="24"/>
        </w:rPr>
        <w:t>ve</w:t>
      </w:r>
      <w:r w:rsidR="00DE0517" w:rsidRPr="00083184">
        <w:rPr>
          <w:rFonts w:ascii="Arial" w:eastAsia="Times New Roman" w:hAnsi="Arial" w:cs="Arial"/>
          <w:color w:val="000000" w:themeColor="text1"/>
          <w:sz w:val="24"/>
          <w:szCs w:val="24"/>
        </w:rPr>
        <w:t xml:space="preserve"> followed the same trend and </w:t>
      </w:r>
      <w:r w:rsidR="000277BF" w:rsidRPr="00083184">
        <w:rPr>
          <w:rFonts w:ascii="Arial" w:hAnsi="Arial" w:cs="Arial"/>
          <w:color w:val="000000" w:themeColor="text1"/>
          <w:sz w:val="24"/>
          <w:szCs w:val="24"/>
          <w:lang w:eastAsia="zh-CN"/>
        </w:rPr>
        <w:t>have</w:t>
      </w:r>
      <w:r w:rsidR="00DE0517" w:rsidRPr="00083184">
        <w:rPr>
          <w:rFonts w:ascii="Arial" w:eastAsia="Times New Roman" w:hAnsi="Arial" w:cs="Arial"/>
          <w:color w:val="000000" w:themeColor="text1"/>
          <w:sz w:val="24"/>
          <w:szCs w:val="24"/>
        </w:rPr>
        <w:t xml:space="preserve"> decreased to around 231,000 claims as of December 6</w:t>
      </w:r>
      <w:r w:rsidR="00DE0517" w:rsidRPr="00083184">
        <w:rPr>
          <w:rFonts w:ascii="Arial" w:eastAsia="Times New Roman" w:hAnsi="Arial" w:cs="Arial"/>
          <w:color w:val="000000" w:themeColor="text1"/>
          <w:sz w:val="24"/>
          <w:szCs w:val="24"/>
          <w:vertAlign w:val="superscript"/>
        </w:rPr>
        <w:t>th</w:t>
      </w:r>
      <w:r w:rsidR="00DE0517" w:rsidRPr="00083184">
        <w:rPr>
          <w:rFonts w:ascii="Arial" w:eastAsia="Times New Roman" w:hAnsi="Arial" w:cs="Arial"/>
          <w:color w:val="000000" w:themeColor="text1"/>
          <w:sz w:val="24"/>
          <w:szCs w:val="24"/>
        </w:rPr>
        <w:t>. The spread between U-3 and U-6 has continually tightened during the same period. We see this as a positive sign as a smaller proportion of the workforce is engaged in part-time work for economic reasons, indicating that more favorable economic conditions are driving the tighter labor market. The steady decline in the Labor Force Participation Rate that began around the turn of the century shows signs of stabilizing, with the latest number showing a modest increase to 62.9%.  </w:t>
      </w:r>
    </w:p>
    <w:p w14:paraId="6DA2C8D6" w14:textId="77777777" w:rsidR="00DE0517" w:rsidRPr="00083184" w:rsidRDefault="00DE0517" w:rsidP="00DE0517">
      <w:pPr>
        <w:spacing w:after="0" w:line="240" w:lineRule="auto"/>
        <w:jc w:val="both"/>
        <w:rPr>
          <w:rFonts w:ascii="Arial" w:eastAsia="Times New Roman" w:hAnsi="Arial" w:cs="Arial"/>
          <w:color w:val="000000" w:themeColor="text1"/>
          <w:sz w:val="24"/>
          <w:szCs w:val="24"/>
        </w:rPr>
      </w:pPr>
    </w:p>
    <w:p w14:paraId="18FF9D1A" w14:textId="77777777" w:rsidR="00DE0517" w:rsidRPr="00083184" w:rsidRDefault="00DE0517" w:rsidP="008E7375">
      <w:pPr>
        <w:spacing w:after="80" w:line="240" w:lineRule="auto"/>
        <w:jc w:val="both"/>
        <w:outlineLvl w:val="0"/>
        <w:rPr>
          <w:rFonts w:ascii="Arial" w:eastAsia="Times New Roman" w:hAnsi="Arial" w:cs="Arial"/>
          <w:color w:val="000000" w:themeColor="text1"/>
          <w:sz w:val="24"/>
          <w:szCs w:val="24"/>
          <w:u w:val="single"/>
        </w:rPr>
      </w:pPr>
      <w:r w:rsidRPr="00083184">
        <w:rPr>
          <w:rFonts w:ascii="Arial" w:eastAsia="Times New Roman" w:hAnsi="Arial" w:cs="Arial"/>
          <w:color w:val="000000" w:themeColor="text1"/>
          <w:sz w:val="24"/>
          <w:szCs w:val="24"/>
          <w:u w:val="single"/>
        </w:rPr>
        <w:t>Inflation</w:t>
      </w:r>
    </w:p>
    <w:p w14:paraId="6093B5B7" w14:textId="69AE9773" w:rsidR="00DE0517" w:rsidRPr="00083184" w:rsidRDefault="2561298F" w:rsidP="2561298F">
      <w:pPr>
        <w:spacing w:after="0" w:line="240" w:lineRule="auto"/>
        <w:jc w:val="both"/>
        <w:rPr>
          <w:rFonts w:ascii="Arial" w:eastAsia="Times New Roman" w:hAnsi="Arial" w:cs="Arial"/>
          <w:color w:val="000000" w:themeColor="text1"/>
          <w:sz w:val="24"/>
          <w:szCs w:val="24"/>
        </w:rPr>
      </w:pPr>
      <w:r w:rsidRPr="00083184">
        <w:rPr>
          <w:rFonts w:ascii="Arial" w:eastAsia="Times New Roman" w:hAnsi="Arial" w:cs="Arial"/>
          <w:color w:val="000000" w:themeColor="text1"/>
          <w:sz w:val="24"/>
          <w:szCs w:val="24"/>
        </w:rPr>
        <w:t xml:space="preserve">Headline Consumer Price Index rose 2.5% </w:t>
      </w:r>
      <w:r w:rsidR="008E7375" w:rsidRPr="00083184">
        <w:rPr>
          <w:rFonts w:ascii="Arial" w:eastAsia="Times New Roman" w:hAnsi="Arial" w:cs="Arial"/>
          <w:color w:val="000000" w:themeColor="text1"/>
          <w:sz w:val="24"/>
          <w:szCs w:val="24"/>
        </w:rPr>
        <w:t>year over year</w:t>
      </w:r>
      <w:r w:rsidRPr="00083184">
        <w:rPr>
          <w:rFonts w:ascii="Arial" w:eastAsia="Times New Roman" w:hAnsi="Arial" w:cs="Arial"/>
          <w:color w:val="000000" w:themeColor="text1"/>
          <w:sz w:val="24"/>
          <w:szCs w:val="24"/>
        </w:rPr>
        <w:t xml:space="preserve"> as of the November release. The core CPI rose 2.1%. The headline PCE Price Index increased by 2% </w:t>
      </w:r>
      <w:r w:rsidR="009B7C03">
        <w:rPr>
          <w:rFonts w:ascii="Arial" w:eastAsia="Times New Roman" w:hAnsi="Arial" w:cs="Arial"/>
          <w:color w:val="000000" w:themeColor="text1"/>
          <w:sz w:val="24"/>
          <w:szCs w:val="24"/>
        </w:rPr>
        <w:t>y</w:t>
      </w:r>
      <w:r w:rsidR="008E7375" w:rsidRPr="00083184">
        <w:rPr>
          <w:rFonts w:ascii="Arial" w:eastAsia="Times New Roman" w:hAnsi="Arial" w:cs="Arial"/>
          <w:color w:val="000000" w:themeColor="text1"/>
          <w:sz w:val="24"/>
          <w:szCs w:val="24"/>
        </w:rPr>
        <w:t>ear over year</w:t>
      </w:r>
      <w:r w:rsidRPr="00083184">
        <w:rPr>
          <w:rFonts w:ascii="Arial" w:eastAsia="Times New Roman" w:hAnsi="Arial" w:cs="Arial"/>
          <w:color w:val="000000" w:themeColor="text1"/>
          <w:sz w:val="24"/>
          <w:szCs w:val="24"/>
        </w:rPr>
        <w:t>, which represents slower growth in the index compared to the previous perio</w:t>
      </w:r>
      <w:r w:rsidR="008E7375" w:rsidRPr="00083184">
        <w:rPr>
          <w:rFonts w:ascii="Arial" w:eastAsia="Times New Roman" w:hAnsi="Arial" w:cs="Arial"/>
          <w:color w:val="000000" w:themeColor="text1"/>
          <w:sz w:val="24"/>
          <w:szCs w:val="24"/>
        </w:rPr>
        <w:t xml:space="preserve">d.  Core PCE remained at a </w:t>
      </w:r>
      <w:r w:rsidRPr="00083184">
        <w:rPr>
          <w:rFonts w:ascii="Arial" w:eastAsia="Times New Roman" w:hAnsi="Arial" w:cs="Arial"/>
          <w:color w:val="000000" w:themeColor="text1"/>
          <w:sz w:val="24"/>
          <w:szCs w:val="24"/>
        </w:rPr>
        <w:t>2%</w:t>
      </w:r>
      <w:r w:rsidR="008E7375" w:rsidRPr="00083184">
        <w:rPr>
          <w:rFonts w:ascii="Arial" w:eastAsia="Times New Roman" w:hAnsi="Arial" w:cs="Arial"/>
          <w:color w:val="000000" w:themeColor="text1"/>
          <w:sz w:val="24"/>
          <w:szCs w:val="24"/>
        </w:rPr>
        <w:t xml:space="preserve"> </w:t>
      </w:r>
      <w:r w:rsidRPr="00083184">
        <w:rPr>
          <w:rFonts w:ascii="Arial" w:eastAsia="Times New Roman" w:hAnsi="Arial" w:cs="Arial"/>
          <w:color w:val="000000" w:themeColor="text1"/>
          <w:sz w:val="24"/>
          <w:szCs w:val="24"/>
        </w:rPr>
        <w:t>year over year growth for the fifth consecutive month. Decreased energy prices during the period contributed to the decreased growth rate of Headline PCE compared to Core PCE.  The Core PCE numbers indicate that infla</w:t>
      </w:r>
      <w:r w:rsidR="009B7C03">
        <w:rPr>
          <w:rFonts w:ascii="Arial" w:eastAsia="Times New Roman" w:hAnsi="Arial" w:cs="Arial"/>
          <w:color w:val="000000" w:themeColor="text1"/>
          <w:sz w:val="24"/>
          <w:szCs w:val="24"/>
        </w:rPr>
        <w:t>tion is stabilizing at 2%</w:t>
      </w:r>
      <w:r w:rsidRPr="00083184">
        <w:rPr>
          <w:rFonts w:ascii="Arial" w:eastAsia="Times New Roman" w:hAnsi="Arial" w:cs="Arial"/>
          <w:color w:val="000000" w:themeColor="text1"/>
          <w:sz w:val="24"/>
          <w:szCs w:val="24"/>
        </w:rPr>
        <w:t>. TIPS are a market-based measure of inflation where the yield is determined by changes in CPI. Breakeven Inflation (BEI), which serves as a barometer of the market’s inflation expectations, shows signs of stabilizing at 1.94</w:t>
      </w:r>
      <w:r w:rsidR="008E7375" w:rsidRPr="00083184">
        <w:rPr>
          <w:rFonts w:ascii="Arial" w:eastAsia="Times New Roman" w:hAnsi="Arial" w:cs="Arial"/>
          <w:color w:val="000000" w:themeColor="text1"/>
          <w:sz w:val="24"/>
          <w:szCs w:val="24"/>
        </w:rPr>
        <w:t>%</w:t>
      </w:r>
      <w:r w:rsidRPr="00083184">
        <w:rPr>
          <w:rFonts w:ascii="Arial" w:eastAsia="Times New Roman" w:hAnsi="Arial" w:cs="Arial"/>
          <w:color w:val="000000" w:themeColor="text1"/>
          <w:sz w:val="24"/>
          <w:szCs w:val="24"/>
        </w:rPr>
        <w:t xml:space="preserve"> and 2.03</w:t>
      </w:r>
      <w:r w:rsidR="008E7375" w:rsidRPr="00083184">
        <w:rPr>
          <w:rFonts w:ascii="Arial" w:eastAsia="Times New Roman" w:hAnsi="Arial" w:cs="Arial"/>
          <w:color w:val="000000" w:themeColor="text1"/>
          <w:sz w:val="24"/>
          <w:szCs w:val="24"/>
        </w:rPr>
        <w:t xml:space="preserve">% </w:t>
      </w:r>
      <w:r w:rsidRPr="00083184">
        <w:rPr>
          <w:rFonts w:ascii="Arial" w:eastAsia="Times New Roman" w:hAnsi="Arial" w:cs="Arial"/>
          <w:color w:val="000000" w:themeColor="text1"/>
          <w:sz w:val="24"/>
          <w:szCs w:val="24"/>
        </w:rPr>
        <w:t xml:space="preserve">for the 10 and the 30-year BEI.  The employment and inflation indicators show that the economy is experiencing moderate inflationary pressure from the tightening labor market and the </w:t>
      </w:r>
      <w:r w:rsidR="008E7375" w:rsidRPr="00083184">
        <w:rPr>
          <w:rFonts w:ascii="Arial" w:eastAsia="Times New Roman" w:hAnsi="Arial" w:cs="Arial"/>
          <w:color w:val="000000" w:themeColor="text1"/>
          <w:sz w:val="24"/>
          <w:szCs w:val="24"/>
        </w:rPr>
        <w:t xml:space="preserve">expanding economy. </w:t>
      </w:r>
      <w:r w:rsidRPr="00083184">
        <w:rPr>
          <w:rFonts w:ascii="Arial" w:eastAsia="Times New Roman" w:hAnsi="Arial" w:cs="Arial"/>
          <w:color w:val="000000" w:themeColor="text1"/>
          <w:sz w:val="24"/>
          <w:szCs w:val="24"/>
        </w:rPr>
        <w:t>Wages are growing steadily, and indicators of inflation are stabilizi</w:t>
      </w:r>
      <w:r w:rsidR="008E7375" w:rsidRPr="00083184">
        <w:rPr>
          <w:rFonts w:ascii="Arial" w:eastAsia="Times New Roman" w:hAnsi="Arial" w:cs="Arial"/>
          <w:color w:val="000000" w:themeColor="text1"/>
          <w:sz w:val="24"/>
          <w:szCs w:val="24"/>
        </w:rPr>
        <w:t>ng around the Fed’s symmetric 2%</w:t>
      </w:r>
      <w:r w:rsidRPr="00083184">
        <w:rPr>
          <w:rFonts w:ascii="Arial" w:eastAsia="Times New Roman" w:hAnsi="Arial" w:cs="Arial"/>
          <w:color w:val="000000" w:themeColor="text1"/>
          <w:sz w:val="24"/>
          <w:szCs w:val="24"/>
        </w:rPr>
        <w:t xml:space="preserve"> target</w:t>
      </w:r>
      <w:r w:rsidR="008E7375" w:rsidRPr="00083184">
        <w:rPr>
          <w:rFonts w:ascii="Arial" w:eastAsia="Times New Roman" w:hAnsi="Arial" w:cs="Arial"/>
          <w:color w:val="000000" w:themeColor="text1"/>
          <w:sz w:val="24"/>
          <w:szCs w:val="24"/>
        </w:rPr>
        <w:t>.</w:t>
      </w:r>
    </w:p>
    <w:p w14:paraId="1DAF230C" w14:textId="77777777" w:rsidR="00DE0517" w:rsidRPr="00083184" w:rsidRDefault="00DE0517" w:rsidP="00DE0517">
      <w:pPr>
        <w:spacing w:after="0" w:line="240" w:lineRule="auto"/>
        <w:jc w:val="both"/>
        <w:rPr>
          <w:rFonts w:ascii="Arial" w:eastAsia="Times New Roman" w:hAnsi="Arial" w:cs="Arial"/>
          <w:color w:val="000000" w:themeColor="text1"/>
          <w:sz w:val="24"/>
          <w:szCs w:val="24"/>
        </w:rPr>
      </w:pPr>
    </w:p>
    <w:p w14:paraId="4E9BE1CD" w14:textId="0EC8F62F" w:rsidR="00DE0517" w:rsidRPr="00083184" w:rsidRDefault="00DE0517" w:rsidP="008E7375">
      <w:pPr>
        <w:spacing w:line="240" w:lineRule="auto"/>
        <w:outlineLvl w:val="0"/>
        <w:rPr>
          <w:rFonts w:ascii="Arial" w:eastAsia="Times New Roman" w:hAnsi="Arial" w:cs="Arial"/>
          <w:color w:val="000000" w:themeColor="text1"/>
          <w:sz w:val="24"/>
          <w:szCs w:val="24"/>
        </w:rPr>
      </w:pPr>
      <w:r w:rsidRPr="00083184">
        <w:rPr>
          <w:rFonts w:ascii="Arial" w:eastAsia="Times New Roman" w:hAnsi="Arial" w:cs="Arial"/>
          <w:b/>
          <w:bCs/>
          <w:color w:val="000000" w:themeColor="text1"/>
          <w:sz w:val="24"/>
          <w:szCs w:val="24"/>
          <w:u w:val="single"/>
        </w:rPr>
        <w:t>Global Economy and Monetary Policy</w:t>
      </w:r>
    </w:p>
    <w:p w14:paraId="4D325B3A" w14:textId="62605C07" w:rsidR="00DE0517" w:rsidRPr="00083184" w:rsidRDefault="2561298F" w:rsidP="2561298F">
      <w:pPr>
        <w:spacing w:after="0" w:line="240" w:lineRule="auto"/>
        <w:jc w:val="both"/>
        <w:rPr>
          <w:rFonts w:ascii="Arial" w:eastAsia="Times New Roman" w:hAnsi="Arial" w:cs="Arial"/>
          <w:color w:val="000000" w:themeColor="text1"/>
          <w:sz w:val="24"/>
          <w:szCs w:val="24"/>
        </w:rPr>
      </w:pPr>
      <w:r w:rsidRPr="00083184">
        <w:rPr>
          <w:rFonts w:ascii="Arial" w:eastAsia="Times New Roman" w:hAnsi="Arial" w:cs="Arial"/>
          <w:color w:val="000000" w:themeColor="text1"/>
          <w:sz w:val="24"/>
          <w:szCs w:val="24"/>
        </w:rPr>
        <w:t>As the Federal Reserve continues to tighten monetary po</w:t>
      </w:r>
      <w:r w:rsidR="00B53417">
        <w:rPr>
          <w:rFonts w:ascii="Arial" w:eastAsia="Times New Roman" w:hAnsi="Arial" w:cs="Arial"/>
          <w:color w:val="000000" w:themeColor="text1"/>
          <w:sz w:val="24"/>
          <w:szCs w:val="24"/>
        </w:rPr>
        <w:t xml:space="preserve">licy and exits from a </w:t>
      </w:r>
      <w:r w:rsidR="009B7C03" w:rsidRPr="00083184">
        <w:rPr>
          <w:rFonts w:ascii="Arial" w:eastAsia="Times New Roman" w:hAnsi="Arial" w:cs="Arial"/>
          <w:color w:val="000000" w:themeColor="text1"/>
          <w:sz w:val="24"/>
          <w:szCs w:val="24"/>
        </w:rPr>
        <w:t>more accommodative</w:t>
      </w:r>
      <w:r w:rsidRPr="00083184">
        <w:rPr>
          <w:rFonts w:ascii="Arial" w:eastAsia="Times New Roman" w:hAnsi="Arial" w:cs="Arial"/>
          <w:color w:val="000000" w:themeColor="text1"/>
          <w:sz w:val="24"/>
          <w:szCs w:val="24"/>
        </w:rPr>
        <w:t xml:space="preserve"> phase, some foreign economies are also slowing</w:t>
      </w:r>
      <w:r w:rsidR="00B53417">
        <w:rPr>
          <w:rFonts w:ascii="Arial" w:eastAsia="Times New Roman" w:hAnsi="Arial" w:cs="Arial"/>
          <w:color w:val="000000" w:themeColor="text1"/>
          <w:sz w:val="24"/>
          <w:szCs w:val="24"/>
        </w:rPr>
        <w:t xml:space="preserve"> down their quantitative easing </w:t>
      </w:r>
      <w:r w:rsidRPr="00083184">
        <w:rPr>
          <w:rFonts w:ascii="Arial" w:eastAsia="Times New Roman" w:hAnsi="Arial" w:cs="Arial"/>
          <w:color w:val="000000" w:themeColor="text1"/>
          <w:sz w:val="24"/>
          <w:szCs w:val="24"/>
        </w:rPr>
        <w:t>but remain at an accommodative monetary policy stance. The rising interest rates in the U.S. are driving capital outflows</w:t>
      </w:r>
      <w:r w:rsidR="008E7375" w:rsidRPr="00083184">
        <w:rPr>
          <w:rFonts w:ascii="Arial" w:eastAsia="Times New Roman" w:hAnsi="Arial" w:cs="Arial"/>
          <w:color w:val="000000" w:themeColor="text1"/>
          <w:sz w:val="24"/>
          <w:szCs w:val="24"/>
        </w:rPr>
        <w:t xml:space="preserve"> from emerging e</w:t>
      </w:r>
      <w:r w:rsidRPr="00083184">
        <w:rPr>
          <w:rFonts w:ascii="Arial" w:eastAsia="Times New Roman" w:hAnsi="Arial" w:cs="Arial"/>
          <w:color w:val="000000" w:themeColor="text1"/>
          <w:sz w:val="24"/>
          <w:szCs w:val="24"/>
        </w:rPr>
        <w:t>conomies. This creates a downward pressure on the foreign currency and increased volatility in the financial markets overseas. It has also created stress on some countries with U.S. dollar denominated debt. This is especi</w:t>
      </w:r>
      <w:r w:rsidR="007E3509">
        <w:rPr>
          <w:rFonts w:ascii="Arial" w:eastAsia="Times New Roman" w:hAnsi="Arial" w:cs="Arial"/>
          <w:color w:val="000000" w:themeColor="text1"/>
          <w:sz w:val="24"/>
          <w:szCs w:val="24"/>
        </w:rPr>
        <w:t>ally a concern over some of the</w:t>
      </w:r>
      <w:r w:rsidRPr="00083184">
        <w:rPr>
          <w:rFonts w:ascii="Arial" w:eastAsia="Times New Roman" w:hAnsi="Arial" w:cs="Arial"/>
          <w:color w:val="000000" w:themeColor="text1"/>
          <w:sz w:val="24"/>
          <w:szCs w:val="24"/>
        </w:rPr>
        <w:t xml:space="preserve"> EU markets. </w:t>
      </w:r>
    </w:p>
    <w:p w14:paraId="1FE28D2C" w14:textId="77777777" w:rsidR="00DE0517" w:rsidRPr="00083184" w:rsidRDefault="00DE0517" w:rsidP="00DE0517">
      <w:pPr>
        <w:spacing w:after="0" w:line="240" w:lineRule="auto"/>
        <w:jc w:val="both"/>
        <w:rPr>
          <w:rFonts w:ascii="Arial" w:eastAsia="Times New Roman" w:hAnsi="Arial" w:cs="Arial"/>
          <w:color w:val="000000" w:themeColor="text1"/>
          <w:sz w:val="24"/>
          <w:szCs w:val="24"/>
        </w:rPr>
      </w:pPr>
    </w:p>
    <w:p w14:paraId="514EA74D" w14:textId="77777777" w:rsidR="00DE0517" w:rsidRPr="00083184" w:rsidRDefault="00DE0517" w:rsidP="008E7375">
      <w:pPr>
        <w:spacing w:after="80" w:line="240" w:lineRule="auto"/>
        <w:outlineLvl w:val="0"/>
        <w:rPr>
          <w:rFonts w:ascii="Arial" w:eastAsia="Times New Roman" w:hAnsi="Arial" w:cs="Arial"/>
          <w:color w:val="000000" w:themeColor="text1"/>
          <w:sz w:val="24"/>
          <w:szCs w:val="24"/>
          <w:u w:val="single"/>
        </w:rPr>
      </w:pPr>
      <w:r w:rsidRPr="00083184">
        <w:rPr>
          <w:rFonts w:ascii="Arial" w:eastAsia="Times New Roman" w:hAnsi="Arial" w:cs="Arial"/>
          <w:color w:val="000000" w:themeColor="text1"/>
          <w:sz w:val="24"/>
          <w:szCs w:val="24"/>
          <w:u w:val="single"/>
        </w:rPr>
        <w:t>China</w:t>
      </w:r>
    </w:p>
    <w:p w14:paraId="51751867" w14:textId="43A90031" w:rsidR="00DE0517" w:rsidRPr="00083184" w:rsidRDefault="2561298F" w:rsidP="2561298F">
      <w:pPr>
        <w:spacing w:after="0" w:line="240" w:lineRule="auto"/>
        <w:jc w:val="both"/>
        <w:rPr>
          <w:rFonts w:ascii="Arial" w:eastAsia="Times New Roman" w:hAnsi="Arial" w:cs="Arial"/>
          <w:color w:val="000000" w:themeColor="text1"/>
          <w:sz w:val="24"/>
          <w:szCs w:val="24"/>
        </w:rPr>
      </w:pPr>
      <w:r w:rsidRPr="00083184">
        <w:rPr>
          <w:rFonts w:ascii="Arial" w:eastAsia="Times New Roman" w:hAnsi="Arial" w:cs="Arial"/>
          <w:color w:val="000000" w:themeColor="text1"/>
          <w:sz w:val="24"/>
          <w:szCs w:val="24"/>
        </w:rPr>
        <w:t xml:space="preserve">The Chinese economy has been on a robust growth path for the last few decades and is currently ranked second to the U.S. in nominal </w:t>
      </w:r>
      <w:r w:rsidR="007E3509">
        <w:rPr>
          <w:rFonts w:ascii="Arial" w:eastAsia="Times New Roman" w:hAnsi="Arial" w:cs="Arial"/>
          <w:color w:val="000000" w:themeColor="text1"/>
          <w:sz w:val="24"/>
          <w:szCs w:val="24"/>
        </w:rPr>
        <w:t>GDP</w:t>
      </w:r>
      <w:r w:rsidRPr="00083184">
        <w:rPr>
          <w:rFonts w:ascii="Arial" w:eastAsia="Times New Roman" w:hAnsi="Arial" w:cs="Arial"/>
          <w:color w:val="000000" w:themeColor="text1"/>
          <w:sz w:val="24"/>
          <w:szCs w:val="24"/>
        </w:rPr>
        <w:t xml:space="preserve"> with $9.2 trillion as of 2017. Real GDP growth was </w:t>
      </w:r>
      <w:r w:rsidR="007E3509">
        <w:rPr>
          <w:rFonts w:ascii="Arial" w:eastAsia="Times New Roman" w:hAnsi="Arial" w:cs="Arial"/>
          <w:color w:val="000000" w:themeColor="text1"/>
          <w:sz w:val="24"/>
          <w:szCs w:val="24"/>
        </w:rPr>
        <w:t xml:space="preserve">6.9% at the </w:t>
      </w:r>
      <w:r w:rsidRPr="00083184">
        <w:rPr>
          <w:rFonts w:ascii="Arial" w:eastAsia="Times New Roman" w:hAnsi="Arial" w:cs="Arial"/>
          <w:color w:val="000000" w:themeColor="text1"/>
          <w:sz w:val="24"/>
          <w:szCs w:val="24"/>
        </w:rPr>
        <w:t xml:space="preserve">end of 2017 but has recently been trending lower to 6.5% in the 3rd quarter of 2018. Industrial production for September grew 5.8% </w:t>
      </w:r>
      <w:r w:rsidR="009743D2" w:rsidRPr="00083184">
        <w:rPr>
          <w:rFonts w:ascii="Arial" w:eastAsia="Times New Roman" w:hAnsi="Arial" w:cs="Arial"/>
          <w:color w:val="000000" w:themeColor="text1"/>
          <w:sz w:val="24"/>
          <w:szCs w:val="24"/>
        </w:rPr>
        <w:t>y</w:t>
      </w:r>
      <w:r w:rsidR="008E7375" w:rsidRPr="00083184">
        <w:rPr>
          <w:rFonts w:ascii="Arial" w:eastAsia="Times New Roman" w:hAnsi="Arial" w:cs="Arial"/>
          <w:color w:val="000000" w:themeColor="text1"/>
          <w:sz w:val="24"/>
          <w:szCs w:val="24"/>
        </w:rPr>
        <w:t>ear over year</w:t>
      </w:r>
      <w:r w:rsidRPr="00083184">
        <w:rPr>
          <w:rFonts w:ascii="Arial" w:eastAsia="Times New Roman" w:hAnsi="Arial" w:cs="Arial"/>
          <w:color w:val="000000" w:themeColor="text1"/>
          <w:sz w:val="24"/>
          <w:szCs w:val="24"/>
        </w:rPr>
        <w:t xml:space="preserve">; retail sales increased 9.2% </w:t>
      </w:r>
      <w:r w:rsidR="009743D2" w:rsidRPr="00083184">
        <w:rPr>
          <w:rFonts w:ascii="Arial" w:eastAsia="Times New Roman" w:hAnsi="Arial" w:cs="Arial"/>
          <w:color w:val="000000" w:themeColor="text1"/>
          <w:sz w:val="24"/>
          <w:szCs w:val="24"/>
        </w:rPr>
        <w:t>y</w:t>
      </w:r>
      <w:r w:rsidR="008E7375" w:rsidRPr="00083184">
        <w:rPr>
          <w:rFonts w:ascii="Arial" w:eastAsia="Times New Roman" w:hAnsi="Arial" w:cs="Arial"/>
          <w:color w:val="000000" w:themeColor="text1"/>
          <w:sz w:val="24"/>
          <w:szCs w:val="24"/>
        </w:rPr>
        <w:t>ear over year</w:t>
      </w:r>
      <w:r w:rsidR="009743D2" w:rsidRPr="00083184">
        <w:rPr>
          <w:rFonts w:ascii="Arial" w:eastAsia="Times New Roman" w:hAnsi="Arial" w:cs="Arial"/>
          <w:color w:val="000000" w:themeColor="text1"/>
          <w:sz w:val="24"/>
          <w:szCs w:val="24"/>
        </w:rPr>
        <w:t>, and f</w:t>
      </w:r>
      <w:r w:rsidRPr="00083184">
        <w:rPr>
          <w:rFonts w:ascii="Arial" w:eastAsia="Times New Roman" w:hAnsi="Arial" w:cs="Arial"/>
          <w:color w:val="000000" w:themeColor="text1"/>
          <w:sz w:val="24"/>
          <w:szCs w:val="24"/>
        </w:rPr>
        <w:t xml:space="preserve">ixed-asset investment for the first three quarters grew 5.4% </w:t>
      </w:r>
      <w:r w:rsidR="009743D2" w:rsidRPr="00083184">
        <w:rPr>
          <w:rFonts w:ascii="Arial" w:eastAsia="Times New Roman" w:hAnsi="Arial" w:cs="Arial"/>
          <w:color w:val="000000" w:themeColor="text1"/>
          <w:sz w:val="24"/>
          <w:szCs w:val="24"/>
        </w:rPr>
        <w:t>y</w:t>
      </w:r>
      <w:r w:rsidR="008E7375" w:rsidRPr="00083184">
        <w:rPr>
          <w:rFonts w:ascii="Arial" w:eastAsia="Times New Roman" w:hAnsi="Arial" w:cs="Arial"/>
          <w:color w:val="000000" w:themeColor="text1"/>
          <w:sz w:val="24"/>
          <w:szCs w:val="24"/>
        </w:rPr>
        <w:t>ear over year</w:t>
      </w:r>
      <w:r w:rsidR="009743D2" w:rsidRPr="00083184">
        <w:rPr>
          <w:rFonts w:ascii="Arial" w:eastAsia="Times New Roman" w:hAnsi="Arial" w:cs="Arial"/>
          <w:color w:val="000000" w:themeColor="text1"/>
          <w:sz w:val="24"/>
          <w:szCs w:val="24"/>
        </w:rPr>
        <w:t xml:space="preserve">. </w:t>
      </w:r>
      <w:r w:rsidRPr="00083184">
        <w:rPr>
          <w:rFonts w:ascii="Arial" w:eastAsia="Times New Roman" w:hAnsi="Arial" w:cs="Arial"/>
          <w:color w:val="000000" w:themeColor="text1"/>
          <w:sz w:val="24"/>
          <w:szCs w:val="24"/>
        </w:rPr>
        <w:t>However</w:t>
      </w:r>
      <w:r w:rsidR="009743D2" w:rsidRPr="00083184">
        <w:rPr>
          <w:rFonts w:ascii="Arial" w:eastAsia="Times New Roman" w:hAnsi="Arial" w:cs="Arial"/>
          <w:color w:val="000000" w:themeColor="text1"/>
          <w:sz w:val="24"/>
          <w:szCs w:val="24"/>
        </w:rPr>
        <w:t>, despite t</w:t>
      </w:r>
      <w:r w:rsidRPr="00083184">
        <w:rPr>
          <w:rFonts w:ascii="Arial" w:eastAsia="Times New Roman" w:hAnsi="Arial" w:cs="Arial"/>
          <w:color w:val="000000" w:themeColor="text1"/>
          <w:sz w:val="24"/>
          <w:szCs w:val="24"/>
        </w:rPr>
        <w:t>he growing middle class, which is driving consumer spending, the country is experiencing a deleveraging phase (Debt to GDP posted at 256% by Mid-2017), and the overall growth rate</w:t>
      </w:r>
      <w:r w:rsidR="007E3509">
        <w:rPr>
          <w:rFonts w:ascii="Arial" w:eastAsia="Times New Roman" w:hAnsi="Arial" w:cs="Arial"/>
          <w:color w:val="000000" w:themeColor="text1"/>
          <w:sz w:val="24"/>
          <w:szCs w:val="24"/>
        </w:rPr>
        <w:t xml:space="preserve"> </w:t>
      </w:r>
      <w:r w:rsidRPr="00083184">
        <w:rPr>
          <w:rFonts w:ascii="Arial" w:eastAsia="Times New Roman" w:hAnsi="Arial" w:cs="Arial"/>
          <w:color w:val="000000" w:themeColor="text1"/>
          <w:sz w:val="24"/>
          <w:szCs w:val="24"/>
        </w:rPr>
        <w:t xml:space="preserve">is expected to slow down substantially. According to the Bloomberg forecast, Debt to GDP will reach 330% by 2022. On top </w:t>
      </w:r>
      <w:r w:rsidR="007E3509">
        <w:rPr>
          <w:rFonts w:ascii="Arial" w:eastAsia="Times New Roman" w:hAnsi="Arial" w:cs="Arial"/>
          <w:color w:val="000000" w:themeColor="text1"/>
          <w:sz w:val="24"/>
          <w:szCs w:val="24"/>
        </w:rPr>
        <w:t xml:space="preserve">of the </w:t>
      </w:r>
      <w:r w:rsidRPr="00083184">
        <w:rPr>
          <w:rFonts w:ascii="Arial" w:eastAsia="Times New Roman" w:hAnsi="Arial" w:cs="Arial"/>
          <w:color w:val="000000" w:themeColor="text1"/>
          <w:sz w:val="24"/>
          <w:szCs w:val="24"/>
        </w:rPr>
        <w:t>high debt and slow growth p</w:t>
      </w:r>
      <w:r w:rsidR="007E3509">
        <w:rPr>
          <w:rFonts w:ascii="Arial" w:eastAsia="Times New Roman" w:hAnsi="Arial" w:cs="Arial"/>
          <w:color w:val="000000" w:themeColor="text1"/>
          <w:sz w:val="24"/>
          <w:szCs w:val="24"/>
        </w:rPr>
        <w:t>roblem, current trade tensions between the U.S. and China are</w:t>
      </w:r>
      <w:r w:rsidRPr="00083184">
        <w:rPr>
          <w:rFonts w:ascii="Arial" w:eastAsia="Times New Roman" w:hAnsi="Arial" w:cs="Arial"/>
          <w:color w:val="000000" w:themeColor="text1"/>
          <w:sz w:val="24"/>
          <w:szCs w:val="24"/>
        </w:rPr>
        <w:t xml:space="preserve"> escalating and will further hinder Chinese production levels, and its economic development overall. As the actual effect</w:t>
      </w:r>
      <w:r w:rsidR="007E3509">
        <w:rPr>
          <w:rFonts w:ascii="Arial" w:eastAsia="Times New Roman" w:hAnsi="Arial" w:cs="Arial"/>
          <w:color w:val="000000" w:themeColor="text1"/>
          <w:sz w:val="24"/>
          <w:szCs w:val="24"/>
        </w:rPr>
        <w:t>s</w:t>
      </w:r>
      <w:r w:rsidRPr="00083184">
        <w:rPr>
          <w:rFonts w:ascii="Arial" w:eastAsia="Times New Roman" w:hAnsi="Arial" w:cs="Arial"/>
          <w:color w:val="000000" w:themeColor="text1"/>
          <w:sz w:val="24"/>
          <w:szCs w:val="24"/>
        </w:rPr>
        <w:t xml:space="preserve"> from </w:t>
      </w:r>
      <w:r w:rsidR="007E3509">
        <w:rPr>
          <w:rFonts w:ascii="Arial" w:eastAsia="Times New Roman" w:hAnsi="Arial" w:cs="Arial"/>
          <w:color w:val="000000" w:themeColor="text1"/>
          <w:sz w:val="24"/>
          <w:szCs w:val="24"/>
        </w:rPr>
        <w:t>the trade tensions are</w:t>
      </w:r>
      <w:r w:rsidRPr="00083184">
        <w:rPr>
          <w:rFonts w:ascii="Arial" w:eastAsia="Times New Roman" w:hAnsi="Arial" w:cs="Arial"/>
          <w:color w:val="000000" w:themeColor="text1"/>
          <w:sz w:val="24"/>
          <w:szCs w:val="24"/>
        </w:rPr>
        <w:t xml:space="preserve"> starting to surface, we will closely monitor our exposure in the Chine</w:t>
      </w:r>
      <w:r w:rsidR="007E3509">
        <w:rPr>
          <w:rFonts w:ascii="Arial" w:eastAsia="Times New Roman" w:hAnsi="Arial" w:cs="Arial"/>
          <w:color w:val="000000" w:themeColor="text1"/>
          <w:sz w:val="24"/>
          <w:szCs w:val="24"/>
        </w:rPr>
        <w:t>se market and assess any risk to</w:t>
      </w:r>
      <w:r w:rsidRPr="00083184">
        <w:rPr>
          <w:rFonts w:ascii="Arial" w:eastAsia="Times New Roman" w:hAnsi="Arial" w:cs="Arial"/>
          <w:color w:val="000000" w:themeColor="text1"/>
          <w:sz w:val="24"/>
          <w:szCs w:val="24"/>
        </w:rPr>
        <w:t xml:space="preserve"> our investment</w:t>
      </w:r>
      <w:r w:rsidR="007E3509">
        <w:rPr>
          <w:rFonts w:ascii="Arial" w:eastAsia="Times New Roman" w:hAnsi="Arial" w:cs="Arial"/>
          <w:color w:val="000000" w:themeColor="text1"/>
          <w:sz w:val="24"/>
          <w:szCs w:val="24"/>
        </w:rPr>
        <w:t>s</w:t>
      </w:r>
      <w:r w:rsidRPr="00083184">
        <w:rPr>
          <w:rFonts w:ascii="Arial" w:eastAsia="Times New Roman" w:hAnsi="Arial" w:cs="Arial"/>
          <w:color w:val="000000" w:themeColor="text1"/>
          <w:sz w:val="24"/>
          <w:szCs w:val="24"/>
        </w:rPr>
        <w:t xml:space="preserve"> accordingly.</w:t>
      </w:r>
    </w:p>
    <w:p w14:paraId="143602AF" w14:textId="77777777" w:rsidR="00DE0517" w:rsidRPr="00083184" w:rsidRDefault="00DE0517" w:rsidP="00DE0517">
      <w:pPr>
        <w:spacing w:after="0" w:line="240" w:lineRule="auto"/>
        <w:jc w:val="both"/>
        <w:rPr>
          <w:rFonts w:ascii="Arial" w:eastAsia="Times New Roman" w:hAnsi="Arial" w:cs="Arial"/>
          <w:color w:val="000000" w:themeColor="text1"/>
          <w:sz w:val="24"/>
          <w:szCs w:val="24"/>
        </w:rPr>
      </w:pPr>
    </w:p>
    <w:p w14:paraId="7711B030" w14:textId="77777777" w:rsidR="00DE0517" w:rsidRPr="00083184" w:rsidRDefault="00DE0517" w:rsidP="008E7375">
      <w:pPr>
        <w:spacing w:after="80" w:line="240" w:lineRule="auto"/>
        <w:outlineLvl w:val="0"/>
        <w:rPr>
          <w:rFonts w:ascii="Arial" w:eastAsia="Times New Roman" w:hAnsi="Arial" w:cs="Arial"/>
          <w:color w:val="000000" w:themeColor="text1"/>
          <w:sz w:val="24"/>
          <w:szCs w:val="24"/>
          <w:u w:val="single"/>
        </w:rPr>
      </w:pPr>
      <w:r w:rsidRPr="00083184">
        <w:rPr>
          <w:rFonts w:ascii="Arial" w:eastAsia="Times New Roman" w:hAnsi="Arial" w:cs="Arial"/>
          <w:color w:val="000000" w:themeColor="text1"/>
          <w:sz w:val="24"/>
          <w:szCs w:val="24"/>
          <w:u w:val="single"/>
        </w:rPr>
        <w:t>Eurozone</w:t>
      </w:r>
    </w:p>
    <w:p w14:paraId="7CA11F9D" w14:textId="14753A96" w:rsidR="00DE0517" w:rsidRPr="00083184" w:rsidRDefault="2561298F" w:rsidP="2561298F">
      <w:pPr>
        <w:spacing w:after="0" w:line="240" w:lineRule="auto"/>
        <w:jc w:val="both"/>
        <w:rPr>
          <w:rFonts w:ascii="Arial" w:eastAsia="Times New Roman" w:hAnsi="Arial" w:cs="Arial"/>
          <w:color w:val="000000" w:themeColor="text1"/>
          <w:sz w:val="24"/>
          <w:szCs w:val="24"/>
        </w:rPr>
      </w:pPr>
      <w:r w:rsidRPr="00083184">
        <w:rPr>
          <w:rFonts w:ascii="Arial" w:eastAsia="Times New Roman" w:hAnsi="Arial" w:cs="Arial"/>
          <w:color w:val="000000" w:themeColor="text1"/>
          <w:sz w:val="24"/>
          <w:szCs w:val="24"/>
        </w:rPr>
        <w:t>Currently, the Eurozone GDP is growing at 2.3%. This trend moderated despite strong domestic consumer expenditures in the first half of 2018 due to weaker external trade, reflecting the impa</w:t>
      </w:r>
      <w:r w:rsidR="00A05ED0">
        <w:rPr>
          <w:rFonts w:ascii="Arial" w:eastAsia="Times New Roman" w:hAnsi="Arial" w:cs="Arial"/>
          <w:color w:val="000000" w:themeColor="text1"/>
          <w:sz w:val="24"/>
          <w:szCs w:val="24"/>
        </w:rPr>
        <w:t>ct of the recent strengthening of the Euro</w:t>
      </w:r>
      <w:r w:rsidRPr="00083184">
        <w:rPr>
          <w:rFonts w:ascii="Arial" w:eastAsia="Times New Roman" w:hAnsi="Arial" w:cs="Arial"/>
          <w:color w:val="000000" w:themeColor="text1"/>
          <w:sz w:val="24"/>
          <w:szCs w:val="24"/>
        </w:rPr>
        <w:t>. In the medium term, the fundamentals remain strong as the ECB remains in an accommodative mode.</w:t>
      </w:r>
      <w:r w:rsidR="009743D2" w:rsidRPr="00083184">
        <w:rPr>
          <w:rFonts w:ascii="Arial" w:eastAsia="Times New Roman" w:hAnsi="Arial" w:cs="Arial"/>
          <w:color w:val="000000" w:themeColor="text1"/>
          <w:sz w:val="24"/>
          <w:szCs w:val="24"/>
        </w:rPr>
        <w:t xml:space="preserve"> </w:t>
      </w:r>
      <w:r w:rsidRPr="00083184">
        <w:rPr>
          <w:rFonts w:ascii="Arial" w:eastAsia="Times New Roman" w:hAnsi="Arial" w:cs="Arial"/>
          <w:color w:val="000000" w:themeColor="text1"/>
          <w:sz w:val="24"/>
          <w:szCs w:val="24"/>
        </w:rPr>
        <w:t xml:space="preserve">The labor market is continuing to tighten, and subdued inflation has just </w:t>
      </w:r>
      <w:r w:rsidR="00A05ED0">
        <w:rPr>
          <w:rFonts w:ascii="Arial" w:eastAsia="Times New Roman" w:hAnsi="Arial" w:cs="Arial"/>
          <w:color w:val="000000" w:themeColor="text1"/>
          <w:sz w:val="24"/>
          <w:szCs w:val="24"/>
        </w:rPr>
        <w:t>increased</w:t>
      </w:r>
      <w:r w:rsidRPr="00083184">
        <w:rPr>
          <w:rFonts w:ascii="Arial" w:eastAsia="Times New Roman" w:hAnsi="Arial" w:cs="Arial"/>
          <w:color w:val="000000" w:themeColor="text1"/>
          <w:sz w:val="24"/>
          <w:szCs w:val="24"/>
        </w:rPr>
        <w:t xml:space="preserve"> up to 2.2%. With the looming Brexit uncertainties and weaker pound, U.K. GDP growth is projected to slow to 1.5% in 2018. The German economy has generally performed well and is projected to grow GDP at 1.8% this year, with higher wages and higher price levels. France, Belgium, and Austria are all experiencing an expansion early this year and continue to show higher employment number</w:t>
      </w:r>
      <w:r w:rsidR="009743D2" w:rsidRPr="00083184">
        <w:rPr>
          <w:rFonts w:ascii="Arial" w:eastAsia="Times New Roman" w:hAnsi="Arial" w:cs="Arial"/>
          <w:color w:val="000000" w:themeColor="text1"/>
          <w:sz w:val="24"/>
          <w:szCs w:val="24"/>
        </w:rPr>
        <w:t>s.</w:t>
      </w:r>
      <w:r w:rsidRPr="00083184">
        <w:rPr>
          <w:rFonts w:ascii="Arial" w:eastAsia="Times New Roman" w:hAnsi="Arial" w:cs="Arial"/>
          <w:color w:val="000000" w:themeColor="text1"/>
          <w:sz w:val="24"/>
          <w:szCs w:val="24"/>
        </w:rPr>
        <w:t xml:space="preserve"> There are, however</w:t>
      </w:r>
      <w:r w:rsidR="009743D2" w:rsidRPr="00083184">
        <w:rPr>
          <w:rFonts w:ascii="Arial" w:eastAsia="Times New Roman" w:hAnsi="Arial" w:cs="Arial"/>
          <w:color w:val="000000" w:themeColor="text1"/>
          <w:sz w:val="24"/>
          <w:szCs w:val="24"/>
        </w:rPr>
        <w:t xml:space="preserve">, </w:t>
      </w:r>
      <w:r w:rsidRPr="00083184">
        <w:rPr>
          <w:rFonts w:ascii="Arial" w:eastAsia="Times New Roman" w:hAnsi="Arial" w:cs="Arial"/>
          <w:color w:val="000000" w:themeColor="text1"/>
          <w:sz w:val="24"/>
          <w:szCs w:val="24"/>
        </w:rPr>
        <w:t>looming concerns over Italy’s foreign currency denominated debts. This contributed</w:t>
      </w:r>
      <w:r w:rsidRPr="00083184">
        <w:rPr>
          <w:rFonts w:ascii="Arial" w:hAnsi="Arial" w:cs="Arial"/>
          <w:color w:val="000000" w:themeColor="text1"/>
          <w:sz w:val="24"/>
          <w:szCs w:val="24"/>
          <w:lang w:eastAsia="zh-CN"/>
        </w:rPr>
        <w:t xml:space="preserve"> to </w:t>
      </w:r>
      <w:r w:rsidRPr="00083184">
        <w:rPr>
          <w:rFonts w:ascii="Arial" w:eastAsia="Times New Roman" w:hAnsi="Arial" w:cs="Arial"/>
          <w:color w:val="000000" w:themeColor="text1"/>
          <w:sz w:val="24"/>
          <w:szCs w:val="24"/>
        </w:rPr>
        <w:t>increased volatility in February. We believe it is important to closely watch these developments over time and revisit our risk exposures accordingly.</w:t>
      </w:r>
    </w:p>
    <w:p w14:paraId="43FA06A3" w14:textId="77777777" w:rsidR="009743D2" w:rsidRPr="00083184" w:rsidRDefault="009743D2" w:rsidP="008E7375">
      <w:pPr>
        <w:spacing w:after="80" w:line="240" w:lineRule="auto"/>
        <w:jc w:val="both"/>
        <w:outlineLvl w:val="0"/>
        <w:rPr>
          <w:rFonts w:ascii="Arial" w:eastAsia="Times New Roman" w:hAnsi="Arial" w:cs="Arial"/>
          <w:color w:val="000000" w:themeColor="text1"/>
          <w:sz w:val="24"/>
          <w:szCs w:val="24"/>
        </w:rPr>
      </w:pPr>
    </w:p>
    <w:p w14:paraId="521CDFAA" w14:textId="7AB31A04" w:rsidR="00DE0517" w:rsidRPr="00083184" w:rsidRDefault="00DE0517" w:rsidP="008E7375">
      <w:pPr>
        <w:spacing w:after="80" w:line="240" w:lineRule="auto"/>
        <w:jc w:val="both"/>
        <w:outlineLvl w:val="0"/>
        <w:rPr>
          <w:rFonts w:ascii="Arial" w:eastAsia="Times New Roman" w:hAnsi="Arial" w:cs="Arial"/>
          <w:color w:val="000000" w:themeColor="text1"/>
          <w:sz w:val="24"/>
          <w:szCs w:val="24"/>
          <w:u w:val="single"/>
        </w:rPr>
      </w:pPr>
      <w:r w:rsidRPr="00083184">
        <w:rPr>
          <w:rFonts w:ascii="Arial" w:eastAsia="Times New Roman" w:hAnsi="Arial" w:cs="Arial"/>
          <w:color w:val="000000" w:themeColor="text1"/>
          <w:sz w:val="24"/>
          <w:szCs w:val="24"/>
          <w:u w:val="single"/>
        </w:rPr>
        <w:t>Trade</w:t>
      </w:r>
    </w:p>
    <w:p w14:paraId="38BD6E33" w14:textId="121FCAF1" w:rsidR="00DE0517" w:rsidRPr="00083184" w:rsidRDefault="2561298F" w:rsidP="2561298F">
      <w:pPr>
        <w:spacing w:after="0" w:line="240" w:lineRule="auto"/>
        <w:jc w:val="both"/>
        <w:rPr>
          <w:rFonts w:ascii="Arial" w:eastAsia="Times New Roman" w:hAnsi="Arial" w:cs="Arial"/>
          <w:color w:val="000000" w:themeColor="text1"/>
          <w:sz w:val="24"/>
          <w:szCs w:val="24"/>
        </w:rPr>
      </w:pPr>
      <w:r w:rsidRPr="00083184">
        <w:rPr>
          <w:rFonts w:ascii="Arial" w:eastAsia="Times New Roman" w:hAnsi="Arial" w:cs="Arial"/>
          <w:color w:val="000000" w:themeColor="text1"/>
          <w:sz w:val="24"/>
          <w:szCs w:val="24"/>
        </w:rPr>
        <w:t>The escalating trade tensions between</w:t>
      </w:r>
      <w:r w:rsidRPr="00083184">
        <w:rPr>
          <w:rFonts w:ascii="Arial" w:hAnsi="Arial" w:cs="Arial"/>
          <w:color w:val="000000" w:themeColor="text1"/>
          <w:sz w:val="24"/>
          <w:szCs w:val="24"/>
          <w:lang w:eastAsia="zh-CN"/>
        </w:rPr>
        <w:t xml:space="preserve"> the</w:t>
      </w:r>
      <w:r w:rsidRPr="00083184">
        <w:rPr>
          <w:rFonts w:ascii="Arial" w:eastAsia="Times New Roman" w:hAnsi="Arial" w:cs="Arial"/>
          <w:color w:val="000000" w:themeColor="text1"/>
          <w:sz w:val="24"/>
          <w:szCs w:val="24"/>
        </w:rPr>
        <w:t xml:space="preserve"> U.S. and other trade partners (trade tensions with China in particular) have caused market concerns. We view this as a large </w:t>
      </w:r>
      <w:r w:rsidR="00A05ED0">
        <w:rPr>
          <w:rFonts w:ascii="Arial" w:eastAsia="Times New Roman" w:hAnsi="Arial" w:cs="Arial"/>
          <w:color w:val="000000" w:themeColor="text1"/>
          <w:sz w:val="24"/>
          <w:szCs w:val="24"/>
        </w:rPr>
        <w:t>risk factor for our investments</w:t>
      </w:r>
      <w:r w:rsidRPr="00083184">
        <w:rPr>
          <w:rFonts w:ascii="Arial" w:eastAsia="Times New Roman" w:hAnsi="Arial" w:cs="Arial"/>
          <w:color w:val="000000" w:themeColor="text1"/>
          <w:sz w:val="24"/>
          <w:szCs w:val="24"/>
        </w:rPr>
        <w:t xml:space="preserve"> because </w:t>
      </w:r>
      <w:r w:rsidRPr="00083184">
        <w:rPr>
          <w:rFonts w:ascii="Arial" w:hAnsi="Arial" w:cs="Arial"/>
          <w:color w:val="000000" w:themeColor="text1"/>
          <w:sz w:val="24"/>
          <w:szCs w:val="24"/>
          <w:lang w:eastAsia="zh-CN"/>
        </w:rPr>
        <w:t>a l</w:t>
      </w:r>
      <w:r w:rsidRPr="00083184">
        <w:rPr>
          <w:rFonts w:ascii="Arial" w:eastAsia="Times New Roman" w:hAnsi="Arial" w:cs="Arial"/>
          <w:color w:val="000000" w:themeColor="text1"/>
          <w:sz w:val="24"/>
          <w:szCs w:val="24"/>
        </w:rPr>
        <w:t xml:space="preserve">arge portion of our investments have exposure in China and their businesses are very sensitive to any new trade policies. We believe the two countries will come to an agreement over time, but the process will cause </w:t>
      </w:r>
      <w:r w:rsidR="00A05ED0">
        <w:rPr>
          <w:rFonts w:ascii="Arial" w:eastAsia="Times New Roman" w:hAnsi="Arial" w:cs="Arial"/>
          <w:color w:val="000000" w:themeColor="text1"/>
          <w:sz w:val="24"/>
          <w:szCs w:val="24"/>
        </w:rPr>
        <w:t>significant</w:t>
      </w:r>
      <w:r w:rsidRPr="00083184">
        <w:rPr>
          <w:rFonts w:ascii="Arial" w:eastAsia="Times New Roman" w:hAnsi="Arial" w:cs="Arial"/>
          <w:color w:val="000000" w:themeColor="text1"/>
          <w:sz w:val="24"/>
          <w:szCs w:val="24"/>
        </w:rPr>
        <w:t xml:space="preserve"> volatility in trade sensitive industries. We</w:t>
      </w:r>
      <w:r w:rsidR="00A05ED0">
        <w:rPr>
          <w:rFonts w:ascii="Arial" w:eastAsia="Times New Roman" w:hAnsi="Arial" w:cs="Arial"/>
          <w:color w:val="000000" w:themeColor="text1"/>
          <w:sz w:val="24"/>
          <w:szCs w:val="24"/>
        </w:rPr>
        <w:t xml:space="preserve"> will closely monitor</w:t>
      </w:r>
      <w:r w:rsidRPr="00083184">
        <w:rPr>
          <w:rFonts w:ascii="Arial" w:eastAsia="Times New Roman" w:hAnsi="Arial" w:cs="Arial"/>
          <w:color w:val="000000" w:themeColor="text1"/>
          <w:sz w:val="24"/>
          <w:szCs w:val="24"/>
        </w:rPr>
        <w:t xml:space="preserve"> developments and set our risk exposure at a manageable level.</w:t>
      </w:r>
    </w:p>
    <w:p w14:paraId="56397484" w14:textId="77777777" w:rsidR="00DE0517" w:rsidRPr="00083184" w:rsidRDefault="00DE0517" w:rsidP="00DE0517">
      <w:pPr>
        <w:spacing w:after="0" w:line="240" w:lineRule="auto"/>
        <w:jc w:val="both"/>
        <w:rPr>
          <w:rFonts w:ascii="Arial" w:eastAsia="Times New Roman" w:hAnsi="Arial" w:cs="Arial"/>
          <w:color w:val="000000" w:themeColor="text1"/>
          <w:sz w:val="24"/>
          <w:szCs w:val="24"/>
        </w:rPr>
      </w:pPr>
      <w:r w:rsidRPr="00083184">
        <w:rPr>
          <w:rFonts w:ascii="Arial" w:eastAsia="Times New Roman" w:hAnsi="Arial" w:cs="Arial"/>
          <w:color w:val="000000" w:themeColor="text1"/>
          <w:sz w:val="24"/>
          <w:szCs w:val="24"/>
        </w:rPr>
        <w:t xml:space="preserve"> </w:t>
      </w:r>
    </w:p>
    <w:p w14:paraId="7537CB8F" w14:textId="77777777" w:rsidR="00754BD6" w:rsidRPr="00083184" w:rsidRDefault="00754BD6" w:rsidP="00DE0517">
      <w:pPr>
        <w:spacing w:after="0" w:line="240" w:lineRule="auto"/>
        <w:jc w:val="both"/>
        <w:rPr>
          <w:rFonts w:ascii="Arial" w:eastAsia="Times New Roman" w:hAnsi="Arial" w:cs="Arial"/>
          <w:b/>
          <w:bCs/>
          <w:color w:val="000000" w:themeColor="text1"/>
          <w:sz w:val="24"/>
          <w:szCs w:val="24"/>
          <w:u w:val="single"/>
        </w:rPr>
      </w:pPr>
    </w:p>
    <w:p w14:paraId="78892475" w14:textId="77777777" w:rsidR="00DE0517" w:rsidRPr="00083184" w:rsidRDefault="00DE0517" w:rsidP="008E7375">
      <w:pPr>
        <w:spacing w:after="0" w:line="240" w:lineRule="auto"/>
        <w:jc w:val="both"/>
        <w:outlineLvl w:val="0"/>
        <w:rPr>
          <w:rFonts w:ascii="Arial" w:eastAsia="Times New Roman" w:hAnsi="Arial" w:cs="Arial"/>
          <w:b/>
          <w:bCs/>
          <w:color w:val="000000" w:themeColor="text1"/>
          <w:sz w:val="24"/>
          <w:szCs w:val="24"/>
          <w:u w:val="single"/>
        </w:rPr>
      </w:pPr>
      <w:r w:rsidRPr="00083184">
        <w:rPr>
          <w:rFonts w:ascii="Arial" w:eastAsia="Times New Roman" w:hAnsi="Arial" w:cs="Arial"/>
          <w:b/>
          <w:bCs/>
          <w:color w:val="000000" w:themeColor="text1"/>
          <w:sz w:val="24"/>
          <w:szCs w:val="24"/>
          <w:u w:val="single"/>
        </w:rPr>
        <w:t>Our Outlook</w:t>
      </w:r>
    </w:p>
    <w:p w14:paraId="404891EB" w14:textId="77777777" w:rsidR="00754BD6" w:rsidRPr="00083184" w:rsidRDefault="00754BD6" w:rsidP="00DE0517">
      <w:pPr>
        <w:spacing w:after="0" w:line="240" w:lineRule="auto"/>
        <w:jc w:val="both"/>
        <w:rPr>
          <w:rFonts w:ascii="Arial" w:eastAsia="Times New Roman" w:hAnsi="Arial" w:cs="Arial"/>
          <w:color w:val="000000" w:themeColor="text1"/>
          <w:sz w:val="24"/>
          <w:szCs w:val="24"/>
        </w:rPr>
      </w:pPr>
    </w:p>
    <w:p w14:paraId="3B12B020" w14:textId="2D4AD48B" w:rsidR="00DE0517" w:rsidRPr="00083184" w:rsidRDefault="2561298F" w:rsidP="2561298F">
      <w:pPr>
        <w:spacing w:after="0" w:line="240" w:lineRule="auto"/>
        <w:jc w:val="both"/>
        <w:rPr>
          <w:rFonts w:ascii="Arial" w:eastAsia="Times New Roman" w:hAnsi="Arial" w:cs="Arial"/>
          <w:color w:val="000000" w:themeColor="text1"/>
          <w:sz w:val="24"/>
          <w:szCs w:val="24"/>
        </w:rPr>
      </w:pPr>
      <w:r w:rsidRPr="00083184">
        <w:rPr>
          <w:rFonts w:ascii="Arial" w:eastAsia="Times New Roman" w:hAnsi="Arial" w:cs="Arial"/>
          <w:color w:val="000000" w:themeColor="text1"/>
          <w:sz w:val="24"/>
          <w:szCs w:val="24"/>
        </w:rPr>
        <w:t>Under the steady hand of the Federal R</w:t>
      </w:r>
      <w:r w:rsidR="00A05ED0">
        <w:rPr>
          <w:rFonts w:ascii="Arial" w:eastAsia="Times New Roman" w:hAnsi="Arial" w:cs="Arial"/>
          <w:color w:val="000000" w:themeColor="text1"/>
          <w:sz w:val="24"/>
          <w:szCs w:val="24"/>
        </w:rPr>
        <w:t>eserve, we believe the trend of</w:t>
      </w:r>
      <w:r w:rsidRPr="00083184">
        <w:rPr>
          <w:rFonts w:ascii="Arial" w:hAnsi="Arial" w:cs="Arial"/>
          <w:color w:val="000000" w:themeColor="text1"/>
          <w:sz w:val="24"/>
          <w:szCs w:val="24"/>
          <w:lang w:eastAsia="zh-CN"/>
        </w:rPr>
        <w:t xml:space="preserve"> </w:t>
      </w:r>
      <w:r w:rsidRPr="00083184">
        <w:rPr>
          <w:rFonts w:ascii="Arial" w:eastAsia="Times New Roman" w:hAnsi="Arial" w:cs="Arial"/>
          <w:color w:val="000000" w:themeColor="text1"/>
          <w:sz w:val="24"/>
          <w:szCs w:val="24"/>
        </w:rPr>
        <w:t>low unemployment rate</w:t>
      </w:r>
      <w:r w:rsidR="00A05ED0">
        <w:rPr>
          <w:rFonts w:ascii="Arial" w:eastAsia="Times New Roman" w:hAnsi="Arial" w:cs="Arial"/>
          <w:color w:val="000000" w:themeColor="text1"/>
          <w:sz w:val="24"/>
          <w:szCs w:val="24"/>
        </w:rPr>
        <w:t>s</w:t>
      </w:r>
      <w:r w:rsidRPr="00083184">
        <w:rPr>
          <w:rFonts w:ascii="Arial" w:eastAsia="Times New Roman" w:hAnsi="Arial" w:cs="Arial"/>
          <w:color w:val="000000" w:themeColor="text1"/>
          <w:sz w:val="24"/>
          <w:szCs w:val="24"/>
        </w:rPr>
        <w:t xml:space="preserve"> and stable inflation will continue in the next few years. Based on the major components of GDP, there are signs pointing to a positive trend in the short term. The latest forecast issued by GDPNOW* from the Atlanta Fed for the third quarter is at 2.7% as of December 6</w:t>
      </w:r>
      <w:r w:rsidRPr="00083184">
        <w:rPr>
          <w:rFonts w:ascii="Arial" w:eastAsia="Times New Roman" w:hAnsi="Arial" w:cs="Arial"/>
          <w:color w:val="000000" w:themeColor="text1"/>
          <w:sz w:val="24"/>
          <w:szCs w:val="24"/>
          <w:vertAlign w:val="superscript"/>
        </w:rPr>
        <w:t>th</w:t>
      </w:r>
      <w:r w:rsidRPr="00083184">
        <w:rPr>
          <w:rFonts w:ascii="Arial" w:eastAsia="Times New Roman" w:hAnsi="Arial" w:cs="Arial"/>
          <w:color w:val="000000" w:themeColor="text1"/>
          <w:sz w:val="24"/>
          <w:szCs w:val="24"/>
        </w:rPr>
        <w:t xml:space="preserve"> for the end of 2018, which is down from </w:t>
      </w:r>
      <w:r w:rsidRPr="00083184">
        <w:rPr>
          <w:rFonts w:ascii="Arial" w:hAnsi="Arial" w:cs="Arial"/>
          <w:color w:val="000000" w:themeColor="text1"/>
          <w:sz w:val="24"/>
          <w:szCs w:val="24"/>
          <w:lang w:eastAsia="zh-CN"/>
        </w:rPr>
        <w:t xml:space="preserve">the </w:t>
      </w:r>
      <w:r w:rsidRPr="00083184">
        <w:rPr>
          <w:rFonts w:ascii="Arial" w:eastAsia="Times New Roman" w:hAnsi="Arial" w:cs="Arial"/>
          <w:color w:val="000000" w:themeColor="text1"/>
          <w:sz w:val="24"/>
          <w:szCs w:val="24"/>
        </w:rPr>
        <w:t xml:space="preserve">last update due to </w:t>
      </w:r>
      <w:r w:rsidR="00A05ED0">
        <w:rPr>
          <w:rFonts w:ascii="Arial" w:eastAsia="Times New Roman" w:hAnsi="Arial" w:cs="Arial"/>
          <w:color w:val="000000" w:themeColor="text1"/>
          <w:sz w:val="24"/>
          <w:szCs w:val="24"/>
        </w:rPr>
        <w:t xml:space="preserve">the </w:t>
      </w:r>
      <w:r w:rsidRPr="00083184">
        <w:rPr>
          <w:rFonts w:ascii="Arial" w:eastAsia="Times New Roman" w:hAnsi="Arial" w:cs="Arial"/>
          <w:color w:val="000000" w:themeColor="text1"/>
          <w:sz w:val="24"/>
          <w:szCs w:val="24"/>
        </w:rPr>
        <w:t xml:space="preserve">worsening trade deficit. Over the short term, we believe the </w:t>
      </w:r>
      <w:r w:rsidR="00A05ED0">
        <w:rPr>
          <w:rFonts w:ascii="Arial" w:eastAsia="Times New Roman" w:hAnsi="Arial" w:cs="Arial"/>
          <w:color w:val="000000" w:themeColor="text1"/>
          <w:sz w:val="24"/>
          <w:szCs w:val="24"/>
        </w:rPr>
        <w:t xml:space="preserve">effect of recent </w:t>
      </w:r>
      <w:r w:rsidR="009743D2" w:rsidRPr="00083184">
        <w:rPr>
          <w:rFonts w:ascii="Arial" w:eastAsia="Times New Roman" w:hAnsi="Arial" w:cs="Arial"/>
          <w:color w:val="000000" w:themeColor="text1"/>
          <w:sz w:val="24"/>
          <w:szCs w:val="24"/>
        </w:rPr>
        <w:t>fiscal stimulus (2018 t</w:t>
      </w:r>
      <w:r w:rsidRPr="00083184">
        <w:rPr>
          <w:rFonts w:ascii="Arial" w:eastAsia="Times New Roman" w:hAnsi="Arial" w:cs="Arial"/>
          <w:color w:val="000000" w:themeColor="text1"/>
          <w:sz w:val="24"/>
          <w:szCs w:val="24"/>
        </w:rPr>
        <w:t xml:space="preserve">ax overhaul) will fade away and create a downward pressure on demand. Therefore, GDP growth will </w:t>
      </w:r>
      <w:r w:rsidR="00A05ED0">
        <w:rPr>
          <w:rFonts w:ascii="Arial" w:eastAsia="Times New Roman" w:hAnsi="Arial" w:cs="Arial"/>
          <w:color w:val="000000" w:themeColor="text1"/>
          <w:sz w:val="24"/>
          <w:szCs w:val="24"/>
        </w:rPr>
        <w:t xml:space="preserve">revert </w:t>
      </w:r>
      <w:r w:rsidRPr="00083184">
        <w:rPr>
          <w:rFonts w:ascii="Arial" w:eastAsia="Times New Roman" w:hAnsi="Arial" w:cs="Arial"/>
          <w:color w:val="000000" w:themeColor="text1"/>
          <w:sz w:val="24"/>
          <w:szCs w:val="24"/>
        </w:rPr>
        <w:t>to its recent average of 2-2.5%. Despite the continued tightening in the labo</w:t>
      </w:r>
      <w:r w:rsidR="00A05ED0">
        <w:rPr>
          <w:rFonts w:ascii="Arial" w:eastAsia="Times New Roman" w:hAnsi="Arial" w:cs="Arial"/>
          <w:color w:val="000000" w:themeColor="text1"/>
          <w:sz w:val="24"/>
          <w:szCs w:val="24"/>
        </w:rPr>
        <w:t>r market and improvement of the</w:t>
      </w:r>
      <w:r w:rsidRPr="00083184">
        <w:rPr>
          <w:rFonts w:ascii="Arial" w:eastAsia="Times New Roman" w:hAnsi="Arial" w:cs="Arial"/>
          <w:color w:val="000000" w:themeColor="text1"/>
          <w:sz w:val="24"/>
          <w:szCs w:val="24"/>
        </w:rPr>
        <w:t xml:space="preserve"> labor force participation rate, the demographics in the U.S. are worsening as aging baby boomers exit from the labor force. In addition, the productivity level in the U.S. remain</w:t>
      </w:r>
      <w:r w:rsidRPr="00083184">
        <w:rPr>
          <w:rFonts w:ascii="Arial" w:hAnsi="Arial" w:cs="Arial"/>
          <w:color w:val="000000" w:themeColor="text1"/>
          <w:sz w:val="24"/>
          <w:szCs w:val="24"/>
          <w:lang w:eastAsia="zh-CN"/>
        </w:rPr>
        <w:t>s</w:t>
      </w:r>
      <w:r w:rsidRPr="00083184">
        <w:rPr>
          <w:rFonts w:ascii="Arial" w:eastAsia="Times New Roman" w:hAnsi="Arial" w:cs="Arial"/>
          <w:color w:val="000000" w:themeColor="text1"/>
          <w:sz w:val="24"/>
          <w:szCs w:val="24"/>
        </w:rPr>
        <w:t xml:space="preserve"> at a historical low with no signs of improvement for the next few years. Therefore, we be</w:t>
      </w:r>
      <w:r w:rsidR="00A05ED0">
        <w:rPr>
          <w:rFonts w:ascii="Arial" w:eastAsia="Times New Roman" w:hAnsi="Arial" w:cs="Arial"/>
          <w:color w:val="000000" w:themeColor="text1"/>
          <w:sz w:val="24"/>
          <w:szCs w:val="24"/>
        </w:rPr>
        <w:t xml:space="preserve">lieve US GDP growth will </w:t>
      </w:r>
      <w:r w:rsidRPr="00083184">
        <w:rPr>
          <w:rFonts w:ascii="Arial" w:eastAsia="Times New Roman" w:hAnsi="Arial" w:cs="Arial"/>
          <w:color w:val="000000" w:themeColor="text1"/>
          <w:sz w:val="24"/>
          <w:szCs w:val="24"/>
        </w:rPr>
        <w:t xml:space="preserve"> decrease to a lower level in the long term.</w:t>
      </w:r>
    </w:p>
    <w:p w14:paraId="56FB879A" w14:textId="77777777" w:rsidR="00DE0517" w:rsidRPr="00083184" w:rsidRDefault="00DE0517" w:rsidP="00DE0517">
      <w:pPr>
        <w:spacing w:after="0" w:line="240" w:lineRule="auto"/>
        <w:jc w:val="both"/>
        <w:rPr>
          <w:rFonts w:ascii="Arial" w:eastAsia="Times New Roman" w:hAnsi="Arial" w:cs="Arial"/>
          <w:color w:val="000000" w:themeColor="text1"/>
          <w:sz w:val="24"/>
          <w:szCs w:val="24"/>
        </w:rPr>
      </w:pPr>
    </w:p>
    <w:p w14:paraId="0A8DFFD5" w14:textId="77777777" w:rsidR="00DE0517" w:rsidRPr="00083184" w:rsidRDefault="00DE0517" w:rsidP="00DE0517">
      <w:pPr>
        <w:spacing w:after="240" w:line="240" w:lineRule="auto"/>
        <w:rPr>
          <w:rFonts w:ascii="Arial" w:eastAsia="Times New Roman" w:hAnsi="Arial" w:cs="Arial"/>
          <w:color w:val="000000" w:themeColor="text1"/>
          <w:sz w:val="24"/>
          <w:szCs w:val="24"/>
        </w:rPr>
      </w:pPr>
      <w:r w:rsidRPr="00083184">
        <w:rPr>
          <w:rFonts w:ascii="Arial" w:eastAsia="Times New Roman" w:hAnsi="Arial" w:cs="Arial"/>
          <w:color w:val="000000" w:themeColor="text1"/>
          <w:sz w:val="24"/>
          <w:szCs w:val="24"/>
        </w:rPr>
        <w:br/>
      </w:r>
    </w:p>
    <w:p w14:paraId="049C3C8A" w14:textId="77777777" w:rsidR="00E26B87" w:rsidRPr="00083184" w:rsidRDefault="00E30C54" w:rsidP="008E7375">
      <w:pPr>
        <w:pStyle w:val="Title"/>
        <w:contextualSpacing w:val="0"/>
        <w:jc w:val="center"/>
        <w:outlineLvl w:val="0"/>
        <w:rPr>
          <w:rFonts w:ascii="Arial" w:eastAsia="Arial" w:hAnsi="Arial" w:cs="Arial"/>
          <w:b/>
          <w:color w:val="000000" w:themeColor="text1"/>
          <w:sz w:val="28"/>
          <w:szCs w:val="28"/>
        </w:rPr>
      </w:pPr>
      <w:r w:rsidRPr="00083184">
        <w:rPr>
          <w:rFonts w:ascii="Arial" w:hAnsi="Arial" w:cs="Arial"/>
          <w:color w:val="000000" w:themeColor="text1"/>
          <w:sz w:val="24"/>
          <w:szCs w:val="24"/>
        </w:rPr>
        <w:br w:type="page"/>
      </w:r>
      <w:r w:rsidR="00E26B87" w:rsidRPr="00083184">
        <w:rPr>
          <w:rFonts w:ascii="Arial" w:eastAsia="Arial" w:hAnsi="Arial" w:cs="Arial"/>
          <w:b/>
          <w:color w:val="000000" w:themeColor="text1"/>
          <w:sz w:val="28"/>
          <w:szCs w:val="28"/>
        </w:rPr>
        <w:t>SECTOR OUTLOOK</w:t>
      </w:r>
    </w:p>
    <w:p w14:paraId="78CB2969" w14:textId="77777777" w:rsidR="00E26B87" w:rsidRPr="00083184" w:rsidRDefault="00E26B87" w:rsidP="00E26B87">
      <w:pPr>
        <w:rPr>
          <w:rFonts w:ascii="Arial" w:hAnsi="Arial" w:cs="Arial"/>
          <w:color w:val="000000" w:themeColor="text1"/>
          <w:sz w:val="24"/>
          <w:szCs w:val="24"/>
        </w:rPr>
      </w:pPr>
    </w:p>
    <w:p w14:paraId="25009297" w14:textId="77777777" w:rsidR="00E26B87" w:rsidRPr="00083184" w:rsidRDefault="00E26B87" w:rsidP="008E7375">
      <w:pPr>
        <w:spacing w:line="240" w:lineRule="auto"/>
        <w:jc w:val="both"/>
        <w:outlineLvl w:val="0"/>
        <w:rPr>
          <w:rFonts w:ascii="Arial" w:eastAsia="Times New Roman" w:hAnsi="Arial" w:cs="Arial"/>
          <w:b/>
          <w:color w:val="000000" w:themeColor="text1"/>
          <w:sz w:val="24"/>
          <w:szCs w:val="24"/>
          <w:lang w:eastAsia="zh-CN"/>
        </w:rPr>
      </w:pPr>
      <w:r w:rsidRPr="00083184">
        <w:rPr>
          <w:rFonts w:ascii="Arial" w:eastAsia="Times New Roman" w:hAnsi="Arial" w:cs="Arial"/>
          <w:b/>
          <w:color w:val="000000" w:themeColor="text1"/>
          <w:sz w:val="24"/>
          <w:szCs w:val="24"/>
          <w:lang w:eastAsia="zh-CN"/>
        </w:rPr>
        <w:t>Communication Services</w:t>
      </w:r>
    </w:p>
    <w:p w14:paraId="16ADF2BE" w14:textId="70C094BE" w:rsidR="009743D2" w:rsidRPr="00083184" w:rsidRDefault="00FC0500" w:rsidP="009743D2">
      <w:pPr>
        <w:spacing w:line="240" w:lineRule="auto"/>
        <w:jc w:val="both"/>
        <w:rPr>
          <w:rFonts w:ascii="Arial" w:eastAsia="Times New Roman" w:hAnsi="Arial" w:cs="Arial"/>
          <w:color w:val="000000" w:themeColor="text1"/>
          <w:sz w:val="24"/>
          <w:szCs w:val="24"/>
          <w:lang w:eastAsia="zh-CN"/>
        </w:rPr>
      </w:pPr>
      <w:r w:rsidRPr="00083184">
        <w:rPr>
          <w:rFonts w:ascii="Arial" w:eastAsia="Times New Roman" w:hAnsi="Arial" w:cs="Arial"/>
          <w:color w:val="000000" w:themeColor="text1"/>
          <w:sz w:val="24"/>
          <w:szCs w:val="24"/>
          <w:lang w:eastAsia="zh-CN"/>
        </w:rPr>
        <w:t>As of November 30, 2018, Communication S</w:t>
      </w:r>
      <w:r w:rsidR="005B5906">
        <w:rPr>
          <w:rFonts w:ascii="Arial" w:eastAsia="Times New Roman" w:hAnsi="Arial" w:cs="Arial"/>
          <w:color w:val="000000" w:themeColor="text1"/>
          <w:sz w:val="24"/>
          <w:szCs w:val="24"/>
          <w:lang w:eastAsia="zh-CN"/>
        </w:rPr>
        <w:t>ervices accounted for 9.9% of</w:t>
      </w:r>
      <w:r w:rsidR="00E26B87" w:rsidRPr="00083184">
        <w:rPr>
          <w:rFonts w:ascii="Arial" w:eastAsia="Times New Roman" w:hAnsi="Arial" w:cs="Arial"/>
          <w:color w:val="000000" w:themeColor="text1"/>
          <w:sz w:val="24"/>
          <w:szCs w:val="24"/>
          <w:lang w:eastAsia="zh-CN"/>
        </w:rPr>
        <w:t xml:space="preserve"> the S&amp;P 500 index.</w:t>
      </w:r>
      <w:r w:rsidR="00E26B87" w:rsidRPr="00083184">
        <w:rPr>
          <w:rFonts w:ascii="Arial" w:hAnsi="Arial" w:cs="Arial"/>
          <w:color w:val="000000" w:themeColor="text1"/>
          <w:sz w:val="24"/>
          <w:szCs w:val="24"/>
        </w:rPr>
        <w:t xml:space="preserve"> </w:t>
      </w:r>
      <w:r w:rsidR="00E26B87" w:rsidRPr="00083184">
        <w:rPr>
          <w:rFonts w:ascii="Arial" w:eastAsia="Times New Roman" w:hAnsi="Arial" w:cs="Arial"/>
          <w:color w:val="000000" w:themeColor="text1"/>
          <w:sz w:val="24"/>
          <w:szCs w:val="24"/>
          <w:lang w:eastAsia="zh-CN"/>
        </w:rPr>
        <w:t xml:space="preserve">There are nine sub-industries in this sector: Interactive Media &amp; Services is the largest, recently accounting for 46%, while Publishing &amp; Printing was the smallest at 0.3%. EPS computations for the sector are not meaningful at this point, due to the September 2018 composition changes. The sector's price-to-earnings ratio of 17.3x, based on consensus operating EPS estimates for the next 12 months, is above S&amp;P 500's forward P/E of 16.3x. Consensus long-term EPS growth estimate for this sector is 14% versus the S&amp;P 500's 13%, giving the sector a P/E-to-projected EPS growth rate (PEG) ratio of 1.2x, which is equal to the broader market's PEG. Also, the sector recently had an indicated dividend yield of 1.5%, compared with the yield of 2.0% for the S&amp;P 500. </w:t>
      </w:r>
    </w:p>
    <w:p w14:paraId="086C062E" w14:textId="19E58F0F" w:rsidR="00E26B87" w:rsidRPr="00083184" w:rsidRDefault="00E26B87" w:rsidP="009743D2">
      <w:pPr>
        <w:spacing w:line="240" w:lineRule="auto"/>
        <w:jc w:val="both"/>
        <w:rPr>
          <w:rFonts w:ascii="Arial" w:eastAsia="Times New Roman" w:hAnsi="Arial" w:cs="Arial"/>
          <w:color w:val="000000" w:themeColor="text1"/>
          <w:sz w:val="24"/>
          <w:szCs w:val="24"/>
          <w:lang w:eastAsia="zh-CN"/>
        </w:rPr>
      </w:pPr>
      <w:r w:rsidRPr="00083184">
        <w:rPr>
          <w:rFonts w:ascii="Arial" w:eastAsia="Times New Roman" w:hAnsi="Arial" w:cs="Arial"/>
          <w:i/>
          <w:iCs/>
          <w:color w:val="000000" w:themeColor="text1"/>
          <w:sz w:val="24"/>
          <w:szCs w:val="24"/>
          <w:lang w:eastAsia="zh-CN"/>
        </w:rPr>
        <w:t>Outlook</w:t>
      </w:r>
    </w:p>
    <w:p w14:paraId="3335BC13" w14:textId="77777777" w:rsidR="00E26B87" w:rsidRPr="00083184" w:rsidRDefault="00E26B87" w:rsidP="00E26B87">
      <w:pPr>
        <w:spacing w:line="240" w:lineRule="auto"/>
        <w:jc w:val="both"/>
        <w:rPr>
          <w:rFonts w:ascii="Arial" w:eastAsia="Times New Roman" w:hAnsi="Arial" w:cs="Arial"/>
          <w:color w:val="000000" w:themeColor="text1"/>
          <w:sz w:val="24"/>
          <w:szCs w:val="24"/>
          <w:lang w:eastAsia="zh-CN"/>
        </w:rPr>
      </w:pPr>
      <w:r w:rsidRPr="00083184">
        <w:rPr>
          <w:rFonts w:ascii="Arial" w:eastAsia="Times New Roman" w:hAnsi="Arial" w:cs="Arial"/>
          <w:color w:val="000000" w:themeColor="text1"/>
          <w:sz w:val="24"/>
          <w:szCs w:val="24"/>
          <w:lang w:eastAsia="zh-CN"/>
        </w:rPr>
        <w:t xml:space="preserve">Our team has not invested in the Communication Services sector yet, however analysts are constantly monitoring this sector for possible opportunities. The Communication Services industry consists of companies that provide a range of communication services including wireless, wireline and Internet communications for voice and data to businesses and consumers. With the emergence of fifth-generation wireless network technology (5G), there will be a tremendous change in the entire mobile ecosystem, as well as society and the economy overall. According to the estimates from Deloitte, 5G will bring more than 370,000 new jobs and $150 billion in GDP. Furthermore, another critical engine for future growth is Internet of Things (IoT), such as connected car, connected home monitoring and control, and entertainment. Telecom carriers are looking for the opportunities in IoT through M&amp;A deals and partnerships. </w:t>
      </w:r>
    </w:p>
    <w:p w14:paraId="2F7CE292" w14:textId="77777777" w:rsidR="00E26B87" w:rsidRPr="00083184" w:rsidRDefault="00E26B87" w:rsidP="00E26B87">
      <w:pPr>
        <w:spacing w:after="0" w:line="240" w:lineRule="auto"/>
        <w:rPr>
          <w:rFonts w:ascii="Arial" w:eastAsia="Times New Roman" w:hAnsi="Arial" w:cs="Arial"/>
          <w:color w:val="000000" w:themeColor="text1"/>
          <w:sz w:val="24"/>
          <w:szCs w:val="24"/>
          <w:lang w:eastAsia="zh-CN"/>
        </w:rPr>
      </w:pPr>
    </w:p>
    <w:p w14:paraId="35614F2A" w14:textId="0A524522" w:rsidR="00E26B87" w:rsidRPr="00083184" w:rsidRDefault="00E26B87" w:rsidP="008E7375">
      <w:pPr>
        <w:outlineLvl w:val="0"/>
        <w:rPr>
          <w:rFonts w:ascii="Arial" w:eastAsia="Times New Roman" w:hAnsi="Arial" w:cs="Arial"/>
          <w:b/>
          <w:color w:val="000000" w:themeColor="text1"/>
          <w:sz w:val="24"/>
          <w:szCs w:val="24"/>
          <w:lang w:eastAsia="zh-CN"/>
        </w:rPr>
      </w:pPr>
      <w:r w:rsidRPr="00083184">
        <w:rPr>
          <w:rFonts w:ascii="Arial" w:eastAsia="Times New Roman" w:hAnsi="Arial" w:cs="Arial"/>
          <w:b/>
          <w:color w:val="000000" w:themeColor="text1"/>
          <w:sz w:val="24"/>
          <w:szCs w:val="24"/>
          <w:lang w:eastAsia="zh-CN"/>
        </w:rPr>
        <w:t>Consumer Discretionary</w:t>
      </w:r>
    </w:p>
    <w:p w14:paraId="7126D911" w14:textId="5DEB7DBE" w:rsidR="00E26B87" w:rsidRPr="00083184" w:rsidRDefault="00E26B87" w:rsidP="00E26B87">
      <w:pPr>
        <w:pStyle w:val="NoSpacing"/>
        <w:jc w:val="both"/>
        <w:rPr>
          <w:rFonts w:ascii="Arial" w:hAnsi="Arial" w:cs="Arial"/>
          <w:color w:val="000000" w:themeColor="text1"/>
          <w:sz w:val="24"/>
          <w:szCs w:val="24"/>
          <w:lang w:eastAsia="zh-CN"/>
        </w:rPr>
      </w:pPr>
      <w:r w:rsidRPr="00083184">
        <w:rPr>
          <w:rFonts w:ascii="Arial" w:eastAsia="Times New Roman" w:hAnsi="Arial" w:cs="Arial"/>
          <w:color w:val="000000" w:themeColor="text1"/>
          <w:sz w:val="24"/>
          <w:szCs w:val="24"/>
          <w:lang w:eastAsia="zh-CN"/>
        </w:rPr>
        <w:t>As of November 30, 2018, Consumer Dis</w:t>
      </w:r>
      <w:r w:rsidR="005B5906">
        <w:rPr>
          <w:rFonts w:ascii="Arial" w:eastAsia="Times New Roman" w:hAnsi="Arial" w:cs="Arial"/>
          <w:color w:val="000000" w:themeColor="text1"/>
          <w:sz w:val="24"/>
          <w:szCs w:val="24"/>
          <w:lang w:eastAsia="zh-CN"/>
        </w:rPr>
        <w:t>cretionary accounted for 9.9% of</w:t>
      </w:r>
      <w:r w:rsidRPr="00083184">
        <w:rPr>
          <w:rFonts w:ascii="Arial" w:eastAsia="Times New Roman" w:hAnsi="Arial" w:cs="Arial"/>
          <w:color w:val="000000" w:themeColor="text1"/>
          <w:sz w:val="24"/>
          <w:szCs w:val="24"/>
          <w:lang w:eastAsia="zh-CN"/>
        </w:rPr>
        <w:t xml:space="preserve"> the S&amp;P 500 index.</w:t>
      </w:r>
      <w:r w:rsidRPr="00083184">
        <w:rPr>
          <w:rFonts w:ascii="Arial" w:hAnsi="Arial" w:cs="Arial"/>
          <w:color w:val="000000" w:themeColor="text1"/>
          <w:sz w:val="24"/>
          <w:szCs w:val="24"/>
          <w:lang w:eastAsia="zh-CN"/>
        </w:rPr>
        <w:t xml:space="preserve"> There are 30 sub-industries in this sector. Internet &amp; Direct Marketing Retail is the largest, representing slightly less than one-third of </w:t>
      </w:r>
      <w:r w:rsidR="00745C7C" w:rsidRPr="00083184">
        <w:rPr>
          <w:rFonts w:ascii="Arial" w:hAnsi="Arial" w:cs="Arial"/>
          <w:color w:val="000000" w:themeColor="text1"/>
          <w:sz w:val="24"/>
          <w:szCs w:val="24"/>
          <w:lang w:eastAsia="zh-CN"/>
        </w:rPr>
        <w:t>the sector's market value. The Consumer D</w:t>
      </w:r>
      <w:r w:rsidRPr="00083184">
        <w:rPr>
          <w:rFonts w:ascii="Arial" w:hAnsi="Arial" w:cs="Arial"/>
          <w:color w:val="000000" w:themeColor="text1"/>
          <w:sz w:val="24"/>
          <w:szCs w:val="24"/>
          <w:lang w:eastAsia="zh-CN"/>
        </w:rPr>
        <w:t xml:space="preserve">iscretionary sector is projected to record a 15.4% </w:t>
      </w:r>
      <w:r w:rsidR="00FC0500" w:rsidRPr="00083184">
        <w:rPr>
          <w:rFonts w:ascii="Arial" w:hAnsi="Arial" w:cs="Arial"/>
          <w:color w:val="000000" w:themeColor="text1"/>
          <w:sz w:val="24"/>
          <w:szCs w:val="24"/>
          <w:lang w:eastAsia="zh-CN"/>
        </w:rPr>
        <w:t>year over year</w:t>
      </w:r>
      <w:r w:rsidRPr="00083184">
        <w:rPr>
          <w:rFonts w:ascii="Arial" w:hAnsi="Arial" w:cs="Arial"/>
          <w:color w:val="000000" w:themeColor="text1"/>
          <w:sz w:val="24"/>
          <w:szCs w:val="24"/>
          <w:lang w:eastAsia="zh-CN"/>
        </w:rPr>
        <w:t xml:space="preserve"> increase in operating earnings per share in 2018, as compared with the S&amp;P 500's estimated EPS gain of </w:t>
      </w:r>
      <w:r w:rsidRPr="00083184">
        <w:rPr>
          <w:rFonts w:ascii="Arial" w:eastAsia="Times New Roman" w:hAnsi="Arial" w:cs="Arial"/>
          <w:color w:val="000000" w:themeColor="text1"/>
          <w:sz w:val="24"/>
          <w:szCs w:val="24"/>
          <w:shd w:val="clear" w:color="auto" w:fill="FFFFFF"/>
        </w:rPr>
        <w:t>22.2</w:t>
      </w:r>
      <w:r w:rsidRPr="00083184">
        <w:rPr>
          <w:rFonts w:ascii="Arial" w:hAnsi="Arial" w:cs="Arial"/>
          <w:color w:val="000000" w:themeColor="text1"/>
          <w:sz w:val="24"/>
          <w:szCs w:val="24"/>
          <w:lang w:eastAsia="zh-CN"/>
        </w:rPr>
        <w:t>%. In addition, revenues for the sector are forecast</w:t>
      </w:r>
      <w:r w:rsidR="005B5906">
        <w:rPr>
          <w:rFonts w:ascii="Arial" w:hAnsi="Arial" w:cs="Arial"/>
          <w:color w:val="000000" w:themeColor="text1"/>
          <w:sz w:val="24"/>
          <w:szCs w:val="24"/>
          <w:lang w:eastAsia="zh-CN"/>
        </w:rPr>
        <w:t>ed</w:t>
      </w:r>
      <w:r w:rsidRPr="00083184">
        <w:rPr>
          <w:rFonts w:ascii="Arial" w:hAnsi="Arial" w:cs="Arial"/>
          <w:color w:val="000000" w:themeColor="text1"/>
          <w:sz w:val="24"/>
          <w:szCs w:val="24"/>
          <w:lang w:eastAsia="zh-CN"/>
        </w:rPr>
        <w:t xml:space="preserve"> to increase by 8.6% in 2018 versus the S&amp;P 500's projected rise of </w:t>
      </w:r>
      <w:r w:rsidRPr="00083184">
        <w:rPr>
          <w:rFonts w:ascii="Arial" w:eastAsia="Times New Roman" w:hAnsi="Arial" w:cs="Arial"/>
          <w:color w:val="000000" w:themeColor="text1"/>
          <w:sz w:val="24"/>
          <w:szCs w:val="24"/>
          <w:shd w:val="clear" w:color="auto" w:fill="FFFFFF"/>
        </w:rPr>
        <w:t>8.3%</w:t>
      </w:r>
      <w:r w:rsidRPr="00083184">
        <w:rPr>
          <w:rFonts w:ascii="Arial" w:hAnsi="Arial" w:cs="Arial"/>
          <w:color w:val="000000" w:themeColor="text1"/>
          <w:sz w:val="24"/>
          <w:szCs w:val="24"/>
          <w:lang w:eastAsia="zh-CN"/>
        </w:rPr>
        <w:t>. The sector's price-to-earnings ratio of 22.2x, based on the consensus forward 12-month operating EPS estimate, is above the S&amp;P 500's forward P/E of 16.3x. S&amp;P Capital IQ also reports that the consensus long-term EPS growth estimate for this sector is 24.1% versus the S&amp;P 500'</w:t>
      </w:r>
      <w:r w:rsidR="00FC0500" w:rsidRPr="00083184">
        <w:rPr>
          <w:rFonts w:ascii="Arial" w:hAnsi="Arial" w:cs="Arial"/>
          <w:color w:val="000000" w:themeColor="text1"/>
          <w:sz w:val="24"/>
          <w:szCs w:val="24"/>
          <w:lang w:eastAsia="zh-CN"/>
        </w:rPr>
        <w:t>s 13</w:t>
      </w:r>
      <w:r w:rsidRPr="00083184">
        <w:rPr>
          <w:rFonts w:ascii="Arial" w:hAnsi="Arial" w:cs="Arial"/>
          <w:color w:val="000000" w:themeColor="text1"/>
          <w:sz w:val="24"/>
          <w:szCs w:val="24"/>
          <w:lang w:eastAsia="zh-CN"/>
        </w:rPr>
        <w:t>%, giving the sector a P/E-to-projected EPS growth rate (PEG) ratio of 0.9x, which is below the broader market's PEG of 1.2x. Finally, this sector pays a dividend yield of 1.2%, a</w:t>
      </w:r>
      <w:r w:rsidR="00FC0500" w:rsidRPr="00083184">
        <w:rPr>
          <w:rFonts w:ascii="Arial" w:hAnsi="Arial" w:cs="Arial"/>
          <w:color w:val="000000" w:themeColor="text1"/>
          <w:sz w:val="24"/>
          <w:szCs w:val="24"/>
          <w:lang w:eastAsia="zh-CN"/>
        </w:rPr>
        <w:t>s compared with the yield of 2</w:t>
      </w:r>
      <w:r w:rsidRPr="00083184">
        <w:rPr>
          <w:rFonts w:ascii="Arial" w:hAnsi="Arial" w:cs="Arial"/>
          <w:color w:val="000000" w:themeColor="text1"/>
          <w:sz w:val="24"/>
          <w:szCs w:val="24"/>
          <w:lang w:eastAsia="zh-CN"/>
        </w:rPr>
        <w:t>% for the S&amp;P 500.</w:t>
      </w:r>
    </w:p>
    <w:p w14:paraId="198B6891" w14:textId="77777777" w:rsidR="00FC0500" w:rsidRPr="00083184" w:rsidRDefault="00E26B87" w:rsidP="008E7375">
      <w:pPr>
        <w:spacing w:line="360" w:lineRule="auto"/>
        <w:outlineLvl w:val="0"/>
        <w:rPr>
          <w:rFonts w:ascii="Arial" w:eastAsiaTheme="majorEastAsia" w:hAnsi="Arial" w:cs="Arial"/>
          <w:color w:val="000000" w:themeColor="text1"/>
          <w:sz w:val="24"/>
          <w:szCs w:val="24"/>
        </w:rPr>
      </w:pPr>
      <w:r w:rsidRPr="00083184">
        <w:rPr>
          <w:rFonts w:ascii="Arial" w:eastAsiaTheme="majorEastAsia" w:hAnsi="Arial" w:cs="Arial"/>
          <w:color w:val="000000" w:themeColor="text1"/>
          <w:sz w:val="24"/>
          <w:szCs w:val="24"/>
        </w:rPr>
        <w:t xml:space="preserve"> </w:t>
      </w:r>
    </w:p>
    <w:p w14:paraId="384DE0D1" w14:textId="77777777" w:rsidR="00FC0500" w:rsidRPr="00083184" w:rsidRDefault="00FC0500">
      <w:pPr>
        <w:rPr>
          <w:rFonts w:ascii="Arial" w:eastAsiaTheme="majorEastAsia" w:hAnsi="Arial" w:cs="Arial"/>
          <w:color w:val="000000" w:themeColor="text1"/>
          <w:sz w:val="24"/>
          <w:szCs w:val="24"/>
        </w:rPr>
      </w:pPr>
      <w:r w:rsidRPr="00083184">
        <w:rPr>
          <w:rFonts w:ascii="Arial" w:eastAsiaTheme="majorEastAsia" w:hAnsi="Arial" w:cs="Arial"/>
          <w:color w:val="000000" w:themeColor="text1"/>
          <w:sz w:val="24"/>
          <w:szCs w:val="24"/>
        </w:rPr>
        <w:br w:type="page"/>
      </w:r>
    </w:p>
    <w:p w14:paraId="7A626712" w14:textId="2D5F33AB" w:rsidR="00E26B87" w:rsidRPr="00083184" w:rsidRDefault="00E26B87" w:rsidP="00FC0500">
      <w:pPr>
        <w:rPr>
          <w:rFonts w:ascii="Arial" w:eastAsiaTheme="majorEastAsia" w:hAnsi="Arial" w:cs="Arial"/>
          <w:color w:val="000000" w:themeColor="text1"/>
          <w:sz w:val="24"/>
          <w:szCs w:val="24"/>
        </w:rPr>
      </w:pPr>
      <w:r w:rsidRPr="00083184">
        <w:rPr>
          <w:rFonts w:ascii="Arial" w:eastAsiaTheme="majorEastAsia" w:hAnsi="Arial" w:cs="Arial"/>
          <w:i/>
          <w:color w:val="000000" w:themeColor="text1"/>
          <w:sz w:val="24"/>
          <w:szCs w:val="24"/>
        </w:rPr>
        <w:t>Outlook</w:t>
      </w:r>
    </w:p>
    <w:p w14:paraId="2C190E28" w14:textId="2D44BBDF" w:rsidR="00E26B87" w:rsidRPr="00083184" w:rsidRDefault="00E26B87" w:rsidP="00E26B87">
      <w:pPr>
        <w:pStyle w:val="NoSpacing"/>
        <w:jc w:val="both"/>
        <w:rPr>
          <w:rFonts w:ascii="Arial" w:hAnsi="Arial" w:cs="Arial"/>
          <w:color w:val="000000" w:themeColor="text1"/>
          <w:sz w:val="24"/>
          <w:szCs w:val="24"/>
        </w:rPr>
      </w:pPr>
      <w:r w:rsidRPr="00083184">
        <w:rPr>
          <w:rFonts w:ascii="Arial" w:hAnsi="Arial" w:cs="Arial"/>
          <w:color w:val="000000" w:themeColor="text1"/>
          <w:sz w:val="24"/>
          <w:szCs w:val="24"/>
          <w:shd w:val="clear" w:color="auto" w:fill="FFFFFF"/>
        </w:rPr>
        <w:t>The indicator</w:t>
      </w:r>
      <w:r w:rsidR="00FC0500" w:rsidRPr="00083184">
        <w:rPr>
          <w:rFonts w:ascii="Arial" w:hAnsi="Arial" w:cs="Arial"/>
          <w:color w:val="000000" w:themeColor="text1"/>
          <w:sz w:val="24"/>
          <w:szCs w:val="24"/>
          <w:shd w:val="clear" w:color="auto" w:fill="FFFFFF"/>
        </w:rPr>
        <w:t xml:space="preserve">s of continuous economic growth show </w:t>
      </w:r>
      <w:r w:rsidRPr="00083184">
        <w:rPr>
          <w:rFonts w:ascii="Arial" w:hAnsi="Arial" w:cs="Arial"/>
          <w:color w:val="000000" w:themeColor="text1"/>
          <w:sz w:val="24"/>
          <w:szCs w:val="24"/>
          <w:shd w:val="clear" w:color="auto" w:fill="FFFFFF"/>
        </w:rPr>
        <w:t xml:space="preserve">a positive outlook of </w:t>
      </w:r>
      <w:r w:rsidR="00FC0500" w:rsidRPr="00083184">
        <w:rPr>
          <w:rFonts w:ascii="Arial" w:hAnsi="Arial" w:cs="Arial"/>
          <w:color w:val="000000" w:themeColor="text1"/>
          <w:sz w:val="24"/>
          <w:szCs w:val="24"/>
          <w:shd w:val="clear" w:color="auto" w:fill="FFFFFF"/>
        </w:rPr>
        <w:t>the Consumer D</w:t>
      </w:r>
      <w:r w:rsidRPr="00083184">
        <w:rPr>
          <w:rFonts w:ascii="Arial" w:hAnsi="Arial" w:cs="Arial"/>
          <w:color w:val="000000" w:themeColor="text1"/>
          <w:sz w:val="24"/>
          <w:szCs w:val="24"/>
          <w:shd w:val="clear" w:color="auto" w:fill="FFFFFF"/>
        </w:rPr>
        <w:t>iscretionary</w:t>
      </w:r>
      <w:r w:rsidR="00FC0500" w:rsidRPr="00083184">
        <w:rPr>
          <w:rFonts w:ascii="Arial" w:hAnsi="Arial" w:cs="Arial"/>
          <w:color w:val="000000" w:themeColor="text1"/>
          <w:sz w:val="24"/>
          <w:szCs w:val="24"/>
          <w:shd w:val="clear" w:color="auto" w:fill="FFFFFF"/>
        </w:rPr>
        <w:t xml:space="preserve"> Sector</w:t>
      </w:r>
      <w:r w:rsidRPr="00083184">
        <w:rPr>
          <w:rFonts w:ascii="Arial" w:hAnsi="Arial" w:cs="Arial"/>
          <w:color w:val="000000" w:themeColor="text1"/>
          <w:sz w:val="24"/>
          <w:szCs w:val="24"/>
          <w:shd w:val="clear" w:color="auto" w:fill="FFFFFF"/>
        </w:rPr>
        <w:t xml:space="preserve"> in 2018 and 2019. Continued low interest rates support consumer borrowing and spending. Because of friendly monetary policy, future increases of interest rate</w:t>
      </w:r>
      <w:r w:rsidR="00B53417">
        <w:rPr>
          <w:rFonts w:ascii="Arial" w:hAnsi="Arial" w:cs="Arial"/>
          <w:color w:val="000000" w:themeColor="text1"/>
          <w:sz w:val="24"/>
          <w:szCs w:val="24"/>
          <w:shd w:val="clear" w:color="auto" w:fill="FFFFFF"/>
        </w:rPr>
        <w:t>s</w:t>
      </w:r>
      <w:r w:rsidRPr="00083184">
        <w:rPr>
          <w:rFonts w:ascii="Arial" w:hAnsi="Arial" w:cs="Arial"/>
          <w:color w:val="000000" w:themeColor="text1"/>
          <w:sz w:val="24"/>
          <w:szCs w:val="24"/>
          <w:shd w:val="clear" w:color="auto" w:fill="FFFFFF"/>
        </w:rPr>
        <w:t xml:space="preserve"> are expected to be slow and gradual, which</w:t>
      </w:r>
      <w:r w:rsidR="00B53417">
        <w:rPr>
          <w:rFonts w:ascii="Arial" w:hAnsi="Arial" w:cs="Arial"/>
          <w:color w:val="000000" w:themeColor="text1"/>
          <w:sz w:val="24"/>
          <w:szCs w:val="24"/>
          <w:shd w:val="clear" w:color="auto" w:fill="FFFFFF"/>
        </w:rPr>
        <w:t xml:space="preserve"> will</w:t>
      </w:r>
      <w:r w:rsidRPr="00083184">
        <w:rPr>
          <w:rFonts w:ascii="Arial" w:hAnsi="Arial" w:cs="Arial"/>
          <w:color w:val="000000" w:themeColor="text1"/>
          <w:sz w:val="24"/>
          <w:szCs w:val="24"/>
          <w:shd w:val="clear" w:color="auto" w:fill="FFFFFF"/>
        </w:rPr>
        <w:t xml:space="preserve"> allow consumers to </w:t>
      </w:r>
      <w:r w:rsidR="00B53417">
        <w:rPr>
          <w:rFonts w:ascii="Arial" w:hAnsi="Arial" w:cs="Arial"/>
          <w:color w:val="000000" w:themeColor="text1"/>
          <w:sz w:val="24"/>
          <w:szCs w:val="24"/>
          <w:shd w:val="clear" w:color="auto" w:fill="FFFFFF"/>
        </w:rPr>
        <w:t xml:space="preserve">absorb them relatively easily. </w:t>
      </w:r>
      <w:r w:rsidRPr="00083184">
        <w:rPr>
          <w:rFonts w:ascii="Arial" w:hAnsi="Arial" w:cs="Arial"/>
          <w:color w:val="000000" w:themeColor="text1"/>
          <w:sz w:val="24"/>
          <w:szCs w:val="24"/>
          <w:shd w:val="clear" w:color="auto" w:fill="FFFFFF"/>
        </w:rPr>
        <w:t>The U.S. unemployment rate is low in 2018. According to U</w:t>
      </w:r>
      <w:r w:rsidR="00FC0500" w:rsidRPr="00083184">
        <w:rPr>
          <w:rFonts w:ascii="Arial" w:hAnsi="Arial" w:cs="Arial"/>
          <w:color w:val="000000" w:themeColor="text1"/>
          <w:sz w:val="24"/>
          <w:szCs w:val="24"/>
          <w:shd w:val="clear" w:color="auto" w:fill="FFFFFF"/>
        </w:rPr>
        <w:t>.S. Bureau of Labor Statistics latest n</w:t>
      </w:r>
      <w:r w:rsidRPr="00083184">
        <w:rPr>
          <w:rFonts w:ascii="Arial" w:hAnsi="Arial" w:cs="Arial"/>
          <w:color w:val="000000" w:themeColor="text1"/>
          <w:sz w:val="24"/>
          <w:szCs w:val="24"/>
          <w:shd w:val="clear" w:color="auto" w:fill="FFFFFF"/>
        </w:rPr>
        <w:t>umbers, the unemploym</w:t>
      </w:r>
      <w:r w:rsidR="00FC0500" w:rsidRPr="00083184">
        <w:rPr>
          <w:rFonts w:ascii="Arial" w:hAnsi="Arial" w:cs="Arial"/>
          <w:color w:val="000000" w:themeColor="text1"/>
          <w:sz w:val="24"/>
          <w:szCs w:val="24"/>
          <w:shd w:val="clear" w:color="auto" w:fill="FFFFFF"/>
        </w:rPr>
        <w:t>ent rate remained at 3.7%</w:t>
      </w:r>
      <w:r w:rsidRPr="00083184">
        <w:rPr>
          <w:rFonts w:ascii="Arial" w:hAnsi="Arial" w:cs="Arial"/>
          <w:color w:val="000000" w:themeColor="text1"/>
          <w:sz w:val="24"/>
          <w:szCs w:val="24"/>
          <w:shd w:val="clear" w:color="auto" w:fill="FFFFFF"/>
        </w:rPr>
        <w:t xml:space="preserve"> in November 2018. Over the year, the unemployment rate and the number of unempl</w:t>
      </w:r>
      <w:r w:rsidR="00FC0500" w:rsidRPr="00083184">
        <w:rPr>
          <w:rFonts w:ascii="Arial" w:hAnsi="Arial" w:cs="Arial"/>
          <w:color w:val="000000" w:themeColor="text1"/>
          <w:sz w:val="24"/>
          <w:szCs w:val="24"/>
          <w:shd w:val="clear" w:color="auto" w:fill="FFFFFF"/>
        </w:rPr>
        <w:t>oyed persons declined by 0.4%</w:t>
      </w:r>
      <w:r w:rsidRPr="00083184">
        <w:rPr>
          <w:rFonts w:ascii="Arial" w:hAnsi="Arial" w:cs="Arial"/>
          <w:color w:val="000000" w:themeColor="text1"/>
          <w:sz w:val="24"/>
          <w:szCs w:val="24"/>
          <w:shd w:val="clear" w:color="auto" w:fill="FFFFFF"/>
        </w:rPr>
        <w:t>. Av</w:t>
      </w:r>
      <w:r w:rsidR="00FC0500" w:rsidRPr="00083184">
        <w:rPr>
          <w:rFonts w:ascii="Arial" w:hAnsi="Arial" w:cs="Arial"/>
          <w:color w:val="000000" w:themeColor="text1"/>
          <w:sz w:val="24"/>
          <w:szCs w:val="24"/>
          <w:shd w:val="clear" w:color="auto" w:fill="FFFFFF"/>
        </w:rPr>
        <w:t>erage hourly earnings have increased by</w:t>
      </w:r>
      <w:r w:rsidRPr="00083184">
        <w:rPr>
          <w:rFonts w:ascii="Arial" w:hAnsi="Arial" w:cs="Arial"/>
          <w:color w:val="000000" w:themeColor="text1"/>
          <w:sz w:val="24"/>
          <w:szCs w:val="24"/>
          <w:shd w:val="clear" w:color="auto" w:fill="FFFFFF"/>
        </w:rPr>
        <w:t xml:space="preserve"> 3.1% over the past 12 months. Additionally, wages </w:t>
      </w:r>
      <w:r w:rsidR="00454F40">
        <w:rPr>
          <w:rFonts w:ascii="Arial" w:hAnsi="Arial" w:cs="Arial"/>
          <w:color w:val="000000" w:themeColor="text1"/>
          <w:sz w:val="24"/>
          <w:szCs w:val="24"/>
          <w:shd w:val="clear" w:color="auto" w:fill="FFFFFF"/>
        </w:rPr>
        <w:t>are increasing</w:t>
      </w:r>
      <w:r w:rsidRPr="00083184">
        <w:rPr>
          <w:rFonts w:ascii="Arial" w:hAnsi="Arial" w:cs="Arial"/>
          <w:color w:val="000000" w:themeColor="text1"/>
          <w:sz w:val="24"/>
          <w:szCs w:val="24"/>
          <w:shd w:val="clear" w:color="auto" w:fill="FFFFFF"/>
        </w:rPr>
        <w:t xml:space="preserve"> in a growing number of areas. The reading for the Conference Board's shows Consumer Confidence Index remained near an 18-year high at 135.7. Moreover, the report from </w:t>
      </w:r>
      <w:r w:rsidR="00454F40">
        <w:rPr>
          <w:rFonts w:ascii="Arial" w:hAnsi="Arial" w:cs="Arial"/>
          <w:color w:val="000000" w:themeColor="text1"/>
          <w:sz w:val="24"/>
          <w:szCs w:val="24"/>
          <w:shd w:val="clear" w:color="auto" w:fill="FFFFFF"/>
        </w:rPr>
        <w:t xml:space="preserve">the </w:t>
      </w:r>
      <w:r w:rsidRPr="00083184">
        <w:rPr>
          <w:rFonts w:ascii="Arial" w:hAnsi="Arial" w:cs="Arial"/>
          <w:color w:val="000000" w:themeColor="text1"/>
          <w:sz w:val="24"/>
          <w:szCs w:val="24"/>
          <w:shd w:val="clear" w:color="auto" w:fill="FFFFFF"/>
        </w:rPr>
        <w:t xml:space="preserve">Census Bureau disclosed that the October retail sales got a solid 4.3% </w:t>
      </w:r>
      <w:r w:rsidR="00FC0500" w:rsidRPr="00083184">
        <w:rPr>
          <w:rFonts w:ascii="Arial" w:hAnsi="Arial" w:cs="Arial"/>
          <w:color w:val="000000" w:themeColor="text1"/>
          <w:sz w:val="24"/>
          <w:szCs w:val="24"/>
          <w:shd w:val="clear" w:color="auto" w:fill="FFFFFF"/>
        </w:rPr>
        <w:t>year over year</w:t>
      </w:r>
      <w:r w:rsidRPr="00083184">
        <w:rPr>
          <w:rFonts w:ascii="Arial" w:hAnsi="Arial" w:cs="Arial"/>
          <w:color w:val="000000" w:themeColor="text1"/>
          <w:sz w:val="24"/>
          <w:szCs w:val="24"/>
          <w:shd w:val="clear" w:color="auto" w:fill="FFFFFF"/>
        </w:rPr>
        <w:t xml:space="preserve"> gain. </w:t>
      </w:r>
      <w:r w:rsidR="00FC0500" w:rsidRPr="00083184">
        <w:rPr>
          <w:rFonts w:ascii="Arial" w:hAnsi="Arial" w:cs="Arial"/>
          <w:color w:val="000000" w:themeColor="text1"/>
          <w:sz w:val="24"/>
          <w:szCs w:val="24"/>
          <w:shd w:val="clear" w:color="auto" w:fill="FFFFFF"/>
        </w:rPr>
        <w:t xml:space="preserve">Finally, </w:t>
      </w:r>
      <w:r w:rsidR="00FC0500" w:rsidRPr="00083184">
        <w:rPr>
          <w:rFonts w:ascii="Arial" w:hAnsi="Arial" w:cs="Arial"/>
          <w:color w:val="000000" w:themeColor="text1"/>
          <w:sz w:val="24"/>
          <w:szCs w:val="24"/>
        </w:rPr>
        <w:t xml:space="preserve">the tax overhaul </w:t>
      </w:r>
      <w:r w:rsidRPr="00083184">
        <w:rPr>
          <w:rFonts w:ascii="Arial" w:hAnsi="Arial" w:cs="Arial"/>
          <w:color w:val="000000" w:themeColor="text1"/>
          <w:sz w:val="24"/>
          <w:szCs w:val="24"/>
        </w:rPr>
        <w:t>in 2018 could help to boost consumer</w:t>
      </w:r>
      <w:r w:rsidR="00FC0500" w:rsidRPr="00083184">
        <w:rPr>
          <w:rFonts w:ascii="Arial" w:hAnsi="Arial" w:cs="Arial"/>
          <w:color w:val="000000" w:themeColor="text1"/>
          <w:sz w:val="24"/>
          <w:szCs w:val="24"/>
        </w:rPr>
        <w:t xml:space="preserve"> spending as well as investing i</w:t>
      </w:r>
      <w:r w:rsidRPr="00083184">
        <w:rPr>
          <w:rFonts w:ascii="Arial" w:hAnsi="Arial" w:cs="Arial"/>
          <w:color w:val="000000" w:themeColor="text1"/>
          <w:sz w:val="24"/>
          <w:szCs w:val="24"/>
        </w:rPr>
        <w:t xml:space="preserve">n </w:t>
      </w:r>
      <w:r w:rsidR="00745C7C" w:rsidRPr="00083184">
        <w:rPr>
          <w:rFonts w:ascii="Arial" w:hAnsi="Arial" w:cs="Arial"/>
          <w:color w:val="000000" w:themeColor="text1"/>
          <w:sz w:val="24"/>
          <w:szCs w:val="24"/>
        </w:rPr>
        <w:t>the d</w:t>
      </w:r>
      <w:r w:rsidRPr="00083184">
        <w:rPr>
          <w:rFonts w:ascii="Arial" w:hAnsi="Arial" w:cs="Arial"/>
          <w:color w:val="000000" w:themeColor="text1"/>
          <w:sz w:val="24"/>
          <w:szCs w:val="24"/>
        </w:rPr>
        <w:t>iscretionary sector.</w:t>
      </w:r>
    </w:p>
    <w:p w14:paraId="5840EEAB" w14:textId="77777777" w:rsidR="00E26B87" w:rsidRPr="00083184" w:rsidRDefault="00E26B87" w:rsidP="00E26B87">
      <w:pPr>
        <w:pStyle w:val="NoSpacing"/>
        <w:jc w:val="both"/>
        <w:rPr>
          <w:rFonts w:ascii="Arial" w:hAnsi="Arial" w:cs="Arial"/>
          <w:color w:val="000000" w:themeColor="text1"/>
          <w:sz w:val="24"/>
          <w:szCs w:val="24"/>
        </w:rPr>
      </w:pPr>
    </w:p>
    <w:p w14:paraId="4E1103AA" w14:textId="30A7E4A0" w:rsidR="00E26B87" w:rsidRPr="00083184" w:rsidRDefault="00E26B87" w:rsidP="00E26B87">
      <w:pPr>
        <w:pStyle w:val="NoSpacing"/>
        <w:jc w:val="both"/>
        <w:rPr>
          <w:rFonts w:ascii="Arial" w:hAnsi="Arial" w:cs="Arial"/>
          <w:color w:val="000000" w:themeColor="text1"/>
          <w:sz w:val="24"/>
          <w:szCs w:val="24"/>
        </w:rPr>
      </w:pPr>
      <w:r w:rsidRPr="00083184">
        <w:rPr>
          <w:rFonts w:ascii="Arial" w:hAnsi="Arial" w:cs="Arial"/>
          <w:color w:val="000000" w:themeColor="text1"/>
          <w:sz w:val="24"/>
          <w:szCs w:val="24"/>
        </w:rPr>
        <w:t>Technology has changed the consumer landscape in many ways—not only for retailers but also for media companies. Tradition</w:t>
      </w:r>
      <w:r w:rsidR="00FC0500" w:rsidRPr="00083184">
        <w:rPr>
          <w:rFonts w:ascii="Arial" w:hAnsi="Arial" w:cs="Arial"/>
          <w:color w:val="000000" w:themeColor="text1"/>
          <w:sz w:val="24"/>
          <w:szCs w:val="24"/>
        </w:rPr>
        <w:t xml:space="preserve">al brick-and-mortar stores face </w:t>
      </w:r>
      <w:r w:rsidRPr="00083184">
        <w:rPr>
          <w:rFonts w:ascii="Arial" w:hAnsi="Arial" w:cs="Arial"/>
          <w:color w:val="000000" w:themeColor="text1"/>
          <w:sz w:val="24"/>
          <w:szCs w:val="24"/>
        </w:rPr>
        <w:t>growing pressure on margin</w:t>
      </w:r>
      <w:r w:rsidR="00FC0500" w:rsidRPr="00083184">
        <w:rPr>
          <w:rFonts w:ascii="Arial" w:hAnsi="Arial" w:cs="Arial"/>
          <w:color w:val="000000" w:themeColor="text1"/>
          <w:sz w:val="24"/>
          <w:szCs w:val="24"/>
        </w:rPr>
        <w:t>s</w:t>
      </w:r>
      <w:r w:rsidRPr="00083184">
        <w:rPr>
          <w:rFonts w:ascii="Arial" w:hAnsi="Arial" w:cs="Arial"/>
          <w:color w:val="000000" w:themeColor="text1"/>
          <w:sz w:val="24"/>
          <w:szCs w:val="24"/>
        </w:rPr>
        <w:t xml:space="preserve"> because of huge operational expenses, serious</w:t>
      </w:r>
      <w:r w:rsidR="00FC0500" w:rsidRPr="00083184">
        <w:rPr>
          <w:rFonts w:ascii="Arial" w:hAnsi="Arial" w:cs="Arial"/>
          <w:color w:val="000000" w:themeColor="text1"/>
          <w:sz w:val="24"/>
          <w:szCs w:val="24"/>
        </w:rPr>
        <w:t xml:space="preserve"> price competition, and changes</w:t>
      </w:r>
      <w:r w:rsidR="00745C7C" w:rsidRPr="00083184">
        <w:rPr>
          <w:rFonts w:ascii="Arial" w:hAnsi="Arial" w:cs="Arial"/>
          <w:color w:val="000000" w:themeColor="text1"/>
          <w:sz w:val="24"/>
          <w:szCs w:val="24"/>
        </w:rPr>
        <w:t xml:space="preserve"> in customer’s</w:t>
      </w:r>
      <w:r w:rsidRPr="00083184">
        <w:rPr>
          <w:rFonts w:ascii="Arial" w:hAnsi="Arial" w:cs="Arial"/>
          <w:color w:val="000000" w:themeColor="text1"/>
          <w:sz w:val="24"/>
          <w:szCs w:val="24"/>
        </w:rPr>
        <w:t xml:space="preserve"> habit</w:t>
      </w:r>
      <w:r w:rsidR="00FC0500" w:rsidRPr="00083184">
        <w:rPr>
          <w:rFonts w:ascii="Arial" w:hAnsi="Arial" w:cs="Arial"/>
          <w:color w:val="000000" w:themeColor="text1"/>
          <w:sz w:val="24"/>
          <w:szCs w:val="24"/>
        </w:rPr>
        <w:t>s</w:t>
      </w:r>
      <w:r w:rsidRPr="00083184">
        <w:rPr>
          <w:rFonts w:ascii="Arial" w:hAnsi="Arial" w:cs="Arial"/>
          <w:color w:val="000000" w:themeColor="text1"/>
          <w:sz w:val="24"/>
          <w:szCs w:val="24"/>
        </w:rPr>
        <w:t xml:space="preserve">. Many consumers now routinely use computer networks to identify sellers, evaluate products and services, compare prices, and exert market leverage. According to </w:t>
      </w:r>
      <w:r w:rsidR="00454F40">
        <w:rPr>
          <w:rFonts w:ascii="Arial" w:hAnsi="Arial" w:cs="Arial"/>
          <w:color w:val="000000" w:themeColor="text1"/>
          <w:sz w:val="24"/>
          <w:szCs w:val="24"/>
        </w:rPr>
        <w:t xml:space="preserve">the </w:t>
      </w:r>
      <w:r w:rsidRPr="00083184">
        <w:rPr>
          <w:rFonts w:ascii="Arial" w:hAnsi="Arial" w:cs="Arial"/>
          <w:color w:val="000000" w:themeColor="text1"/>
          <w:sz w:val="24"/>
          <w:szCs w:val="24"/>
        </w:rPr>
        <w:t>Census Bureau, U.S. retail e-commerce sales for the third quarter of 2018 increased 14.5%</w:t>
      </w:r>
      <w:r w:rsidR="00FC0500" w:rsidRPr="00083184">
        <w:rPr>
          <w:rFonts w:ascii="Arial" w:hAnsi="Arial" w:cs="Arial"/>
          <w:color w:val="000000" w:themeColor="text1"/>
          <w:sz w:val="24"/>
          <w:szCs w:val="24"/>
        </w:rPr>
        <w:t xml:space="preserve"> </w:t>
      </w:r>
      <w:r w:rsidR="00454F40">
        <w:rPr>
          <w:rFonts w:ascii="Arial" w:hAnsi="Arial" w:cs="Arial"/>
          <w:color w:val="000000" w:themeColor="text1"/>
          <w:sz w:val="24"/>
          <w:szCs w:val="24"/>
        </w:rPr>
        <w:t>year over year</w:t>
      </w:r>
      <w:r w:rsidR="00FC0500" w:rsidRPr="00083184">
        <w:rPr>
          <w:rFonts w:ascii="Arial" w:hAnsi="Arial" w:cs="Arial"/>
          <w:color w:val="000000" w:themeColor="text1"/>
          <w:sz w:val="24"/>
          <w:szCs w:val="24"/>
        </w:rPr>
        <w:t>. H</w:t>
      </w:r>
      <w:r w:rsidRPr="00083184">
        <w:rPr>
          <w:rFonts w:ascii="Arial" w:hAnsi="Arial" w:cs="Arial"/>
          <w:color w:val="000000" w:themeColor="text1"/>
          <w:sz w:val="24"/>
          <w:szCs w:val="24"/>
        </w:rPr>
        <w:t xml:space="preserve">owever, total retail sales increased only 5.3% in the same period. </w:t>
      </w:r>
    </w:p>
    <w:p w14:paraId="7DC68006" w14:textId="38F0174C" w:rsidR="00E26B87" w:rsidRPr="00083184" w:rsidRDefault="00E26B87" w:rsidP="00E26B87">
      <w:pPr>
        <w:pStyle w:val="NoSpacing"/>
        <w:rPr>
          <w:rFonts w:ascii="Arial" w:hAnsi="Arial" w:cs="Arial"/>
          <w:color w:val="000000" w:themeColor="text1"/>
          <w:sz w:val="24"/>
          <w:szCs w:val="24"/>
        </w:rPr>
      </w:pPr>
    </w:p>
    <w:p w14:paraId="271EABFD" w14:textId="322C6062" w:rsidR="00D80E5B" w:rsidRPr="00083184" w:rsidRDefault="00D80E5B" w:rsidP="00D80E5B">
      <w:pPr>
        <w:pBdr>
          <w:top w:val="nil"/>
          <w:left w:val="nil"/>
          <w:bottom w:val="nil"/>
          <w:right w:val="nil"/>
          <w:between w:val="nil"/>
        </w:pBdr>
        <w:spacing w:after="120" w:line="240" w:lineRule="auto"/>
        <w:jc w:val="both"/>
        <w:outlineLvl w:val="0"/>
        <w:rPr>
          <w:rFonts w:ascii="Arial" w:eastAsia="Arial" w:hAnsi="Arial" w:cs="Arial"/>
          <w:color w:val="000000" w:themeColor="text1"/>
          <w:sz w:val="24"/>
          <w:szCs w:val="24"/>
        </w:rPr>
      </w:pPr>
      <w:r w:rsidRPr="00083184">
        <w:rPr>
          <w:rFonts w:ascii="Arial" w:eastAsia="Arial" w:hAnsi="Arial" w:cs="Arial"/>
          <w:color w:val="000000" w:themeColor="text1"/>
          <w:sz w:val="24"/>
          <w:szCs w:val="24"/>
        </w:rPr>
        <w:t>Current Holdings: McDonald’s (NYSE: MCD)</w:t>
      </w:r>
    </w:p>
    <w:p w14:paraId="6DBA821E" w14:textId="77777777" w:rsidR="00D80E5B" w:rsidRPr="00083184" w:rsidRDefault="00D80E5B" w:rsidP="00E26B87">
      <w:pPr>
        <w:pStyle w:val="NoSpacing"/>
        <w:rPr>
          <w:rFonts w:ascii="Arial" w:hAnsi="Arial" w:cs="Arial"/>
          <w:color w:val="000000" w:themeColor="text1"/>
          <w:sz w:val="24"/>
          <w:szCs w:val="24"/>
        </w:rPr>
      </w:pPr>
    </w:p>
    <w:p w14:paraId="4B2280BB" w14:textId="101EFB8A" w:rsidR="00E26B87" w:rsidRPr="00083184" w:rsidRDefault="00E26B87" w:rsidP="008E7375">
      <w:pPr>
        <w:pStyle w:val="NormalWeb"/>
        <w:spacing w:before="0" w:beforeAutospacing="0" w:after="160" w:afterAutospacing="0"/>
        <w:jc w:val="both"/>
        <w:outlineLvl w:val="0"/>
        <w:rPr>
          <w:rFonts w:ascii="Arial" w:eastAsiaTheme="minorEastAsia" w:hAnsi="Arial" w:cs="Arial"/>
          <w:b/>
          <w:color w:val="000000" w:themeColor="text1"/>
        </w:rPr>
      </w:pPr>
      <w:r w:rsidRPr="00083184">
        <w:rPr>
          <w:rFonts w:ascii="Arial" w:eastAsiaTheme="minorEastAsia" w:hAnsi="Arial" w:cs="Arial"/>
          <w:b/>
          <w:color w:val="000000" w:themeColor="text1"/>
        </w:rPr>
        <w:t>Consumer Staples</w:t>
      </w:r>
    </w:p>
    <w:p w14:paraId="05B17295" w14:textId="21ED6834" w:rsidR="00E26B87" w:rsidRPr="00083184" w:rsidRDefault="00E26B87" w:rsidP="00E26B87">
      <w:pPr>
        <w:pStyle w:val="NormalWeb"/>
        <w:spacing w:before="0" w:beforeAutospacing="0" w:after="160" w:afterAutospacing="0"/>
        <w:jc w:val="both"/>
        <w:rPr>
          <w:rFonts w:ascii="Arial" w:eastAsiaTheme="minorEastAsia" w:hAnsi="Arial" w:cs="Arial"/>
          <w:color w:val="000000" w:themeColor="text1"/>
        </w:rPr>
      </w:pPr>
      <w:r w:rsidRPr="00083184">
        <w:rPr>
          <w:rFonts w:ascii="Arial" w:eastAsiaTheme="minorEastAsia" w:hAnsi="Arial" w:cs="Arial"/>
          <w:color w:val="000000" w:themeColor="text1"/>
        </w:rPr>
        <w:t>As of November 30, 2018, Consum</w:t>
      </w:r>
      <w:r w:rsidR="005B5906">
        <w:rPr>
          <w:rFonts w:ascii="Arial" w:eastAsiaTheme="minorEastAsia" w:hAnsi="Arial" w:cs="Arial"/>
          <w:color w:val="000000" w:themeColor="text1"/>
        </w:rPr>
        <w:t>er Staples accounted for 7.4% of</w:t>
      </w:r>
      <w:r w:rsidRPr="00083184">
        <w:rPr>
          <w:rFonts w:ascii="Arial" w:eastAsiaTheme="minorEastAsia" w:hAnsi="Arial" w:cs="Arial"/>
          <w:color w:val="000000" w:themeColor="text1"/>
        </w:rPr>
        <w:t xml:space="preserve"> the S&amp;P 5</w:t>
      </w:r>
      <w:r w:rsidR="00745C7C" w:rsidRPr="00083184">
        <w:rPr>
          <w:rFonts w:ascii="Arial" w:eastAsiaTheme="minorEastAsia" w:hAnsi="Arial" w:cs="Arial"/>
          <w:color w:val="000000" w:themeColor="text1"/>
        </w:rPr>
        <w:t>00 index. The Consumer Staples s</w:t>
      </w:r>
      <w:r w:rsidRPr="00083184">
        <w:rPr>
          <w:rFonts w:ascii="Arial" w:eastAsiaTheme="minorEastAsia" w:hAnsi="Arial" w:cs="Arial"/>
          <w:color w:val="000000" w:themeColor="text1"/>
        </w:rPr>
        <w:t>ector, also called the Consumer Defensive sector, comprises</w:t>
      </w:r>
      <w:r w:rsidR="00A10169" w:rsidRPr="00083184">
        <w:rPr>
          <w:rFonts w:ascii="Arial" w:eastAsiaTheme="minorEastAsia" w:hAnsi="Arial" w:cs="Arial"/>
          <w:color w:val="000000" w:themeColor="text1"/>
        </w:rPr>
        <w:t xml:space="preserve"> of</w:t>
      </w:r>
      <w:r w:rsidRPr="00083184">
        <w:rPr>
          <w:rFonts w:ascii="Arial" w:eastAsiaTheme="minorEastAsia" w:hAnsi="Arial" w:cs="Arial"/>
          <w:color w:val="000000" w:themeColor="text1"/>
        </w:rPr>
        <w:t xml:space="preserve"> companies whose businesses are les</w:t>
      </w:r>
      <w:r w:rsidR="005B5906">
        <w:rPr>
          <w:rFonts w:ascii="Arial" w:eastAsiaTheme="minorEastAsia" w:hAnsi="Arial" w:cs="Arial"/>
          <w:color w:val="000000" w:themeColor="text1"/>
        </w:rPr>
        <w:t xml:space="preserve">s sensitive to economic cycles. </w:t>
      </w:r>
      <w:r w:rsidRPr="00083184">
        <w:rPr>
          <w:rFonts w:ascii="Arial" w:eastAsiaTheme="minorEastAsia" w:hAnsi="Arial" w:cs="Arial"/>
          <w:color w:val="000000" w:themeColor="text1"/>
        </w:rPr>
        <w:t>It includes companies that manufacture, produce, and distribute food, beverage, and tobacco products, as well as non-durable household and personal item</w:t>
      </w:r>
      <w:r w:rsidR="00A10169" w:rsidRPr="00083184">
        <w:rPr>
          <w:rFonts w:ascii="Arial" w:eastAsiaTheme="minorEastAsia" w:hAnsi="Arial" w:cs="Arial"/>
          <w:color w:val="000000" w:themeColor="text1"/>
        </w:rPr>
        <w:t>s</w:t>
      </w:r>
      <w:r w:rsidR="00745C7C" w:rsidRPr="00083184">
        <w:rPr>
          <w:rFonts w:ascii="Arial" w:eastAsiaTheme="minorEastAsia" w:hAnsi="Arial" w:cs="Arial"/>
          <w:color w:val="000000" w:themeColor="text1"/>
        </w:rPr>
        <w:t>. Soft d</w:t>
      </w:r>
      <w:r w:rsidRPr="00083184">
        <w:rPr>
          <w:rFonts w:ascii="Arial" w:eastAsiaTheme="minorEastAsia" w:hAnsi="Arial" w:cs="Arial"/>
          <w:color w:val="000000" w:themeColor="text1"/>
        </w:rPr>
        <w:t xml:space="preserve">rinks </w:t>
      </w:r>
      <w:r w:rsidR="00745C7C" w:rsidRPr="00083184">
        <w:rPr>
          <w:rFonts w:ascii="Arial" w:eastAsiaTheme="minorEastAsia" w:hAnsi="Arial" w:cs="Arial"/>
          <w:color w:val="000000" w:themeColor="text1"/>
        </w:rPr>
        <w:t>are t</w:t>
      </w:r>
      <w:r w:rsidRPr="00083184">
        <w:rPr>
          <w:rFonts w:ascii="Arial" w:eastAsiaTheme="minorEastAsia" w:hAnsi="Arial" w:cs="Arial"/>
          <w:color w:val="000000" w:themeColor="text1"/>
        </w:rPr>
        <w:t>he largest</w:t>
      </w:r>
      <w:r w:rsidR="00745C7C" w:rsidRPr="00083184">
        <w:rPr>
          <w:rFonts w:ascii="Arial" w:eastAsiaTheme="minorEastAsia" w:hAnsi="Arial" w:cs="Arial"/>
          <w:color w:val="000000" w:themeColor="text1"/>
        </w:rPr>
        <w:t xml:space="preserve"> segment</w:t>
      </w:r>
      <w:r w:rsidRPr="00083184">
        <w:rPr>
          <w:rFonts w:ascii="Arial" w:eastAsiaTheme="minorEastAsia" w:hAnsi="Arial" w:cs="Arial"/>
          <w:color w:val="000000" w:themeColor="text1"/>
        </w:rPr>
        <w:t>, representing 22.8% of the sector'</w:t>
      </w:r>
      <w:r w:rsidR="00745C7C" w:rsidRPr="00083184">
        <w:rPr>
          <w:rFonts w:ascii="Arial" w:eastAsiaTheme="minorEastAsia" w:hAnsi="Arial" w:cs="Arial"/>
          <w:color w:val="000000" w:themeColor="text1"/>
        </w:rPr>
        <w:t>s market value, while brewers are</w:t>
      </w:r>
      <w:r w:rsidRPr="00083184">
        <w:rPr>
          <w:rFonts w:ascii="Arial" w:eastAsiaTheme="minorEastAsia" w:hAnsi="Arial" w:cs="Arial"/>
          <w:color w:val="000000" w:themeColor="text1"/>
        </w:rPr>
        <w:t xml:space="preserve"> the smallest</w:t>
      </w:r>
      <w:r w:rsidR="00745C7C" w:rsidRPr="00083184">
        <w:rPr>
          <w:rFonts w:ascii="Arial" w:eastAsiaTheme="minorEastAsia" w:hAnsi="Arial" w:cs="Arial"/>
          <w:color w:val="000000" w:themeColor="text1"/>
        </w:rPr>
        <w:t xml:space="preserve"> segment</w:t>
      </w:r>
      <w:r w:rsidRPr="00083184">
        <w:rPr>
          <w:rFonts w:ascii="Arial" w:eastAsiaTheme="minorEastAsia" w:hAnsi="Arial" w:cs="Arial"/>
          <w:color w:val="000000" w:themeColor="text1"/>
        </w:rPr>
        <w:t>, accounting for less than 1% of the sector.</w:t>
      </w:r>
    </w:p>
    <w:p w14:paraId="03858025" w14:textId="5A9740F4" w:rsidR="00E26B87" w:rsidRPr="00083184" w:rsidRDefault="00E26B87" w:rsidP="00E26B87">
      <w:pPr>
        <w:pStyle w:val="NormalWeb"/>
        <w:spacing w:before="0" w:beforeAutospacing="0" w:after="160" w:afterAutospacing="0"/>
        <w:jc w:val="both"/>
        <w:rPr>
          <w:rFonts w:ascii="Arial" w:eastAsiaTheme="minorEastAsia" w:hAnsi="Arial" w:cs="Arial"/>
          <w:color w:val="000000" w:themeColor="text1"/>
        </w:rPr>
      </w:pPr>
      <w:r w:rsidRPr="00083184">
        <w:rPr>
          <w:rFonts w:ascii="Arial" w:eastAsiaTheme="minorEastAsia" w:hAnsi="Arial" w:cs="Arial"/>
          <w:color w:val="000000" w:themeColor="text1"/>
        </w:rPr>
        <w:t>Year-to-date, the Consumer Staples sector has experien</w:t>
      </w:r>
      <w:r w:rsidR="005B5906">
        <w:rPr>
          <w:rFonts w:ascii="Arial" w:eastAsiaTheme="minorEastAsia" w:hAnsi="Arial" w:cs="Arial"/>
          <w:color w:val="000000" w:themeColor="text1"/>
        </w:rPr>
        <w:t>ced negative growth, (approximately -1</w:t>
      </w:r>
      <w:r w:rsidRPr="00083184">
        <w:rPr>
          <w:rFonts w:ascii="Arial" w:eastAsiaTheme="minorEastAsia" w:hAnsi="Arial" w:cs="Arial"/>
          <w:color w:val="000000" w:themeColor="text1"/>
        </w:rPr>
        <w:t>.87%</w:t>
      </w:r>
      <w:r w:rsidR="005B5906">
        <w:rPr>
          <w:rFonts w:ascii="Arial" w:eastAsiaTheme="minorEastAsia" w:hAnsi="Arial" w:cs="Arial"/>
          <w:color w:val="000000" w:themeColor="text1"/>
        </w:rPr>
        <w:t>)</w:t>
      </w:r>
      <w:r w:rsidRPr="00083184">
        <w:rPr>
          <w:rFonts w:ascii="Arial" w:eastAsiaTheme="minorEastAsia" w:hAnsi="Arial" w:cs="Arial"/>
          <w:color w:val="000000" w:themeColor="text1"/>
        </w:rPr>
        <w:t xml:space="preserve">, which is relatively lower than SP&amp;500 index </w:t>
      </w:r>
      <w:r w:rsidRPr="00083184">
        <w:rPr>
          <w:rFonts w:ascii="Arial" w:hAnsi="Arial" w:cs="Arial"/>
          <w:color w:val="000000" w:themeColor="text1"/>
          <w:lang w:eastAsia="en-IN"/>
        </w:rPr>
        <w:t xml:space="preserve">(As of November 30, 2018). </w:t>
      </w:r>
      <w:r w:rsidRPr="00083184">
        <w:rPr>
          <w:rFonts w:ascii="Arial" w:eastAsiaTheme="minorEastAsia" w:hAnsi="Arial" w:cs="Arial"/>
          <w:color w:val="000000" w:themeColor="text1"/>
        </w:rPr>
        <w:t xml:space="preserve">But in the recent 3 months, the sector has posted 4.5% return. The sector is projected to record an 8.9% </w:t>
      </w:r>
      <w:r w:rsidR="00FC0500" w:rsidRPr="00083184">
        <w:rPr>
          <w:rFonts w:ascii="Arial" w:eastAsiaTheme="minorEastAsia" w:hAnsi="Arial" w:cs="Arial"/>
          <w:color w:val="000000" w:themeColor="text1"/>
        </w:rPr>
        <w:t>year over year</w:t>
      </w:r>
      <w:r w:rsidRPr="00083184">
        <w:rPr>
          <w:rFonts w:ascii="Arial" w:eastAsiaTheme="minorEastAsia" w:hAnsi="Arial" w:cs="Arial"/>
          <w:color w:val="000000" w:themeColor="text1"/>
        </w:rPr>
        <w:t xml:space="preserve"> increase in operating earnings per share in 2018, as compared with the S&amp;P 500's estimated EPS gain of </w:t>
      </w:r>
      <w:r w:rsidRPr="00083184">
        <w:rPr>
          <w:rFonts w:ascii="Arial" w:hAnsi="Arial" w:cs="Arial"/>
          <w:color w:val="000000" w:themeColor="text1"/>
          <w:shd w:val="clear" w:color="auto" w:fill="FFFFFF"/>
        </w:rPr>
        <w:t>22.2</w:t>
      </w:r>
      <w:r w:rsidRPr="00083184">
        <w:rPr>
          <w:rFonts w:ascii="Arial" w:eastAsiaTheme="minorEastAsia" w:hAnsi="Arial" w:cs="Arial"/>
          <w:color w:val="000000" w:themeColor="text1"/>
        </w:rPr>
        <w:t>%. In addition, revenues for the sector are forecast</w:t>
      </w:r>
      <w:r w:rsidR="005B5906">
        <w:rPr>
          <w:rFonts w:ascii="Arial" w:eastAsiaTheme="minorEastAsia" w:hAnsi="Arial" w:cs="Arial"/>
          <w:color w:val="000000" w:themeColor="text1"/>
        </w:rPr>
        <w:t>ed</w:t>
      </w:r>
      <w:r w:rsidRPr="00083184">
        <w:rPr>
          <w:rFonts w:ascii="Arial" w:eastAsiaTheme="minorEastAsia" w:hAnsi="Arial" w:cs="Arial"/>
          <w:color w:val="000000" w:themeColor="text1"/>
        </w:rPr>
        <w:t xml:space="preserve"> to decline by 2.2% in 2018 versus the S&amp;P 500's projected rise of </w:t>
      </w:r>
      <w:r w:rsidRPr="00083184">
        <w:rPr>
          <w:rFonts w:ascii="Arial" w:hAnsi="Arial" w:cs="Arial"/>
          <w:color w:val="000000" w:themeColor="text1"/>
          <w:shd w:val="clear" w:color="auto" w:fill="FFFFFF"/>
        </w:rPr>
        <w:t>8.3%</w:t>
      </w:r>
      <w:r w:rsidRPr="00083184">
        <w:rPr>
          <w:rFonts w:ascii="Arial" w:eastAsiaTheme="minorEastAsia" w:hAnsi="Arial" w:cs="Arial"/>
          <w:color w:val="000000" w:themeColor="text1"/>
        </w:rPr>
        <w:t xml:space="preserve">. The sector's price-to-earnings ratio of 17.4x, based on the consensus </w:t>
      </w:r>
      <w:r w:rsidR="00B53417">
        <w:rPr>
          <w:rFonts w:ascii="Arial" w:eastAsiaTheme="minorEastAsia" w:hAnsi="Arial" w:cs="Arial"/>
          <w:color w:val="000000" w:themeColor="text1"/>
        </w:rPr>
        <w:t xml:space="preserve">of the </w:t>
      </w:r>
      <w:r w:rsidRPr="00083184">
        <w:rPr>
          <w:rFonts w:ascii="Arial" w:eastAsiaTheme="minorEastAsia" w:hAnsi="Arial" w:cs="Arial"/>
          <w:color w:val="000000" w:themeColor="text1"/>
        </w:rPr>
        <w:t>next twelve month operating EPS estimate, is above the S&amp;P 500's forward P/E of 16.3x. S&amp;P Capital IQ also reports that the consensus long-term EPS growth estimate for this sector is 9.3% versus the S&amp;P 500's 13%, giving the sector a P/E-to-projected EPS growth rate (PEG) ratio of 1.9x, which is above the broader market's PEG of 1.2x. Finally, this sector pays a dividend yield of 3.2%, as compared with the yield of 2.0% for the S&amp;P 500.</w:t>
      </w:r>
    </w:p>
    <w:p w14:paraId="797B6D5C" w14:textId="4944B7D9" w:rsidR="00E26B87" w:rsidRPr="00083184" w:rsidRDefault="00E26B87" w:rsidP="008E7375">
      <w:pPr>
        <w:pStyle w:val="NormalWeb"/>
        <w:spacing w:before="0" w:beforeAutospacing="0" w:after="160" w:afterAutospacing="0"/>
        <w:jc w:val="both"/>
        <w:outlineLvl w:val="0"/>
        <w:rPr>
          <w:rFonts w:ascii="Arial" w:eastAsiaTheme="minorEastAsia" w:hAnsi="Arial" w:cs="Arial"/>
          <w:i/>
          <w:color w:val="000000" w:themeColor="text1"/>
        </w:rPr>
      </w:pPr>
      <w:r w:rsidRPr="00083184">
        <w:rPr>
          <w:rFonts w:ascii="Arial" w:eastAsiaTheme="minorEastAsia" w:hAnsi="Arial" w:cs="Arial"/>
          <w:i/>
          <w:color w:val="000000" w:themeColor="text1"/>
        </w:rPr>
        <w:t>Outlook</w:t>
      </w:r>
    </w:p>
    <w:p w14:paraId="0F1F52F8" w14:textId="713837CB" w:rsidR="00E26B87" w:rsidRPr="00083184" w:rsidRDefault="00E26B87" w:rsidP="00E26B87">
      <w:pPr>
        <w:pStyle w:val="NormalWeb"/>
        <w:spacing w:before="0" w:beforeAutospacing="0" w:after="160" w:afterAutospacing="0"/>
        <w:jc w:val="both"/>
        <w:rPr>
          <w:rFonts w:ascii="Arial" w:eastAsiaTheme="minorEastAsia" w:hAnsi="Arial" w:cs="Arial"/>
          <w:color w:val="000000" w:themeColor="text1"/>
        </w:rPr>
      </w:pPr>
      <w:r w:rsidRPr="00083184">
        <w:rPr>
          <w:rFonts w:ascii="Arial" w:eastAsiaTheme="minorEastAsia" w:hAnsi="Arial" w:cs="Arial"/>
          <w:color w:val="000000" w:themeColor="text1"/>
        </w:rPr>
        <w:t>T</w:t>
      </w:r>
      <w:r w:rsidR="00B53417">
        <w:rPr>
          <w:rFonts w:ascii="Arial" w:eastAsiaTheme="minorEastAsia" w:hAnsi="Arial" w:cs="Arial"/>
          <w:color w:val="000000" w:themeColor="text1"/>
        </w:rPr>
        <w:t>he sector will benefit from positive</w:t>
      </w:r>
      <w:r w:rsidRPr="00083184">
        <w:rPr>
          <w:rFonts w:ascii="Arial" w:eastAsiaTheme="minorEastAsia" w:hAnsi="Arial" w:cs="Arial"/>
          <w:color w:val="000000" w:themeColor="text1"/>
        </w:rPr>
        <w:t xml:space="preserve"> economic growth, rising resident incomes, record low unemployme</w:t>
      </w:r>
      <w:r w:rsidR="00745C7C" w:rsidRPr="00083184">
        <w:rPr>
          <w:rFonts w:ascii="Arial" w:eastAsiaTheme="minorEastAsia" w:hAnsi="Arial" w:cs="Arial"/>
          <w:color w:val="000000" w:themeColor="text1"/>
        </w:rPr>
        <w:t xml:space="preserve">nt, and tax cuts in the future. </w:t>
      </w:r>
      <w:r w:rsidRPr="00083184">
        <w:rPr>
          <w:rFonts w:ascii="Arial" w:eastAsiaTheme="minorEastAsia" w:hAnsi="Arial" w:cs="Arial"/>
          <w:color w:val="000000" w:themeColor="text1"/>
        </w:rPr>
        <w:t>Digital marketing is a key factor for companies to increase performance. Expanding into global markets and aggressive cost cutting initiatives will help consumer staples companies drive growth and improve profitability. However, if trade conflicts continue to escalate, costs could rise for American producers and increase prices for consumers.</w:t>
      </w:r>
    </w:p>
    <w:p w14:paraId="0F326918" w14:textId="6C4DE821" w:rsidR="00E26B87" w:rsidRPr="00083184" w:rsidRDefault="00E26B87" w:rsidP="008E7375">
      <w:pPr>
        <w:spacing w:line="240" w:lineRule="auto"/>
        <w:outlineLvl w:val="0"/>
        <w:rPr>
          <w:rFonts w:ascii="Arial" w:eastAsia="Times New Roman" w:hAnsi="Arial" w:cs="Arial"/>
          <w:color w:val="000000" w:themeColor="text1"/>
          <w:sz w:val="24"/>
          <w:szCs w:val="24"/>
        </w:rPr>
      </w:pPr>
      <w:r w:rsidRPr="00083184">
        <w:rPr>
          <w:rFonts w:ascii="Arial" w:eastAsia="Times New Roman" w:hAnsi="Arial" w:cs="Arial"/>
          <w:b/>
          <w:bCs/>
          <w:color w:val="000000" w:themeColor="text1"/>
          <w:sz w:val="24"/>
          <w:szCs w:val="24"/>
        </w:rPr>
        <w:t>Energy</w:t>
      </w:r>
    </w:p>
    <w:p w14:paraId="1BF68221" w14:textId="7DB6E338" w:rsidR="00E26B87" w:rsidRPr="00083184" w:rsidRDefault="00E26B87" w:rsidP="00E26B87">
      <w:pPr>
        <w:spacing w:after="0" w:line="240" w:lineRule="auto"/>
        <w:jc w:val="both"/>
        <w:rPr>
          <w:rFonts w:ascii="Arial" w:eastAsia="Times New Roman" w:hAnsi="Arial" w:cs="Arial"/>
          <w:color w:val="000000" w:themeColor="text1"/>
          <w:sz w:val="24"/>
          <w:szCs w:val="24"/>
        </w:rPr>
      </w:pPr>
      <w:r w:rsidRPr="00083184">
        <w:rPr>
          <w:rFonts w:ascii="Arial" w:eastAsia="Times New Roman" w:hAnsi="Arial" w:cs="Arial"/>
          <w:color w:val="000000" w:themeColor="text1"/>
          <w:sz w:val="24"/>
          <w:szCs w:val="24"/>
        </w:rPr>
        <w:t xml:space="preserve">As of November 30, 2018, the energy sector accounted for 5.4% of the S&amp;P 500 index. The </w:t>
      </w:r>
      <w:r w:rsidRPr="00083184">
        <w:rPr>
          <w:rFonts w:ascii="Arial" w:eastAsia="Times New Roman" w:hAnsi="Arial" w:cs="Arial"/>
          <w:color w:val="000000" w:themeColor="text1"/>
          <w:sz w:val="24"/>
          <w:szCs w:val="24"/>
          <w:shd w:val="clear" w:color="auto" w:fill="FFFFFF"/>
        </w:rPr>
        <w:t>energy sector consists of two industries: “energy equipment and services” and “</w:t>
      </w:r>
      <w:r w:rsidR="00745C7C" w:rsidRPr="00083184">
        <w:rPr>
          <w:rFonts w:ascii="Arial" w:eastAsia="Times New Roman" w:hAnsi="Arial" w:cs="Arial"/>
          <w:color w:val="000000" w:themeColor="text1"/>
          <w:sz w:val="24"/>
          <w:szCs w:val="24"/>
          <w:shd w:val="clear" w:color="auto" w:fill="FFFFFF"/>
        </w:rPr>
        <w:t>oil, gas, and consumable fuels,” weighted 10.54</w:t>
      </w:r>
      <w:r w:rsidRPr="00083184">
        <w:rPr>
          <w:rFonts w:ascii="Arial" w:eastAsia="Times New Roman" w:hAnsi="Arial" w:cs="Arial"/>
          <w:color w:val="000000" w:themeColor="text1"/>
          <w:sz w:val="24"/>
          <w:szCs w:val="24"/>
          <w:shd w:val="clear" w:color="auto" w:fill="FFFFFF"/>
        </w:rPr>
        <w:t xml:space="preserve">% and 89.36% respectively. There are various sub-industries encompassed in each industry, including: drilling, equipment service, exploration production, refining marketing, and consumable fuels. According to S&amp;P consensus estimates, the sector is projected to record a 92.6% </w:t>
      </w:r>
      <w:r w:rsidR="00FC0500" w:rsidRPr="00083184">
        <w:rPr>
          <w:rFonts w:ascii="Arial" w:eastAsia="Times New Roman" w:hAnsi="Arial" w:cs="Arial"/>
          <w:color w:val="000000" w:themeColor="text1"/>
          <w:sz w:val="24"/>
          <w:szCs w:val="24"/>
          <w:shd w:val="clear" w:color="auto" w:fill="FFFFFF"/>
        </w:rPr>
        <w:t>year over year</w:t>
      </w:r>
      <w:r w:rsidRPr="00083184">
        <w:rPr>
          <w:rFonts w:ascii="Arial" w:eastAsia="Times New Roman" w:hAnsi="Arial" w:cs="Arial"/>
          <w:color w:val="000000" w:themeColor="text1"/>
          <w:sz w:val="24"/>
          <w:szCs w:val="24"/>
          <w:shd w:val="clear" w:color="auto" w:fill="FFFFFF"/>
        </w:rPr>
        <w:t xml:space="preserve"> increase in operating earnings-per-share in 2018, compared to the S&amp;P 500's estimated EPS gain of 22.2%. Additionally, revenues for the sector are forecast</w:t>
      </w:r>
      <w:r w:rsidR="00B53417">
        <w:rPr>
          <w:rFonts w:ascii="Arial" w:eastAsia="Times New Roman" w:hAnsi="Arial" w:cs="Arial"/>
          <w:color w:val="000000" w:themeColor="text1"/>
          <w:sz w:val="24"/>
          <w:szCs w:val="24"/>
          <w:shd w:val="clear" w:color="auto" w:fill="FFFFFF"/>
        </w:rPr>
        <w:t>ed</w:t>
      </w:r>
      <w:r w:rsidRPr="00083184">
        <w:rPr>
          <w:rFonts w:ascii="Arial" w:eastAsia="Times New Roman" w:hAnsi="Arial" w:cs="Arial"/>
          <w:color w:val="000000" w:themeColor="text1"/>
          <w:sz w:val="24"/>
          <w:szCs w:val="24"/>
          <w:shd w:val="clear" w:color="auto" w:fill="FFFFFF"/>
        </w:rPr>
        <w:t xml:space="preserve"> to increase by 14.5% in 2018 versus the S&amp;P 500's projected rise of 8.3%. The sector's price-to-earnings ratio of 19.5x, based on consensus next 12-month operating EPS estimates, is above the S&amp;P 500's forward P/E of 16.3x. The consensus long-term EPS growth estimate for this sector is 19.7% versus the S&amp;P 500's 13.0%, giving the sector a P/E-to-projected EPS growth rate (PEG) ratio of 1.0x, which is below the broader market's PEG of 1.2x. Finally, this sector pays a dividend yield of 2.8%, as compared with the yield of 2.0% for the S&amp;P 500.</w:t>
      </w:r>
    </w:p>
    <w:p w14:paraId="5AEAFF9B" w14:textId="77777777" w:rsidR="00E26B87" w:rsidRPr="00083184" w:rsidRDefault="00E26B87" w:rsidP="00E26B87">
      <w:pPr>
        <w:spacing w:after="0" w:line="240" w:lineRule="auto"/>
        <w:rPr>
          <w:rFonts w:ascii="Arial" w:eastAsia="Times New Roman" w:hAnsi="Arial" w:cs="Arial"/>
          <w:color w:val="000000" w:themeColor="text1"/>
          <w:sz w:val="24"/>
          <w:szCs w:val="24"/>
        </w:rPr>
      </w:pPr>
    </w:p>
    <w:p w14:paraId="045CD26D" w14:textId="77777777" w:rsidR="00E26B87" w:rsidRPr="00083184" w:rsidRDefault="00E26B87" w:rsidP="008E7375">
      <w:pPr>
        <w:spacing w:after="120" w:line="240" w:lineRule="auto"/>
        <w:outlineLvl w:val="0"/>
        <w:rPr>
          <w:rFonts w:ascii="Arial" w:eastAsia="Times New Roman" w:hAnsi="Arial" w:cs="Arial"/>
          <w:color w:val="000000" w:themeColor="text1"/>
          <w:sz w:val="24"/>
          <w:szCs w:val="24"/>
        </w:rPr>
      </w:pPr>
      <w:r w:rsidRPr="00083184">
        <w:rPr>
          <w:rFonts w:ascii="Arial" w:eastAsia="Times New Roman" w:hAnsi="Arial" w:cs="Arial"/>
          <w:i/>
          <w:iCs/>
          <w:color w:val="000000" w:themeColor="text1"/>
          <w:sz w:val="24"/>
          <w:szCs w:val="24"/>
          <w:shd w:val="clear" w:color="auto" w:fill="FFFFFF"/>
        </w:rPr>
        <w:t>Outlook</w:t>
      </w:r>
    </w:p>
    <w:p w14:paraId="78014F66" w14:textId="3F27A8F5" w:rsidR="00E26B87" w:rsidRPr="00083184" w:rsidRDefault="00E26B87" w:rsidP="00E26B87">
      <w:pPr>
        <w:spacing w:after="0" w:line="240" w:lineRule="auto"/>
        <w:jc w:val="both"/>
        <w:rPr>
          <w:rFonts w:ascii="Arial" w:eastAsia="Times New Roman" w:hAnsi="Arial" w:cs="Arial"/>
          <w:color w:val="000000" w:themeColor="text1"/>
          <w:sz w:val="24"/>
          <w:szCs w:val="24"/>
        </w:rPr>
      </w:pPr>
      <w:r w:rsidRPr="00083184">
        <w:rPr>
          <w:rFonts w:ascii="Arial" w:eastAsia="Times New Roman" w:hAnsi="Arial" w:cs="Arial"/>
          <w:color w:val="000000" w:themeColor="text1"/>
          <w:sz w:val="24"/>
          <w:szCs w:val="24"/>
          <w:shd w:val="clear" w:color="auto" w:fill="FFFFFF"/>
        </w:rPr>
        <w:t>The energy sector is sensitive to the business cycle, and energy equities have largely tracked o</w:t>
      </w:r>
      <w:r w:rsidR="00745C7C" w:rsidRPr="00083184">
        <w:rPr>
          <w:rFonts w:ascii="Arial" w:eastAsia="Times New Roman" w:hAnsi="Arial" w:cs="Arial"/>
          <w:color w:val="000000" w:themeColor="text1"/>
          <w:sz w:val="24"/>
          <w:szCs w:val="24"/>
          <w:shd w:val="clear" w:color="auto" w:fill="FFFFFF"/>
        </w:rPr>
        <w:t>il and natural gas prices</w:t>
      </w:r>
      <w:r w:rsidRPr="00083184">
        <w:rPr>
          <w:rFonts w:ascii="Arial" w:eastAsia="Times New Roman" w:hAnsi="Arial" w:cs="Arial"/>
          <w:color w:val="000000" w:themeColor="text1"/>
          <w:sz w:val="24"/>
          <w:szCs w:val="24"/>
          <w:shd w:val="clear" w:color="auto" w:fill="FFFFFF"/>
        </w:rPr>
        <w:t xml:space="preserve"> in 2018. One major factor contributing to the decrease in oil prices is that supply exceeds demand. The risk is increasing in this industry, due to vario</w:t>
      </w:r>
      <w:r w:rsidR="00B53417">
        <w:rPr>
          <w:rFonts w:ascii="Arial" w:eastAsia="Times New Roman" w:hAnsi="Arial" w:cs="Arial"/>
          <w:color w:val="000000" w:themeColor="text1"/>
          <w:sz w:val="24"/>
          <w:szCs w:val="24"/>
          <w:shd w:val="clear" w:color="auto" w:fill="FFFFFF"/>
        </w:rPr>
        <w:t>us new restrictions that make drilling and shipping</w:t>
      </w:r>
      <w:r w:rsidRPr="00083184">
        <w:rPr>
          <w:rFonts w:ascii="Arial" w:eastAsia="Times New Roman" w:hAnsi="Arial" w:cs="Arial"/>
          <w:color w:val="000000" w:themeColor="text1"/>
          <w:sz w:val="24"/>
          <w:szCs w:val="24"/>
          <w:shd w:val="clear" w:color="auto" w:fill="FFFFFF"/>
        </w:rPr>
        <w:t xml:space="preserve"> oil very expensive, eventually leading to lower profits in the long-run. Furthermore, energy market projections are subject to significant uncertainty, such as future development in technologies, demographics, and politics that cannot be foreseen with certainty. Continued depreciation of emerging market countries’ currencies will make the cost of crude oil imports more expensive.</w:t>
      </w:r>
    </w:p>
    <w:p w14:paraId="5D561AE0" w14:textId="77777777" w:rsidR="00745C7C" w:rsidRPr="00083184" w:rsidRDefault="00745C7C" w:rsidP="008E7375">
      <w:pPr>
        <w:outlineLvl w:val="0"/>
        <w:rPr>
          <w:rFonts w:ascii="Arial" w:hAnsi="Arial" w:cs="Arial"/>
          <w:color w:val="000000" w:themeColor="text1"/>
          <w:sz w:val="24"/>
          <w:szCs w:val="24"/>
        </w:rPr>
      </w:pPr>
    </w:p>
    <w:p w14:paraId="7F32F704" w14:textId="3B483CED" w:rsidR="00E26B87" w:rsidRPr="00083184" w:rsidRDefault="00E26B87" w:rsidP="008E7375">
      <w:pPr>
        <w:outlineLvl w:val="0"/>
        <w:rPr>
          <w:rFonts w:ascii="Arial" w:eastAsia="SimSun" w:hAnsi="Arial" w:cs="Arial"/>
          <w:color w:val="000000" w:themeColor="text1"/>
          <w:sz w:val="24"/>
          <w:szCs w:val="24"/>
        </w:rPr>
      </w:pPr>
      <w:r w:rsidRPr="00083184">
        <w:rPr>
          <w:rFonts w:ascii="Arial" w:eastAsia="SimSun" w:hAnsi="Arial" w:cs="Arial"/>
          <w:b/>
          <w:bCs/>
          <w:color w:val="000000" w:themeColor="text1"/>
          <w:sz w:val="24"/>
          <w:szCs w:val="24"/>
        </w:rPr>
        <w:t>Financials</w:t>
      </w:r>
    </w:p>
    <w:p w14:paraId="613B5374" w14:textId="32E92D8E" w:rsidR="00E26B87" w:rsidRPr="00083184" w:rsidRDefault="00E26B87" w:rsidP="00E26B87">
      <w:pPr>
        <w:jc w:val="both"/>
        <w:rPr>
          <w:rFonts w:ascii="Arial" w:eastAsia="SimSun" w:hAnsi="Arial" w:cs="Arial"/>
          <w:color w:val="000000" w:themeColor="text1"/>
          <w:sz w:val="24"/>
          <w:szCs w:val="24"/>
        </w:rPr>
      </w:pPr>
      <w:r w:rsidRPr="00083184">
        <w:rPr>
          <w:rFonts w:ascii="Arial" w:eastAsia="SimSun" w:hAnsi="Arial" w:cs="Arial"/>
          <w:color w:val="000000" w:themeColor="text1"/>
          <w:sz w:val="24"/>
          <w:szCs w:val="24"/>
        </w:rPr>
        <w:t xml:space="preserve">As of November 30, 2018, Financials accounted for 13.7% of the S&amp;P 500 index. There are 12 sub-industries in this sector, with diversified banks being the largest, representing 35.5% of the sector's market value, and reinsurance being the smallest, accounting for less than 1% of the sector. The Financials sector is projected to record a 32.0% </w:t>
      </w:r>
      <w:r w:rsidR="00FC0500" w:rsidRPr="00083184">
        <w:rPr>
          <w:rFonts w:ascii="Arial" w:eastAsia="SimSun" w:hAnsi="Arial" w:cs="Arial"/>
          <w:color w:val="000000" w:themeColor="text1"/>
          <w:sz w:val="24"/>
          <w:szCs w:val="24"/>
        </w:rPr>
        <w:t>year over year</w:t>
      </w:r>
      <w:r w:rsidRPr="00083184">
        <w:rPr>
          <w:rFonts w:ascii="Arial" w:eastAsia="SimSun" w:hAnsi="Arial" w:cs="Arial"/>
          <w:color w:val="000000" w:themeColor="text1"/>
          <w:sz w:val="24"/>
          <w:szCs w:val="24"/>
        </w:rPr>
        <w:t xml:space="preserve"> increase in operating earnings-per-share in 2018, compared to the S&amp;P 500's estimated EPS gain of 22.2%. The sector's price-to-earnings ratio of 12.8x based on S&amp;P Capital IQ consensus next 12-month operating EPS estimates, is well below the S&amp;P 500's forward P/E of 16.3x. The consensus long-term EPS growth estimate for this sector is 10.7% versus the S&amp;P 500's 13.0%, giving the sector a P/E-to-projected EPS growth rate (PEG) ratio of 1.2x, which is equal to the broader market's PEG of 1.2x. This sector pays a dividend yield of 2.0% which is same for the S&amp;P 500.</w:t>
      </w:r>
    </w:p>
    <w:p w14:paraId="3BFD84D9" w14:textId="77777777" w:rsidR="00E26B87" w:rsidRPr="00083184" w:rsidRDefault="00E26B87" w:rsidP="00E26B87">
      <w:pPr>
        <w:spacing w:after="120"/>
        <w:rPr>
          <w:rFonts w:ascii="Arial" w:eastAsia="SimSun" w:hAnsi="Arial" w:cs="Arial"/>
          <w:color w:val="000000" w:themeColor="text1"/>
          <w:sz w:val="24"/>
          <w:szCs w:val="24"/>
        </w:rPr>
      </w:pPr>
    </w:p>
    <w:p w14:paraId="07DE4E67" w14:textId="77777777" w:rsidR="00E26B87" w:rsidRPr="00083184" w:rsidRDefault="00E26B87" w:rsidP="008E7375">
      <w:pPr>
        <w:spacing w:after="120"/>
        <w:outlineLvl w:val="0"/>
        <w:rPr>
          <w:rFonts w:ascii="Arial" w:eastAsia="SimSun" w:hAnsi="Arial" w:cs="Arial"/>
          <w:color w:val="000000" w:themeColor="text1"/>
          <w:sz w:val="24"/>
          <w:szCs w:val="24"/>
        </w:rPr>
      </w:pPr>
      <w:r w:rsidRPr="00083184">
        <w:rPr>
          <w:rFonts w:ascii="Arial" w:eastAsia="SimSun" w:hAnsi="Arial" w:cs="Arial"/>
          <w:i/>
          <w:iCs/>
          <w:color w:val="000000" w:themeColor="text1"/>
          <w:sz w:val="24"/>
          <w:szCs w:val="24"/>
        </w:rPr>
        <w:t>Outlook</w:t>
      </w:r>
    </w:p>
    <w:p w14:paraId="76728986" w14:textId="191CCD7A" w:rsidR="00E26B87" w:rsidRPr="00083184" w:rsidRDefault="00E26B87" w:rsidP="00E26B87">
      <w:pPr>
        <w:jc w:val="both"/>
        <w:rPr>
          <w:rFonts w:ascii="Arial" w:eastAsia="SimSun" w:hAnsi="Arial" w:cs="Arial"/>
          <w:color w:val="000000" w:themeColor="text1"/>
          <w:sz w:val="24"/>
          <w:szCs w:val="24"/>
        </w:rPr>
      </w:pPr>
      <w:r w:rsidRPr="00083184">
        <w:rPr>
          <w:rFonts w:ascii="Arial" w:eastAsia="SimSun" w:hAnsi="Arial" w:cs="Arial"/>
          <w:color w:val="000000" w:themeColor="text1"/>
          <w:sz w:val="24"/>
          <w:szCs w:val="24"/>
        </w:rPr>
        <w:t>The U.S. banking industry is currently well capitalized, profitable, and returning large amounts of capital to shareholders. Credit quality remains at or near decade highs for many banks. We have a positive view on banks as we expect solid fundamental performance to continue for at least the next twelve months. Across the banking industry, loan growth is positive but slowing and we expect stronger growth in 2019 on further economic growth and loosened regulation. The Federal Reserve</w:t>
      </w:r>
      <w:r w:rsidR="00A10169" w:rsidRPr="00083184">
        <w:rPr>
          <w:rFonts w:ascii="Arial" w:eastAsia="SimSun" w:hAnsi="Arial" w:cs="Arial"/>
          <w:color w:val="000000" w:themeColor="text1"/>
          <w:sz w:val="24"/>
          <w:szCs w:val="24"/>
        </w:rPr>
        <w:t xml:space="preserve">’s </w:t>
      </w:r>
      <w:r w:rsidRPr="00083184">
        <w:rPr>
          <w:rFonts w:ascii="Arial" w:eastAsia="SimSun" w:hAnsi="Arial" w:cs="Arial"/>
          <w:color w:val="000000" w:themeColor="text1"/>
          <w:sz w:val="24"/>
          <w:szCs w:val="24"/>
        </w:rPr>
        <w:t>annual Stress Tests, Comprehensive Capital Analysis, and Review (CCAR) project that U.S. banks would be able to withstand a severely adverse economic scenario and would maintain adequate capital ratios above regulatory minimums. Regulatory relief has raised the threshold for banks requiring annual Dodd-Frank Act Stress Tests to $250 billion.</w:t>
      </w:r>
    </w:p>
    <w:p w14:paraId="25E15D67" w14:textId="3928FBFA" w:rsidR="00E26B87" w:rsidRPr="00083184" w:rsidRDefault="00E26B87" w:rsidP="008E7375">
      <w:pPr>
        <w:outlineLvl w:val="0"/>
        <w:rPr>
          <w:rFonts w:ascii="Arial" w:hAnsi="Arial" w:cs="Arial"/>
          <w:color w:val="000000" w:themeColor="text1"/>
          <w:sz w:val="24"/>
          <w:szCs w:val="24"/>
        </w:rPr>
      </w:pPr>
      <w:r w:rsidRPr="00083184">
        <w:rPr>
          <w:rFonts w:ascii="Arial" w:hAnsi="Arial" w:cs="Arial"/>
          <w:b/>
          <w:bCs/>
          <w:color w:val="000000" w:themeColor="text1"/>
          <w:sz w:val="24"/>
          <w:szCs w:val="24"/>
        </w:rPr>
        <w:t>Healthcare</w:t>
      </w:r>
    </w:p>
    <w:p w14:paraId="51C90D16" w14:textId="608C167D" w:rsidR="00E26B87" w:rsidRPr="00083184" w:rsidRDefault="00B53417" w:rsidP="00E26B87">
      <w:pPr>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As of November 30, 2018, the H</w:t>
      </w:r>
      <w:r w:rsidR="00E26B87" w:rsidRPr="00083184">
        <w:rPr>
          <w:rFonts w:ascii="Arial" w:eastAsia="Times New Roman" w:hAnsi="Arial" w:cs="Arial"/>
          <w:color w:val="000000" w:themeColor="text1"/>
          <w:sz w:val="24"/>
          <w:szCs w:val="24"/>
        </w:rPr>
        <w:t>ealthcare sector accounted for 15.8% of the S&amp;P 500 index. The Healthcare sector contains six industries including: Healthcare Equipment and Supplies, Health Care Providers and Supplies, Health</w:t>
      </w:r>
      <w:r w:rsidR="003007AD" w:rsidRPr="00083184">
        <w:rPr>
          <w:rFonts w:ascii="Arial" w:eastAsia="Times New Roman" w:hAnsi="Arial" w:cs="Arial"/>
          <w:color w:val="000000" w:themeColor="text1"/>
          <w:sz w:val="24"/>
          <w:szCs w:val="24"/>
        </w:rPr>
        <w:t xml:space="preserve">care Technology, Biotechnology, </w:t>
      </w:r>
      <w:r w:rsidR="00E26B87" w:rsidRPr="00083184">
        <w:rPr>
          <w:rFonts w:ascii="Arial" w:eastAsia="Times New Roman" w:hAnsi="Arial" w:cs="Arial"/>
          <w:color w:val="000000" w:themeColor="text1"/>
          <w:sz w:val="24"/>
          <w:szCs w:val="24"/>
        </w:rPr>
        <w:t xml:space="preserve">Pharmaceuticals, and Life </w:t>
      </w:r>
      <w:r w:rsidR="003007AD" w:rsidRPr="00083184">
        <w:rPr>
          <w:rFonts w:ascii="Arial" w:eastAsia="Times New Roman" w:hAnsi="Arial" w:cs="Arial"/>
          <w:color w:val="000000" w:themeColor="text1"/>
          <w:sz w:val="24"/>
          <w:szCs w:val="24"/>
        </w:rPr>
        <w:t xml:space="preserve">Sciences, Tools, and Services. </w:t>
      </w:r>
      <w:r w:rsidR="00E26B87" w:rsidRPr="00083184">
        <w:rPr>
          <w:rFonts w:ascii="Arial" w:eastAsia="Times New Roman" w:hAnsi="Arial" w:cs="Arial"/>
          <w:color w:val="000000" w:themeColor="text1"/>
          <w:sz w:val="24"/>
          <w:szCs w:val="24"/>
        </w:rPr>
        <w:t xml:space="preserve">Pharmaceuticals is the largest industry, representing 33.47% of the total sector, while Health Care Technology is the smallest representing 0.53% of the sector. The Healthcare sector is projected to record a 30.2% </w:t>
      </w:r>
      <w:r w:rsidR="00FC0500" w:rsidRPr="00083184">
        <w:rPr>
          <w:rFonts w:ascii="Arial" w:eastAsia="Times New Roman" w:hAnsi="Arial" w:cs="Arial"/>
          <w:color w:val="000000" w:themeColor="text1"/>
          <w:sz w:val="24"/>
          <w:szCs w:val="24"/>
        </w:rPr>
        <w:t>year over year</w:t>
      </w:r>
      <w:r w:rsidR="00E26B87" w:rsidRPr="00083184">
        <w:rPr>
          <w:rFonts w:ascii="Arial" w:eastAsia="Times New Roman" w:hAnsi="Arial" w:cs="Arial"/>
          <w:color w:val="000000" w:themeColor="text1"/>
          <w:sz w:val="24"/>
          <w:szCs w:val="24"/>
        </w:rPr>
        <w:t xml:space="preserve"> increase in operating earnings per share in 2018, compared to the S&amp;P 500's estimated EPS gain of 22.2%. Additionally, revenues for the sector are expected to increase by 5.3% in 2018 ver</w:t>
      </w:r>
      <w:r>
        <w:rPr>
          <w:rFonts w:ascii="Arial" w:eastAsia="Times New Roman" w:hAnsi="Arial" w:cs="Arial"/>
          <w:color w:val="000000" w:themeColor="text1"/>
          <w:sz w:val="24"/>
          <w:szCs w:val="24"/>
        </w:rPr>
        <w:t>sus the S&amp;P 500's projected increase</w:t>
      </w:r>
      <w:r w:rsidR="00E26B87" w:rsidRPr="00083184">
        <w:rPr>
          <w:rFonts w:ascii="Arial" w:eastAsia="Times New Roman" w:hAnsi="Arial" w:cs="Arial"/>
          <w:color w:val="000000" w:themeColor="text1"/>
          <w:sz w:val="24"/>
          <w:szCs w:val="24"/>
        </w:rPr>
        <w:t xml:space="preserve"> of 8.3%. The sector's price-to</w:t>
      </w:r>
      <w:r w:rsidR="003007AD" w:rsidRPr="00083184">
        <w:rPr>
          <w:rFonts w:ascii="Arial" w:eastAsia="Times New Roman" w:hAnsi="Arial" w:cs="Arial"/>
          <w:color w:val="000000" w:themeColor="text1"/>
          <w:sz w:val="24"/>
          <w:szCs w:val="24"/>
        </w:rPr>
        <w:t xml:space="preserve">-earnings ratio of 12.8X, based </w:t>
      </w:r>
      <w:r w:rsidR="00E26B87" w:rsidRPr="00083184">
        <w:rPr>
          <w:rFonts w:ascii="Arial" w:eastAsia="Times New Roman" w:hAnsi="Arial" w:cs="Arial"/>
          <w:color w:val="000000" w:themeColor="text1"/>
          <w:sz w:val="24"/>
          <w:szCs w:val="24"/>
        </w:rPr>
        <w:t>on</w:t>
      </w:r>
      <w:r w:rsidR="003007AD" w:rsidRPr="00083184">
        <w:rPr>
          <w:rFonts w:ascii="Arial" w:eastAsia="Times New Roman" w:hAnsi="Arial" w:cs="Arial"/>
          <w:color w:val="000000" w:themeColor="text1"/>
          <w:sz w:val="24"/>
          <w:szCs w:val="24"/>
        </w:rPr>
        <w:t xml:space="preserve"> the</w:t>
      </w:r>
      <w:r w:rsidR="00E26B87" w:rsidRPr="00083184">
        <w:rPr>
          <w:rFonts w:ascii="Arial" w:eastAsia="Times New Roman" w:hAnsi="Arial" w:cs="Arial"/>
          <w:color w:val="000000" w:themeColor="text1"/>
          <w:sz w:val="24"/>
          <w:szCs w:val="24"/>
        </w:rPr>
        <w:t xml:space="preserve"> consensus</w:t>
      </w:r>
      <w:r w:rsidR="003007AD" w:rsidRPr="00083184">
        <w:rPr>
          <w:rFonts w:ascii="Arial" w:eastAsia="Times New Roman" w:hAnsi="Arial" w:cs="Arial"/>
          <w:color w:val="000000" w:themeColor="text1"/>
          <w:sz w:val="24"/>
          <w:szCs w:val="24"/>
        </w:rPr>
        <w:t xml:space="preserve"> of the</w:t>
      </w:r>
      <w:r w:rsidR="00E26B87" w:rsidRPr="00083184">
        <w:rPr>
          <w:rFonts w:ascii="Arial" w:eastAsia="Times New Roman" w:hAnsi="Arial" w:cs="Arial"/>
          <w:color w:val="000000" w:themeColor="text1"/>
          <w:sz w:val="24"/>
          <w:szCs w:val="24"/>
        </w:rPr>
        <w:t xml:space="preserve"> next twelve-month operating EPS estimates, is well below the S&amp;P 500's forward P/E of 16.3X. The consensus long-term EPS growth estimate for this sector is</w:t>
      </w:r>
      <w:r w:rsidR="003007AD" w:rsidRPr="00083184">
        <w:rPr>
          <w:rFonts w:ascii="Arial" w:eastAsia="Times New Roman" w:hAnsi="Arial" w:cs="Arial"/>
          <w:color w:val="000000" w:themeColor="text1"/>
          <w:sz w:val="24"/>
          <w:szCs w:val="24"/>
        </w:rPr>
        <w:t xml:space="preserve"> 12.1% versus the S&amp;P 500's 13</w:t>
      </w:r>
      <w:r w:rsidR="00E26B87" w:rsidRPr="00083184">
        <w:rPr>
          <w:rFonts w:ascii="Arial" w:eastAsia="Times New Roman" w:hAnsi="Arial" w:cs="Arial"/>
          <w:color w:val="000000" w:themeColor="text1"/>
          <w:sz w:val="24"/>
          <w:szCs w:val="24"/>
        </w:rPr>
        <w:t>%, giving the sector a P/E-to-projected EPS growth rate (PEG) ratio of 1.1X, which is equal to the broader market's PEG of 1.2X. Finally, this sector pays a dividend yield of 1.8%, comp</w:t>
      </w:r>
      <w:r w:rsidR="003007AD" w:rsidRPr="00083184">
        <w:rPr>
          <w:rFonts w:ascii="Arial" w:eastAsia="Times New Roman" w:hAnsi="Arial" w:cs="Arial"/>
          <w:color w:val="000000" w:themeColor="text1"/>
          <w:sz w:val="24"/>
          <w:szCs w:val="24"/>
        </w:rPr>
        <w:t>ared to the S&amp;P 500 yield of 2</w:t>
      </w:r>
      <w:r w:rsidR="00E26B87" w:rsidRPr="00083184">
        <w:rPr>
          <w:rFonts w:ascii="Arial" w:eastAsia="Times New Roman" w:hAnsi="Arial" w:cs="Arial"/>
          <w:color w:val="000000" w:themeColor="text1"/>
          <w:sz w:val="24"/>
          <w:szCs w:val="24"/>
        </w:rPr>
        <w:t>%.</w:t>
      </w:r>
    </w:p>
    <w:p w14:paraId="2907E893" w14:textId="77777777" w:rsidR="00E26B87" w:rsidRPr="00083184" w:rsidRDefault="00E26B87" w:rsidP="00E26B87">
      <w:pPr>
        <w:spacing w:after="0" w:line="240" w:lineRule="auto"/>
        <w:rPr>
          <w:rFonts w:ascii="Arial" w:eastAsia="Times New Roman" w:hAnsi="Arial" w:cs="Arial"/>
          <w:color w:val="000000" w:themeColor="text1"/>
          <w:sz w:val="24"/>
          <w:szCs w:val="24"/>
        </w:rPr>
      </w:pPr>
    </w:p>
    <w:p w14:paraId="2F72123D" w14:textId="77777777" w:rsidR="00E26B87" w:rsidRPr="00083184" w:rsidRDefault="00E26B87" w:rsidP="008E7375">
      <w:pPr>
        <w:spacing w:after="120" w:line="240" w:lineRule="auto"/>
        <w:outlineLvl w:val="0"/>
        <w:rPr>
          <w:rFonts w:ascii="Arial" w:eastAsia="Times New Roman" w:hAnsi="Arial" w:cs="Arial"/>
          <w:color w:val="000000" w:themeColor="text1"/>
          <w:sz w:val="24"/>
          <w:szCs w:val="24"/>
        </w:rPr>
      </w:pPr>
      <w:r w:rsidRPr="00083184">
        <w:rPr>
          <w:rFonts w:ascii="Arial" w:eastAsia="Times New Roman" w:hAnsi="Arial" w:cs="Arial"/>
          <w:i/>
          <w:iCs/>
          <w:color w:val="000000" w:themeColor="text1"/>
          <w:sz w:val="24"/>
          <w:szCs w:val="24"/>
        </w:rPr>
        <w:t>Outlook</w:t>
      </w:r>
    </w:p>
    <w:p w14:paraId="463288E6" w14:textId="3A93080D" w:rsidR="00E26B87" w:rsidRPr="00083184" w:rsidRDefault="00E26B87" w:rsidP="00E26B87">
      <w:pPr>
        <w:spacing w:after="0" w:line="240" w:lineRule="auto"/>
        <w:jc w:val="both"/>
        <w:rPr>
          <w:rFonts w:ascii="Arial" w:eastAsia="Times New Roman" w:hAnsi="Arial" w:cs="Arial"/>
          <w:color w:val="000000" w:themeColor="text1"/>
          <w:sz w:val="24"/>
          <w:szCs w:val="24"/>
        </w:rPr>
      </w:pPr>
      <w:r w:rsidRPr="00083184">
        <w:rPr>
          <w:rFonts w:ascii="Arial" w:eastAsia="Times New Roman" w:hAnsi="Arial" w:cs="Arial"/>
          <w:color w:val="000000" w:themeColor="text1"/>
          <w:sz w:val="24"/>
          <w:szCs w:val="24"/>
        </w:rPr>
        <w:t>We believe that demographics and innovations are the two main drivers for future growth for the Healthcare sector. There is an increasing prop</w:t>
      </w:r>
      <w:r w:rsidR="003007AD" w:rsidRPr="00083184">
        <w:rPr>
          <w:rFonts w:ascii="Arial" w:eastAsia="Times New Roman" w:hAnsi="Arial" w:cs="Arial"/>
          <w:color w:val="000000" w:themeColor="text1"/>
          <w:sz w:val="24"/>
          <w:szCs w:val="24"/>
        </w:rPr>
        <w:t xml:space="preserve">ortion of the US population aged 65 </w:t>
      </w:r>
      <w:r w:rsidRPr="00083184">
        <w:rPr>
          <w:rFonts w:ascii="Arial" w:eastAsia="Times New Roman" w:hAnsi="Arial" w:cs="Arial"/>
          <w:color w:val="000000" w:themeColor="text1"/>
          <w:sz w:val="24"/>
          <w:szCs w:val="24"/>
        </w:rPr>
        <w:t xml:space="preserve">and </w:t>
      </w:r>
      <w:r w:rsidR="003007AD" w:rsidRPr="00083184">
        <w:rPr>
          <w:rFonts w:ascii="Arial" w:eastAsia="Times New Roman" w:hAnsi="Arial" w:cs="Arial"/>
          <w:color w:val="000000" w:themeColor="text1"/>
          <w:sz w:val="24"/>
          <w:szCs w:val="24"/>
        </w:rPr>
        <w:t>older and h</w:t>
      </w:r>
      <w:r w:rsidRPr="00083184">
        <w:rPr>
          <w:rFonts w:ascii="Arial" w:eastAsia="Times New Roman" w:hAnsi="Arial" w:cs="Arial"/>
          <w:color w:val="000000" w:themeColor="text1"/>
          <w:sz w:val="24"/>
          <w:szCs w:val="24"/>
        </w:rPr>
        <w:t>ealthcare spending continues to rise. The balance sheets of the companies in the Healthcare sector remain strong with large cash assets, increasing the possibility of higher dividend payments, share-enhancing stock buybacks, and mergers and acquisitions. According to U.S. Ce</w:t>
      </w:r>
      <w:r w:rsidR="003007AD" w:rsidRPr="00083184">
        <w:rPr>
          <w:rFonts w:ascii="Arial" w:eastAsia="Times New Roman" w:hAnsi="Arial" w:cs="Arial"/>
          <w:color w:val="000000" w:themeColor="text1"/>
          <w:sz w:val="24"/>
          <w:szCs w:val="24"/>
        </w:rPr>
        <w:t xml:space="preserve">nsus Bureau, there will be 78 </w:t>
      </w:r>
      <w:r w:rsidRPr="00083184">
        <w:rPr>
          <w:rFonts w:ascii="Arial" w:eastAsia="Times New Roman" w:hAnsi="Arial" w:cs="Arial"/>
          <w:color w:val="000000" w:themeColor="text1"/>
          <w:sz w:val="24"/>
          <w:szCs w:val="24"/>
        </w:rPr>
        <w:t>million people 65 years and older, and 76.7 million (previously 76.4 million) under the age of 18 by 2035. An aging population will require more extensive drug treatments and medical care. Health issues associated with obesity could also boost demand for medical services. According to a research letter in the Journal of the American Medical Association, the rates of obesity rose significantly among adults, from 33.7% to 39.6% in the years between 2007-2008 and 2015-2016. Rates of severe obesity increased during this time from 5.7% to 7.7%</w:t>
      </w:r>
      <w:r w:rsidR="00A10169" w:rsidRPr="00083184">
        <w:rPr>
          <w:rFonts w:ascii="Arial" w:eastAsia="Times New Roman" w:hAnsi="Arial" w:cs="Arial"/>
          <w:color w:val="000000" w:themeColor="text1"/>
          <w:sz w:val="24"/>
          <w:szCs w:val="24"/>
        </w:rPr>
        <w:t>.</w:t>
      </w:r>
      <w:r w:rsidR="003007AD" w:rsidRPr="00083184">
        <w:rPr>
          <w:rFonts w:ascii="Arial" w:eastAsia="Times New Roman" w:hAnsi="Arial" w:cs="Arial"/>
          <w:color w:val="000000" w:themeColor="text1"/>
          <w:sz w:val="24"/>
          <w:szCs w:val="24"/>
        </w:rPr>
        <w:t xml:space="preserve"> The Trump a</w:t>
      </w:r>
      <w:r w:rsidRPr="00083184">
        <w:rPr>
          <w:rFonts w:ascii="Arial" w:eastAsia="Times New Roman" w:hAnsi="Arial" w:cs="Arial"/>
          <w:color w:val="000000" w:themeColor="text1"/>
          <w:sz w:val="24"/>
          <w:szCs w:val="24"/>
        </w:rPr>
        <w:t>dministration was unsuccessful in its repeal of the Affordable Care Act (ACA), but they succeeded in limiting expansion of the ACA and repealing the individual mandate for 2019, which required most Americans to have health insurance. Future repeal attempts or modification of the ACA will make the industry more volatile.</w:t>
      </w:r>
    </w:p>
    <w:p w14:paraId="1BBAB81F" w14:textId="77777777" w:rsidR="00DF04E1" w:rsidRPr="00083184" w:rsidRDefault="00DF04E1" w:rsidP="00E26B87">
      <w:pPr>
        <w:spacing w:line="240" w:lineRule="auto"/>
        <w:rPr>
          <w:rFonts w:ascii="Arial" w:eastAsia="Times New Roman" w:hAnsi="Arial" w:cs="Arial"/>
          <w:b/>
          <w:bCs/>
          <w:color w:val="000000" w:themeColor="text1"/>
          <w:sz w:val="24"/>
          <w:szCs w:val="24"/>
          <w:lang w:eastAsia="en-IN"/>
        </w:rPr>
      </w:pPr>
    </w:p>
    <w:p w14:paraId="65364B8F" w14:textId="77777777" w:rsidR="00E26B87" w:rsidRPr="00083184" w:rsidRDefault="00E26B87" w:rsidP="008E7375">
      <w:pPr>
        <w:spacing w:line="240" w:lineRule="auto"/>
        <w:outlineLvl w:val="0"/>
        <w:rPr>
          <w:rFonts w:ascii="Arial" w:eastAsia="Times New Roman" w:hAnsi="Arial" w:cs="Arial"/>
          <w:color w:val="000000" w:themeColor="text1"/>
          <w:sz w:val="24"/>
          <w:szCs w:val="24"/>
          <w:lang w:eastAsia="en-IN"/>
        </w:rPr>
      </w:pPr>
      <w:r w:rsidRPr="00083184">
        <w:rPr>
          <w:rFonts w:ascii="Arial" w:eastAsia="Times New Roman" w:hAnsi="Arial" w:cs="Arial"/>
          <w:b/>
          <w:bCs/>
          <w:color w:val="000000" w:themeColor="text1"/>
          <w:sz w:val="24"/>
          <w:szCs w:val="24"/>
          <w:lang w:eastAsia="en-IN"/>
        </w:rPr>
        <w:t>Industrials</w:t>
      </w:r>
    </w:p>
    <w:p w14:paraId="6EFDA608" w14:textId="1702220F" w:rsidR="00E26B87" w:rsidRPr="00083184" w:rsidRDefault="00E26B87" w:rsidP="006450FD">
      <w:pPr>
        <w:spacing w:after="0" w:line="240" w:lineRule="auto"/>
        <w:jc w:val="both"/>
        <w:rPr>
          <w:rFonts w:ascii="Arial" w:eastAsia="Times New Roman" w:hAnsi="Arial" w:cs="Arial"/>
          <w:color w:val="000000" w:themeColor="text1"/>
          <w:sz w:val="24"/>
          <w:szCs w:val="24"/>
          <w:lang w:eastAsia="en-IN"/>
        </w:rPr>
      </w:pPr>
      <w:r w:rsidRPr="00083184">
        <w:rPr>
          <w:rFonts w:ascii="Arial" w:eastAsia="Times New Roman" w:hAnsi="Arial" w:cs="Arial"/>
          <w:color w:val="000000" w:themeColor="text1"/>
          <w:sz w:val="24"/>
          <w:szCs w:val="24"/>
          <w:lang w:eastAsia="en-IN"/>
        </w:rPr>
        <w:t xml:space="preserve">As of November 30, 2018, Industrials accounted for 9.4% </w:t>
      </w:r>
      <w:r w:rsidR="003007AD" w:rsidRPr="00083184">
        <w:rPr>
          <w:rFonts w:ascii="Arial" w:eastAsia="Times New Roman" w:hAnsi="Arial" w:cs="Arial"/>
          <w:color w:val="000000" w:themeColor="text1"/>
          <w:sz w:val="24"/>
          <w:szCs w:val="24"/>
          <w:lang w:eastAsia="en-IN"/>
        </w:rPr>
        <w:t xml:space="preserve">of </w:t>
      </w:r>
      <w:r w:rsidRPr="00083184">
        <w:rPr>
          <w:rFonts w:ascii="Arial" w:eastAsia="Times New Roman" w:hAnsi="Arial" w:cs="Arial"/>
          <w:color w:val="000000" w:themeColor="text1"/>
          <w:sz w:val="24"/>
          <w:szCs w:val="24"/>
          <w:lang w:eastAsia="en-IN"/>
        </w:rPr>
        <w:t>the S&amp;P 500 index. There are fourteen i</w:t>
      </w:r>
      <w:r w:rsidR="003007AD" w:rsidRPr="00083184">
        <w:rPr>
          <w:rFonts w:ascii="Arial" w:eastAsia="Times New Roman" w:hAnsi="Arial" w:cs="Arial"/>
          <w:color w:val="000000" w:themeColor="text1"/>
          <w:sz w:val="24"/>
          <w:szCs w:val="24"/>
          <w:lang w:eastAsia="en-IN"/>
        </w:rPr>
        <w:t xml:space="preserve">ndustries within the sector: Aerospace &amp; Defense, Building Products, Construction &amp; Engineering, Electrical Equipment, Industrial </w:t>
      </w:r>
      <w:r w:rsidRPr="00083184">
        <w:rPr>
          <w:rFonts w:ascii="Arial" w:eastAsia="Times New Roman" w:hAnsi="Arial" w:cs="Arial"/>
          <w:color w:val="000000" w:themeColor="text1"/>
          <w:sz w:val="24"/>
          <w:szCs w:val="24"/>
          <w:lang w:eastAsia="en-IN"/>
        </w:rPr>
        <w:t>Conglomerates</w:t>
      </w:r>
      <w:r w:rsidR="00B53417">
        <w:rPr>
          <w:rFonts w:ascii="Arial" w:eastAsia="Times New Roman" w:hAnsi="Arial" w:cs="Arial"/>
          <w:color w:val="000000" w:themeColor="text1"/>
          <w:sz w:val="24"/>
          <w:szCs w:val="24"/>
          <w:lang w:eastAsia="en-IN"/>
        </w:rPr>
        <w:t>, Machinery,</w:t>
      </w:r>
      <w:r w:rsidRPr="00083184">
        <w:rPr>
          <w:rFonts w:ascii="Arial" w:eastAsia="Times New Roman" w:hAnsi="Arial" w:cs="Arial"/>
          <w:color w:val="000000" w:themeColor="text1"/>
          <w:sz w:val="24"/>
          <w:szCs w:val="24"/>
          <w:lang w:eastAsia="en-IN"/>
        </w:rPr>
        <w:t xml:space="preserve"> Trad</w:t>
      </w:r>
      <w:r w:rsidR="003007AD" w:rsidRPr="00083184">
        <w:rPr>
          <w:rFonts w:ascii="Arial" w:eastAsia="Times New Roman" w:hAnsi="Arial" w:cs="Arial"/>
          <w:color w:val="000000" w:themeColor="text1"/>
          <w:sz w:val="24"/>
          <w:szCs w:val="24"/>
          <w:lang w:eastAsia="en-IN"/>
        </w:rPr>
        <w:t xml:space="preserve">ing Companies &amp; Distributors, </w:t>
      </w:r>
      <w:r w:rsidRPr="00083184">
        <w:rPr>
          <w:rFonts w:ascii="Arial" w:eastAsia="Times New Roman" w:hAnsi="Arial" w:cs="Arial"/>
          <w:color w:val="000000" w:themeColor="text1"/>
          <w:sz w:val="24"/>
          <w:szCs w:val="24"/>
          <w:lang w:eastAsia="en-IN"/>
        </w:rPr>
        <w:t>Com</w:t>
      </w:r>
      <w:r w:rsidR="003007AD" w:rsidRPr="00083184">
        <w:rPr>
          <w:rFonts w:ascii="Arial" w:eastAsia="Times New Roman" w:hAnsi="Arial" w:cs="Arial"/>
          <w:color w:val="000000" w:themeColor="text1"/>
          <w:sz w:val="24"/>
          <w:szCs w:val="24"/>
          <w:lang w:eastAsia="en-IN"/>
        </w:rPr>
        <w:t>mercial Services &amp; Su</w:t>
      </w:r>
      <w:r w:rsidR="00B53417">
        <w:rPr>
          <w:rFonts w:ascii="Arial" w:eastAsia="Times New Roman" w:hAnsi="Arial" w:cs="Arial"/>
          <w:color w:val="000000" w:themeColor="text1"/>
          <w:sz w:val="24"/>
          <w:szCs w:val="24"/>
          <w:lang w:eastAsia="en-IN"/>
        </w:rPr>
        <w:t xml:space="preserve">pplies, Professional Services, </w:t>
      </w:r>
      <w:r w:rsidR="003007AD" w:rsidRPr="00083184">
        <w:rPr>
          <w:rFonts w:ascii="Arial" w:eastAsia="Times New Roman" w:hAnsi="Arial" w:cs="Arial"/>
          <w:color w:val="000000" w:themeColor="text1"/>
          <w:sz w:val="24"/>
          <w:szCs w:val="24"/>
          <w:lang w:eastAsia="en-IN"/>
        </w:rPr>
        <w:t>Air Freight</w:t>
      </w:r>
      <w:r w:rsidR="00E36E27">
        <w:rPr>
          <w:rFonts w:ascii="Arial" w:eastAsia="Times New Roman" w:hAnsi="Arial" w:cs="Arial"/>
          <w:color w:val="000000" w:themeColor="text1"/>
          <w:sz w:val="24"/>
          <w:szCs w:val="24"/>
          <w:lang w:eastAsia="en-IN"/>
        </w:rPr>
        <w:t xml:space="preserve"> &amp; Logistics, Airlines, Marine, </w:t>
      </w:r>
      <w:r w:rsidR="003007AD" w:rsidRPr="00083184">
        <w:rPr>
          <w:rFonts w:ascii="Arial" w:eastAsia="Times New Roman" w:hAnsi="Arial" w:cs="Arial"/>
          <w:color w:val="000000" w:themeColor="text1"/>
          <w:sz w:val="24"/>
          <w:szCs w:val="24"/>
          <w:lang w:eastAsia="en-IN"/>
        </w:rPr>
        <w:t>Road &amp; Rail,</w:t>
      </w:r>
      <w:r w:rsidRPr="00083184">
        <w:rPr>
          <w:rFonts w:ascii="Arial" w:eastAsia="Times New Roman" w:hAnsi="Arial" w:cs="Arial"/>
          <w:color w:val="000000" w:themeColor="text1"/>
          <w:sz w:val="24"/>
          <w:szCs w:val="24"/>
          <w:lang w:eastAsia="en-IN"/>
        </w:rPr>
        <w:t xml:space="preserve"> Transportation Infrastructure. Aerospace and Defense is the largest, representing approximately 27.4% of the sector's market value, while Construction and Engineering is the smallest, accounting for about 0.92% of the sector. The sector is projected to record a 20.9% </w:t>
      </w:r>
      <w:r w:rsidR="00FC0500" w:rsidRPr="00083184">
        <w:rPr>
          <w:rFonts w:ascii="Arial" w:eastAsia="Times New Roman" w:hAnsi="Arial" w:cs="Arial"/>
          <w:color w:val="000000" w:themeColor="text1"/>
          <w:sz w:val="24"/>
          <w:szCs w:val="24"/>
          <w:lang w:eastAsia="en-IN"/>
        </w:rPr>
        <w:t>year over year</w:t>
      </w:r>
      <w:r w:rsidRPr="00083184">
        <w:rPr>
          <w:rFonts w:ascii="Arial" w:eastAsia="Times New Roman" w:hAnsi="Arial" w:cs="Arial"/>
          <w:color w:val="000000" w:themeColor="text1"/>
          <w:sz w:val="24"/>
          <w:szCs w:val="24"/>
          <w:lang w:eastAsia="en-IN"/>
        </w:rPr>
        <w:t xml:space="preserve"> increase in operating earnings per share in 2018, as compared with the S&amp;P 500's estimated EPS gain of 22.2%. The sector's price-to-earnings ratio of 16.7x, is below the S&amp;P 500's forward P/E of 16.3x. The consensus long-term EPS growth estimate for this sector is 12.6% versus the S&amp;P 500's 13.0%, giving the sector a P/E-to-projected EPS growth rate (PEG) ratio of 1.3x, which is slightly above the broader market's PEG of 1.2x. Finally, this sector pays a dividend yield of 2.0%, which is same for the S&amp;P 500.</w:t>
      </w:r>
    </w:p>
    <w:p w14:paraId="1292B7EE" w14:textId="77777777" w:rsidR="006450FD" w:rsidRPr="00083184" w:rsidRDefault="006450FD" w:rsidP="006450FD">
      <w:pPr>
        <w:spacing w:after="120" w:line="240" w:lineRule="auto"/>
        <w:jc w:val="both"/>
        <w:outlineLvl w:val="0"/>
        <w:rPr>
          <w:rFonts w:ascii="Arial" w:eastAsia="Times New Roman" w:hAnsi="Arial" w:cs="Arial"/>
          <w:i/>
          <w:iCs/>
          <w:color w:val="000000" w:themeColor="text1"/>
          <w:sz w:val="24"/>
          <w:szCs w:val="24"/>
          <w:lang w:eastAsia="en-IN"/>
        </w:rPr>
      </w:pPr>
    </w:p>
    <w:p w14:paraId="361ED052" w14:textId="1CC6D2D3" w:rsidR="006450FD" w:rsidRPr="00083184" w:rsidRDefault="00E26B87" w:rsidP="006450FD">
      <w:pPr>
        <w:spacing w:after="120" w:line="240" w:lineRule="auto"/>
        <w:jc w:val="both"/>
        <w:outlineLvl w:val="0"/>
        <w:rPr>
          <w:rFonts w:ascii="Arial" w:eastAsia="Times New Roman" w:hAnsi="Arial" w:cs="Arial"/>
          <w:color w:val="000000" w:themeColor="text1"/>
          <w:sz w:val="24"/>
          <w:szCs w:val="24"/>
          <w:lang w:eastAsia="en-IN"/>
        </w:rPr>
      </w:pPr>
      <w:r w:rsidRPr="00083184">
        <w:rPr>
          <w:rFonts w:ascii="Arial" w:eastAsia="Times New Roman" w:hAnsi="Arial" w:cs="Arial"/>
          <w:i/>
          <w:iCs/>
          <w:color w:val="000000" w:themeColor="text1"/>
          <w:sz w:val="24"/>
          <w:szCs w:val="24"/>
          <w:lang w:eastAsia="en-IN"/>
        </w:rPr>
        <w:t>Outlook</w:t>
      </w:r>
    </w:p>
    <w:p w14:paraId="023E31F9" w14:textId="2C962D6E" w:rsidR="00E26B87" w:rsidRPr="00083184" w:rsidRDefault="004D0C7D" w:rsidP="006450FD">
      <w:pPr>
        <w:spacing w:after="120" w:line="240" w:lineRule="auto"/>
        <w:jc w:val="both"/>
        <w:outlineLvl w:val="0"/>
        <w:rPr>
          <w:rFonts w:ascii="Arial" w:eastAsia="Times New Roman" w:hAnsi="Arial" w:cs="Arial"/>
          <w:color w:val="000000" w:themeColor="text1"/>
          <w:sz w:val="24"/>
          <w:szCs w:val="24"/>
          <w:lang w:eastAsia="en-IN"/>
        </w:rPr>
      </w:pPr>
      <w:r w:rsidRPr="00083184">
        <w:rPr>
          <w:rFonts w:ascii="Arial" w:eastAsia="Times New Roman" w:hAnsi="Arial" w:cs="Arial"/>
          <w:color w:val="000000" w:themeColor="text1"/>
          <w:sz w:val="24"/>
          <w:szCs w:val="24"/>
          <w:lang w:eastAsia="en-IN"/>
        </w:rPr>
        <w:t>The Industrial sector is very diverse</w:t>
      </w:r>
      <w:r w:rsidR="00E26B87" w:rsidRPr="00083184">
        <w:rPr>
          <w:rFonts w:ascii="Arial" w:eastAsia="Times New Roman" w:hAnsi="Arial" w:cs="Arial"/>
          <w:color w:val="000000" w:themeColor="text1"/>
          <w:sz w:val="24"/>
          <w:szCs w:val="24"/>
          <w:lang w:eastAsia="en-IN"/>
        </w:rPr>
        <w:t>, comprising</w:t>
      </w:r>
      <w:r w:rsidRPr="00083184">
        <w:rPr>
          <w:rFonts w:ascii="Arial" w:eastAsia="Times New Roman" w:hAnsi="Arial" w:cs="Arial"/>
          <w:color w:val="000000" w:themeColor="text1"/>
          <w:sz w:val="24"/>
          <w:szCs w:val="24"/>
          <w:lang w:eastAsia="en-IN"/>
        </w:rPr>
        <w:t xml:space="preserve"> of</w:t>
      </w:r>
      <w:r w:rsidR="00E26B87" w:rsidRPr="00083184">
        <w:rPr>
          <w:rFonts w:ascii="Arial" w:eastAsia="Times New Roman" w:hAnsi="Arial" w:cs="Arial"/>
          <w:color w:val="000000" w:themeColor="text1"/>
          <w:sz w:val="24"/>
          <w:szCs w:val="24"/>
          <w:lang w:eastAsia="en-IN"/>
        </w:rPr>
        <w:t xml:space="preserve"> a huge array of companies. Aerospace and Defense, and Machinery form the biggest industries within the sector, with a combined weight of more than 40%. The Aerospace industry is poised for growth in the next decade f</w:t>
      </w:r>
      <w:r w:rsidR="00127E82">
        <w:rPr>
          <w:rFonts w:ascii="Arial" w:eastAsia="Times New Roman" w:hAnsi="Arial" w:cs="Arial"/>
          <w:color w:val="000000" w:themeColor="text1"/>
          <w:sz w:val="24"/>
          <w:szCs w:val="24"/>
          <w:lang w:eastAsia="en-IN"/>
        </w:rPr>
        <w:t>ueled by growing demand in</w:t>
      </w:r>
      <w:r w:rsidR="00E26B87" w:rsidRPr="00083184">
        <w:rPr>
          <w:rFonts w:ascii="Arial" w:eastAsia="Times New Roman" w:hAnsi="Arial" w:cs="Arial"/>
          <w:color w:val="000000" w:themeColor="text1"/>
          <w:sz w:val="24"/>
          <w:szCs w:val="24"/>
          <w:lang w:eastAsia="en-IN"/>
        </w:rPr>
        <w:t xml:space="preserve"> commercial airplanes. The demand in emerging markets and the U.S. is poised to grow significantly. Defense budgets of major countries are rising. With Aerospace and Defense being a niche and highly regulated industry, most of the business is likely to be taken up by already established companies. Barriers to entry are high for this sector. In Machinery, the demand for construction equipment is picking up, especially in India and China, along with the U.S. Infrastructure spending has been slow but steady. Housing also has been slow to recover from the 2008 crisis but is on a steady path. Risks for the sector include rising inflation and interest rates, the ongoing trade tensions with China, and increasing labor costs. Thes</w:t>
      </w:r>
      <w:r w:rsidRPr="00083184">
        <w:rPr>
          <w:rFonts w:ascii="Arial" w:eastAsia="Times New Roman" w:hAnsi="Arial" w:cs="Arial"/>
          <w:color w:val="000000" w:themeColor="text1"/>
          <w:sz w:val="24"/>
          <w:szCs w:val="24"/>
          <w:lang w:eastAsia="en-IN"/>
        </w:rPr>
        <w:t>e factors affect the industrial sector</w:t>
      </w:r>
      <w:r w:rsidR="00E26B87" w:rsidRPr="00083184">
        <w:rPr>
          <w:rFonts w:ascii="Arial" w:eastAsia="Times New Roman" w:hAnsi="Arial" w:cs="Arial"/>
          <w:color w:val="000000" w:themeColor="text1"/>
          <w:sz w:val="24"/>
          <w:szCs w:val="24"/>
          <w:lang w:eastAsia="en-IN"/>
        </w:rPr>
        <w:t xml:space="preserve"> in differ</w:t>
      </w:r>
      <w:r w:rsidRPr="00083184">
        <w:rPr>
          <w:rFonts w:ascii="Arial" w:eastAsia="Times New Roman" w:hAnsi="Arial" w:cs="Arial"/>
          <w:color w:val="000000" w:themeColor="text1"/>
          <w:sz w:val="24"/>
          <w:szCs w:val="24"/>
          <w:lang w:eastAsia="en-IN"/>
        </w:rPr>
        <w:t xml:space="preserve">ent capacities. However, these factors have </w:t>
      </w:r>
      <w:r w:rsidR="00E26B87" w:rsidRPr="00083184">
        <w:rPr>
          <w:rFonts w:ascii="Arial" w:eastAsia="Times New Roman" w:hAnsi="Arial" w:cs="Arial"/>
          <w:color w:val="000000" w:themeColor="text1"/>
          <w:sz w:val="24"/>
          <w:szCs w:val="24"/>
          <w:lang w:eastAsia="en-IN"/>
        </w:rPr>
        <w:t>also resulted in increasing indigenous manufacturing activity for US.</w:t>
      </w:r>
    </w:p>
    <w:p w14:paraId="20BE383A" w14:textId="572AB74C" w:rsidR="006450FD" w:rsidRPr="00083184" w:rsidRDefault="006450FD" w:rsidP="006450FD">
      <w:pPr>
        <w:pStyle w:val="NormalWeb"/>
        <w:spacing w:before="0" w:beforeAutospacing="0" w:after="160" w:afterAutospacing="0"/>
        <w:outlineLvl w:val="0"/>
        <w:rPr>
          <w:rFonts w:ascii="Arial" w:hAnsi="Arial" w:cs="Arial"/>
          <w:color w:val="000000" w:themeColor="text1"/>
        </w:rPr>
      </w:pPr>
      <w:r w:rsidRPr="00083184">
        <w:rPr>
          <w:rFonts w:ascii="Arial" w:eastAsia="Arial" w:hAnsi="Arial" w:cs="Arial"/>
          <w:color w:val="000000" w:themeColor="text1"/>
        </w:rPr>
        <w:t xml:space="preserve">Current Holdings: </w:t>
      </w:r>
      <w:r w:rsidRPr="00083184">
        <w:rPr>
          <w:rFonts w:ascii="Arial" w:eastAsia="SimSun" w:hAnsi="Arial" w:cs="Arial"/>
          <w:bCs/>
          <w:color w:val="000000" w:themeColor="text1"/>
        </w:rPr>
        <w:t>The Boeing Company (NYSE: BA)</w:t>
      </w:r>
    </w:p>
    <w:p w14:paraId="67EAC293" w14:textId="0FF763D9" w:rsidR="006450FD" w:rsidRPr="00083184" w:rsidRDefault="006450FD" w:rsidP="00E26B87">
      <w:pPr>
        <w:rPr>
          <w:rFonts w:ascii="Arial" w:eastAsia="Arial" w:hAnsi="Arial" w:cs="Arial"/>
          <w:b/>
          <w:color w:val="000000" w:themeColor="text1"/>
          <w:sz w:val="24"/>
          <w:szCs w:val="24"/>
          <w:u w:val="single"/>
        </w:rPr>
      </w:pPr>
    </w:p>
    <w:p w14:paraId="26396235" w14:textId="77777777" w:rsidR="00E26B87" w:rsidRPr="00083184" w:rsidRDefault="00E26B87" w:rsidP="008E7375">
      <w:pPr>
        <w:spacing w:after="120" w:line="240" w:lineRule="auto"/>
        <w:outlineLvl w:val="0"/>
        <w:rPr>
          <w:rFonts w:ascii="Arial" w:eastAsia="Times New Roman" w:hAnsi="Arial" w:cs="Arial"/>
          <w:color w:val="000000" w:themeColor="text1"/>
          <w:sz w:val="24"/>
          <w:szCs w:val="24"/>
          <w:lang w:eastAsia="en-IN"/>
        </w:rPr>
      </w:pPr>
      <w:r w:rsidRPr="00083184">
        <w:rPr>
          <w:rFonts w:ascii="Arial" w:eastAsia="Times New Roman" w:hAnsi="Arial" w:cs="Arial"/>
          <w:b/>
          <w:bCs/>
          <w:color w:val="000000" w:themeColor="text1"/>
          <w:sz w:val="24"/>
          <w:szCs w:val="24"/>
          <w:lang w:eastAsia="en-IN"/>
        </w:rPr>
        <w:t>Information Technology</w:t>
      </w:r>
    </w:p>
    <w:p w14:paraId="027940C2" w14:textId="0DC9E62C" w:rsidR="00E26B87" w:rsidRPr="00083184" w:rsidRDefault="00E26B87" w:rsidP="00E26B87">
      <w:pPr>
        <w:spacing w:line="240" w:lineRule="auto"/>
        <w:jc w:val="both"/>
        <w:rPr>
          <w:rFonts w:ascii="Arial" w:eastAsia="Times New Roman" w:hAnsi="Arial" w:cs="Arial"/>
          <w:color w:val="000000" w:themeColor="text1"/>
          <w:sz w:val="24"/>
          <w:szCs w:val="24"/>
          <w:lang w:eastAsia="en-IN"/>
        </w:rPr>
      </w:pPr>
      <w:r w:rsidRPr="00083184">
        <w:rPr>
          <w:rFonts w:ascii="Arial" w:eastAsia="Times New Roman" w:hAnsi="Arial" w:cs="Arial"/>
          <w:color w:val="000000" w:themeColor="text1"/>
          <w:sz w:val="24"/>
          <w:szCs w:val="24"/>
          <w:lang w:eastAsia="en-IN"/>
        </w:rPr>
        <w:t xml:space="preserve">As of </w:t>
      </w:r>
      <w:r w:rsidRPr="00083184">
        <w:rPr>
          <w:rFonts w:ascii="Arial" w:hAnsi="Arial" w:cs="Arial"/>
          <w:color w:val="000000" w:themeColor="text1"/>
          <w:sz w:val="24"/>
          <w:szCs w:val="24"/>
        </w:rPr>
        <w:t>November 30</w:t>
      </w:r>
      <w:r w:rsidRPr="00083184">
        <w:rPr>
          <w:rFonts w:ascii="Arial" w:eastAsia="Times New Roman" w:hAnsi="Arial" w:cs="Arial"/>
          <w:color w:val="000000" w:themeColor="text1"/>
          <w:sz w:val="24"/>
          <w:szCs w:val="24"/>
          <w:lang w:eastAsia="en-IN"/>
        </w:rPr>
        <w:t>, 2018, Information Technology accounted for 1</w:t>
      </w:r>
      <w:r w:rsidR="00E36E27">
        <w:rPr>
          <w:rFonts w:ascii="Arial" w:eastAsia="Times New Roman" w:hAnsi="Arial" w:cs="Arial"/>
          <w:color w:val="000000" w:themeColor="text1"/>
          <w:sz w:val="24"/>
          <w:szCs w:val="24"/>
          <w:lang w:eastAsia="en-IN"/>
        </w:rPr>
        <w:t>9.9% of</w:t>
      </w:r>
      <w:r w:rsidR="00B53417">
        <w:rPr>
          <w:rFonts w:ascii="Arial" w:eastAsia="Times New Roman" w:hAnsi="Arial" w:cs="Arial"/>
          <w:color w:val="000000" w:themeColor="text1"/>
          <w:sz w:val="24"/>
          <w:szCs w:val="24"/>
          <w:lang w:eastAsia="en-IN"/>
        </w:rPr>
        <w:t xml:space="preserve"> the S&amp;P 500 index. The T</w:t>
      </w:r>
      <w:r w:rsidRPr="00083184">
        <w:rPr>
          <w:rFonts w:ascii="Arial" w:eastAsia="Times New Roman" w:hAnsi="Arial" w:cs="Arial"/>
          <w:color w:val="000000" w:themeColor="text1"/>
          <w:sz w:val="24"/>
          <w:szCs w:val="24"/>
          <w:lang w:eastAsia="en-IN"/>
        </w:rPr>
        <w:t xml:space="preserve">echnology sector </w:t>
      </w:r>
      <w:r w:rsidR="004D0C7D" w:rsidRPr="00083184">
        <w:rPr>
          <w:rFonts w:ascii="Arial" w:eastAsia="Times New Roman" w:hAnsi="Arial" w:cs="Arial"/>
          <w:color w:val="000000" w:themeColor="text1"/>
          <w:sz w:val="24"/>
          <w:szCs w:val="24"/>
          <w:lang w:eastAsia="en-IN"/>
        </w:rPr>
        <w:t xml:space="preserve">comprises of six industries: IT Services, Software, Communications Equipment, </w:t>
      </w:r>
      <w:r w:rsidRPr="00083184">
        <w:rPr>
          <w:rFonts w:ascii="Arial" w:eastAsia="Times New Roman" w:hAnsi="Arial" w:cs="Arial"/>
          <w:color w:val="000000" w:themeColor="text1"/>
          <w:sz w:val="24"/>
          <w:szCs w:val="24"/>
          <w:lang w:eastAsia="en-IN"/>
        </w:rPr>
        <w:t>Technology Hardwa</w:t>
      </w:r>
      <w:r w:rsidR="004D0C7D" w:rsidRPr="00083184">
        <w:rPr>
          <w:rFonts w:ascii="Arial" w:eastAsia="Times New Roman" w:hAnsi="Arial" w:cs="Arial"/>
          <w:color w:val="000000" w:themeColor="text1"/>
          <w:sz w:val="24"/>
          <w:szCs w:val="24"/>
          <w:lang w:eastAsia="en-IN"/>
        </w:rPr>
        <w:t xml:space="preserve">re, Storage and Peripherals, </w:t>
      </w:r>
      <w:r w:rsidRPr="00083184">
        <w:rPr>
          <w:rFonts w:ascii="Arial" w:eastAsia="Times New Roman" w:hAnsi="Arial" w:cs="Arial"/>
          <w:color w:val="000000" w:themeColor="text1"/>
          <w:sz w:val="24"/>
          <w:szCs w:val="24"/>
          <w:lang w:eastAsia="en-IN"/>
        </w:rPr>
        <w:t>Electronic Equipment, Ins</w:t>
      </w:r>
      <w:r w:rsidR="004D0C7D" w:rsidRPr="00083184">
        <w:rPr>
          <w:rFonts w:ascii="Arial" w:eastAsia="Times New Roman" w:hAnsi="Arial" w:cs="Arial"/>
          <w:color w:val="000000" w:themeColor="text1"/>
          <w:sz w:val="24"/>
          <w:szCs w:val="24"/>
          <w:lang w:eastAsia="en-IN"/>
        </w:rPr>
        <w:t xml:space="preserve">truments and Components, and </w:t>
      </w:r>
      <w:r w:rsidRPr="00083184">
        <w:rPr>
          <w:rFonts w:ascii="Arial" w:eastAsia="Times New Roman" w:hAnsi="Arial" w:cs="Arial"/>
          <w:color w:val="000000" w:themeColor="text1"/>
          <w:sz w:val="24"/>
          <w:szCs w:val="24"/>
          <w:lang w:eastAsia="en-IN"/>
        </w:rPr>
        <w:t xml:space="preserve">Semiconductors and Semiconductor Equipment. In September 2018, due to reclassification of GICS standard, IT sector underwent major changes. Many large companies were put into different sectors, reducing the weight of Technology in S&amp;P 500 from over 25% to just about 20%. Software is the largest, representing approximately 29.53% of the sector's market value, while Electronic Equipment, Instruments and Components is the smallest, accounting for about 2.2% of the sector. </w:t>
      </w:r>
    </w:p>
    <w:p w14:paraId="00B5FA1E" w14:textId="51EBC072" w:rsidR="00E26B87" w:rsidRPr="00083184" w:rsidRDefault="00E26B87" w:rsidP="00E26B87">
      <w:pPr>
        <w:spacing w:line="240" w:lineRule="auto"/>
        <w:jc w:val="both"/>
        <w:rPr>
          <w:rFonts w:ascii="Arial" w:eastAsia="Times New Roman" w:hAnsi="Arial" w:cs="Arial"/>
          <w:color w:val="000000" w:themeColor="text1"/>
          <w:sz w:val="24"/>
          <w:szCs w:val="24"/>
          <w:lang w:eastAsia="en-IN"/>
        </w:rPr>
      </w:pPr>
      <w:r w:rsidRPr="00083184">
        <w:rPr>
          <w:rFonts w:ascii="Arial" w:eastAsia="Times New Roman" w:hAnsi="Arial" w:cs="Arial"/>
          <w:color w:val="000000" w:themeColor="text1"/>
          <w:sz w:val="24"/>
          <w:szCs w:val="24"/>
          <w:lang w:eastAsia="en-IN"/>
        </w:rPr>
        <w:t xml:space="preserve">The Information Technology sector was projected to record a 20% </w:t>
      </w:r>
      <w:r w:rsidR="00FC0500" w:rsidRPr="00083184">
        <w:rPr>
          <w:rFonts w:ascii="Arial" w:eastAsia="Times New Roman" w:hAnsi="Arial" w:cs="Arial"/>
          <w:color w:val="000000" w:themeColor="text1"/>
          <w:sz w:val="24"/>
          <w:szCs w:val="24"/>
          <w:lang w:eastAsia="en-IN"/>
        </w:rPr>
        <w:t>year over year</w:t>
      </w:r>
      <w:r w:rsidRPr="00083184">
        <w:rPr>
          <w:rFonts w:ascii="Arial" w:eastAsia="Times New Roman" w:hAnsi="Arial" w:cs="Arial"/>
          <w:color w:val="000000" w:themeColor="text1"/>
          <w:sz w:val="24"/>
          <w:szCs w:val="24"/>
          <w:lang w:eastAsia="en-IN"/>
        </w:rPr>
        <w:t xml:space="preserve"> increase in operating earnings-per-share in 2018, as compared with the S&amp;P 500's estimated EPS gain of 22.2%. The sector's price-to-earnings ratio of 19.6X, based on consensus forward 12-month operating EPS estimate, is well above the S&amp;P 500's forward P/E of 16.3X. The consensus long-term EPS growth estimate for this sector was 15% versus the S&amp;P 500's 13%, giving the sector a P/E-to-projected EPS growth rate (PEG) ratio of 1.3X, which is slightly higher than the broader market's PEG of 1.2X. This sector paid a dividend yield of 1.1%, as compared with the yield of 2.0% for the S&amp;P 500.</w:t>
      </w:r>
    </w:p>
    <w:p w14:paraId="6CBB19B9" w14:textId="6378AB31" w:rsidR="00E26B87" w:rsidRPr="00083184" w:rsidRDefault="00E26B87" w:rsidP="008E7375">
      <w:pPr>
        <w:spacing w:after="120" w:line="240" w:lineRule="auto"/>
        <w:jc w:val="both"/>
        <w:outlineLvl w:val="0"/>
        <w:rPr>
          <w:rFonts w:ascii="Arial" w:eastAsia="Times New Roman" w:hAnsi="Arial" w:cs="Arial"/>
          <w:color w:val="000000" w:themeColor="text1"/>
          <w:sz w:val="24"/>
          <w:szCs w:val="24"/>
          <w:lang w:eastAsia="en-IN"/>
        </w:rPr>
      </w:pPr>
      <w:r w:rsidRPr="00083184">
        <w:rPr>
          <w:rFonts w:ascii="Arial" w:eastAsia="Times New Roman" w:hAnsi="Arial" w:cs="Arial"/>
          <w:i/>
          <w:iCs/>
          <w:color w:val="000000" w:themeColor="text1"/>
          <w:sz w:val="24"/>
          <w:szCs w:val="24"/>
          <w:lang w:eastAsia="en-IN"/>
        </w:rPr>
        <w:t>Outlook</w:t>
      </w:r>
    </w:p>
    <w:p w14:paraId="60D6B827" w14:textId="55B82F7A" w:rsidR="00E26B87" w:rsidRPr="00083184" w:rsidRDefault="00E26B87" w:rsidP="00E26B87">
      <w:pPr>
        <w:spacing w:line="240" w:lineRule="auto"/>
        <w:jc w:val="both"/>
        <w:rPr>
          <w:rFonts w:ascii="Arial" w:eastAsia="Times New Roman" w:hAnsi="Arial" w:cs="Arial"/>
          <w:color w:val="000000" w:themeColor="text1"/>
          <w:sz w:val="24"/>
          <w:szCs w:val="24"/>
          <w:lang w:eastAsia="en-IN"/>
        </w:rPr>
      </w:pPr>
      <w:r w:rsidRPr="00083184">
        <w:rPr>
          <w:rFonts w:ascii="Arial" w:eastAsia="Times New Roman" w:hAnsi="Arial" w:cs="Arial"/>
          <w:color w:val="000000" w:themeColor="text1"/>
          <w:sz w:val="24"/>
          <w:szCs w:val="24"/>
          <w:lang w:eastAsia="en-IN"/>
        </w:rPr>
        <w:t>Cloud Computing, Big Data, Artificial Intelligence, and Internet of Things have been the main drivers of the Informati</w:t>
      </w:r>
      <w:r w:rsidR="00E36E27">
        <w:rPr>
          <w:rFonts w:ascii="Arial" w:eastAsia="Times New Roman" w:hAnsi="Arial" w:cs="Arial"/>
          <w:color w:val="000000" w:themeColor="text1"/>
          <w:sz w:val="24"/>
          <w:szCs w:val="24"/>
          <w:lang w:eastAsia="en-IN"/>
        </w:rPr>
        <w:t xml:space="preserve">on Technology sector. </w:t>
      </w:r>
      <w:r w:rsidRPr="00083184">
        <w:rPr>
          <w:rFonts w:ascii="Arial" w:eastAsia="Times New Roman" w:hAnsi="Arial" w:cs="Arial"/>
          <w:color w:val="000000" w:themeColor="text1"/>
          <w:sz w:val="24"/>
          <w:szCs w:val="24"/>
          <w:lang w:eastAsia="en-IN"/>
        </w:rPr>
        <w:t>The industry is becoming more organized and mature after a slew of mergers and acquisitions in the past few years. The balance sheets of the companies in the Information Technology sector appear strong, with relatively low debt an</w:t>
      </w:r>
      <w:r w:rsidR="004D0C7D" w:rsidRPr="00083184">
        <w:rPr>
          <w:rFonts w:ascii="Arial" w:eastAsia="Times New Roman" w:hAnsi="Arial" w:cs="Arial"/>
          <w:color w:val="000000" w:themeColor="text1"/>
          <w:sz w:val="24"/>
          <w:szCs w:val="24"/>
          <w:lang w:eastAsia="en-IN"/>
        </w:rPr>
        <w:t>d large cash assets. Increased r</w:t>
      </w:r>
      <w:r w:rsidRPr="00083184">
        <w:rPr>
          <w:rFonts w:ascii="Arial" w:eastAsia="Times New Roman" w:hAnsi="Arial" w:cs="Arial"/>
          <w:color w:val="000000" w:themeColor="text1"/>
          <w:sz w:val="24"/>
          <w:szCs w:val="24"/>
          <w:lang w:eastAsia="en-IN"/>
        </w:rPr>
        <w:t>egulation and trade tensions with China are the potential risks that can hurt the companies in the near term.</w:t>
      </w:r>
    </w:p>
    <w:p w14:paraId="2863AA61" w14:textId="77777777" w:rsidR="00E26B87" w:rsidRPr="00083184" w:rsidRDefault="00E26B87" w:rsidP="00E26B87">
      <w:pPr>
        <w:spacing w:line="240" w:lineRule="auto"/>
        <w:rPr>
          <w:rFonts w:ascii="Arial" w:eastAsia="Times New Roman" w:hAnsi="Arial" w:cs="Arial"/>
          <w:color w:val="000000" w:themeColor="text1"/>
          <w:sz w:val="24"/>
          <w:szCs w:val="24"/>
          <w:lang w:eastAsia="en-IN"/>
        </w:rPr>
      </w:pPr>
      <w:r w:rsidRPr="00083184">
        <w:rPr>
          <w:rFonts w:ascii="Arial" w:eastAsia="Times New Roman" w:hAnsi="Arial" w:cs="Arial"/>
          <w:color w:val="000000" w:themeColor="text1"/>
          <w:sz w:val="24"/>
          <w:szCs w:val="24"/>
          <w:lang w:eastAsia="en-IN"/>
        </w:rPr>
        <w:t>Current holdings: Microsoft (MSFT)</w:t>
      </w:r>
    </w:p>
    <w:p w14:paraId="21301336" w14:textId="23007441" w:rsidR="00E26B87" w:rsidRPr="00083184" w:rsidRDefault="00E26B87" w:rsidP="008E7375">
      <w:pPr>
        <w:spacing w:line="240" w:lineRule="auto"/>
        <w:outlineLvl w:val="0"/>
        <w:rPr>
          <w:rFonts w:ascii="Arial" w:eastAsia="Times New Roman" w:hAnsi="Arial" w:cs="Arial"/>
          <w:color w:val="000000" w:themeColor="text1"/>
          <w:sz w:val="24"/>
          <w:szCs w:val="24"/>
        </w:rPr>
      </w:pPr>
      <w:r w:rsidRPr="00083184">
        <w:rPr>
          <w:rFonts w:ascii="Arial" w:eastAsia="Times New Roman" w:hAnsi="Arial" w:cs="Arial"/>
          <w:b/>
          <w:bCs/>
          <w:color w:val="000000" w:themeColor="text1"/>
          <w:sz w:val="24"/>
          <w:szCs w:val="24"/>
        </w:rPr>
        <w:t>Materials</w:t>
      </w:r>
    </w:p>
    <w:p w14:paraId="4C5DD53C" w14:textId="7B44EBA8" w:rsidR="00E26B87" w:rsidRPr="00083184" w:rsidRDefault="00E26B87" w:rsidP="00E26B87">
      <w:pPr>
        <w:spacing w:after="0" w:line="240" w:lineRule="auto"/>
        <w:jc w:val="both"/>
        <w:rPr>
          <w:rFonts w:ascii="Arial" w:eastAsia="Times New Roman" w:hAnsi="Arial" w:cs="Arial"/>
          <w:color w:val="000000" w:themeColor="text1"/>
          <w:sz w:val="24"/>
          <w:szCs w:val="24"/>
        </w:rPr>
      </w:pPr>
      <w:r w:rsidRPr="00083184">
        <w:rPr>
          <w:rFonts w:ascii="Arial" w:eastAsia="Times New Roman" w:hAnsi="Arial" w:cs="Arial"/>
          <w:color w:val="000000" w:themeColor="text1"/>
          <w:sz w:val="24"/>
          <w:szCs w:val="24"/>
        </w:rPr>
        <w:t>As of November 30, 2018,</w:t>
      </w:r>
      <w:r w:rsidR="00E36E27">
        <w:rPr>
          <w:rFonts w:ascii="Arial" w:eastAsia="Times New Roman" w:hAnsi="Arial" w:cs="Arial"/>
          <w:color w:val="000000" w:themeColor="text1"/>
          <w:sz w:val="24"/>
          <w:szCs w:val="24"/>
        </w:rPr>
        <w:t xml:space="preserve"> Materials accounted for 2.6% of</w:t>
      </w:r>
      <w:r w:rsidRPr="00083184">
        <w:rPr>
          <w:rFonts w:ascii="Arial" w:eastAsia="Times New Roman" w:hAnsi="Arial" w:cs="Arial"/>
          <w:color w:val="000000" w:themeColor="text1"/>
          <w:sz w:val="24"/>
          <w:szCs w:val="24"/>
        </w:rPr>
        <w:t xml:space="preserve"> the S&amp;P 500 index. There are 11 sub-industry segments in this sector. Diversified Chemicals is the largest, representing approximately 28.8% of th</w:t>
      </w:r>
      <w:r w:rsidR="00E36E27">
        <w:rPr>
          <w:rFonts w:ascii="Arial" w:eastAsia="Times New Roman" w:hAnsi="Arial" w:cs="Arial"/>
          <w:color w:val="000000" w:themeColor="text1"/>
          <w:sz w:val="24"/>
          <w:szCs w:val="24"/>
        </w:rPr>
        <w:t>e sector's market value, while Metal &amp; Glass C</w:t>
      </w:r>
      <w:r w:rsidRPr="00083184">
        <w:rPr>
          <w:rFonts w:ascii="Arial" w:eastAsia="Times New Roman" w:hAnsi="Arial" w:cs="Arial"/>
          <w:color w:val="000000" w:themeColor="text1"/>
          <w:sz w:val="24"/>
          <w:szCs w:val="24"/>
        </w:rPr>
        <w:t xml:space="preserve">ontainers is the smallest, accounting for about 2.4% of the sector. The sector is projected to record a 31.1% </w:t>
      </w:r>
      <w:r w:rsidR="00FC0500" w:rsidRPr="00083184">
        <w:rPr>
          <w:rFonts w:ascii="Arial" w:eastAsia="Times New Roman" w:hAnsi="Arial" w:cs="Arial"/>
          <w:color w:val="000000" w:themeColor="text1"/>
          <w:sz w:val="24"/>
          <w:szCs w:val="24"/>
        </w:rPr>
        <w:t>year over year</w:t>
      </w:r>
      <w:r w:rsidRPr="00083184">
        <w:rPr>
          <w:rFonts w:ascii="Arial" w:eastAsia="Times New Roman" w:hAnsi="Arial" w:cs="Arial"/>
          <w:color w:val="000000" w:themeColor="text1"/>
          <w:sz w:val="24"/>
          <w:szCs w:val="24"/>
        </w:rPr>
        <w:t xml:space="preserve"> increase in operating earnings per share in 2018, as compared with the S&amp;P 500's estimated EPS gain of 22.2%. The sector's price-to-earnings ratio of 15.4x, based on</w:t>
      </w:r>
      <w:r w:rsidR="00E36E27">
        <w:rPr>
          <w:rFonts w:ascii="Arial" w:eastAsia="Times New Roman" w:hAnsi="Arial" w:cs="Arial"/>
          <w:color w:val="000000" w:themeColor="text1"/>
          <w:sz w:val="24"/>
          <w:szCs w:val="24"/>
        </w:rPr>
        <w:t xml:space="preserve"> the</w:t>
      </w:r>
      <w:r w:rsidRPr="00083184">
        <w:rPr>
          <w:rFonts w:ascii="Arial" w:eastAsia="Times New Roman" w:hAnsi="Arial" w:cs="Arial"/>
          <w:color w:val="000000" w:themeColor="text1"/>
          <w:sz w:val="24"/>
          <w:szCs w:val="24"/>
        </w:rPr>
        <w:t xml:space="preserve"> S&amp;P Capital IQ consensus </w:t>
      </w:r>
      <w:r w:rsidR="00E36E27">
        <w:rPr>
          <w:rFonts w:ascii="Arial" w:eastAsia="Times New Roman" w:hAnsi="Arial" w:cs="Arial"/>
          <w:color w:val="000000" w:themeColor="text1"/>
          <w:sz w:val="24"/>
          <w:szCs w:val="24"/>
        </w:rPr>
        <w:t xml:space="preserve">of the </w:t>
      </w:r>
      <w:r w:rsidRPr="00083184">
        <w:rPr>
          <w:rFonts w:ascii="Arial" w:eastAsia="Times New Roman" w:hAnsi="Arial" w:cs="Arial"/>
          <w:color w:val="000000" w:themeColor="text1"/>
          <w:sz w:val="24"/>
          <w:szCs w:val="24"/>
        </w:rPr>
        <w:t>next 12-month operating EPS estimates, is slightly lower the S&amp;P 500's forward P/E of 16.3x. The consensus long-term EPS growth estimate for this sector is 12% versus the S&amp;P 500's 13.0%, giving the sector a P/E-to-projected EPS growth rate (PEG) ratio of 1.3x, which is slightly higher than the broader market's PEG of 1.2x. This sector pays a dividend yield of 2.0% which is same for the S&amp;P 500.</w:t>
      </w:r>
    </w:p>
    <w:p w14:paraId="46CA37BD" w14:textId="77777777" w:rsidR="00E26B87" w:rsidRPr="00083184" w:rsidRDefault="00E26B87" w:rsidP="00E26B87">
      <w:pPr>
        <w:spacing w:after="0" w:line="240" w:lineRule="auto"/>
        <w:rPr>
          <w:rFonts w:ascii="Arial" w:eastAsia="Times New Roman" w:hAnsi="Arial" w:cs="Arial"/>
          <w:color w:val="000000" w:themeColor="text1"/>
          <w:sz w:val="24"/>
          <w:szCs w:val="24"/>
        </w:rPr>
      </w:pPr>
    </w:p>
    <w:p w14:paraId="4365F18A" w14:textId="77777777" w:rsidR="00D80E5B" w:rsidRPr="00083184" w:rsidRDefault="00D80E5B" w:rsidP="008E7375">
      <w:pPr>
        <w:spacing w:after="120" w:line="240" w:lineRule="auto"/>
        <w:jc w:val="both"/>
        <w:outlineLvl w:val="0"/>
        <w:rPr>
          <w:rFonts w:ascii="Arial" w:eastAsia="Times New Roman" w:hAnsi="Arial" w:cs="Arial"/>
          <w:i/>
          <w:iCs/>
          <w:color w:val="000000" w:themeColor="text1"/>
          <w:sz w:val="24"/>
          <w:szCs w:val="24"/>
        </w:rPr>
      </w:pPr>
    </w:p>
    <w:p w14:paraId="56C91870" w14:textId="1EFBF801" w:rsidR="00E26B87" w:rsidRPr="00083184" w:rsidRDefault="00E26B87" w:rsidP="008E7375">
      <w:pPr>
        <w:spacing w:after="120" w:line="240" w:lineRule="auto"/>
        <w:jc w:val="both"/>
        <w:outlineLvl w:val="0"/>
        <w:rPr>
          <w:rFonts w:ascii="Arial" w:eastAsia="Times New Roman" w:hAnsi="Arial" w:cs="Arial"/>
          <w:color w:val="000000" w:themeColor="text1"/>
          <w:sz w:val="24"/>
          <w:szCs w:val="24"/>
        </w:rPr>
      </w:pPr>
      <w:r w:rsidRPr="00083184">
        <w:rPr>
          <w:rFonts w:ascii="Arial" w:eastAsia="Times New Roman" w:hAnsi="Arial" w:cs="Arial"/>
          <w:i/>
          <w:iCs/>
          <w:color w:val="000000" w:themeColor="text1"/>
          <w:sz w:val="24"/>
          <w:szCs w:val="24"/>
        </w:rPr>
        <w:t>Outlook</w:t>
      </w:r>
    </w:p>
    <w:p w14:paraId="7BBB652A" w14:textId="3533A45D" w:rsidR="00E26B87" w:rsidRPr="00083184" w:rsidRDefault="00E26B87" w:rsidP="00E26B87">
      <w:pPr>
        <w:spacing w:after="0" w:line="240" w:lineRule="auto"/>
        <w:jc w:val="both"/>
        <w:rPr>
          <w:rFonts w:ascii="Arial" w:eastAsia="Times New Roman" w:hAnsi="Arial" w:cs="Arial"/>
          <w:color w:val="000000" w:themeColor="text1"/>
          <w:sz w:val="24"/>
          <w:szCs w:val="24"/>
        </w:rPr>
      </w:pPr>
      <w:r w:rsidRPr="00083184">
        <w:rPr>
          <w:rFonts w:ascii="Arial" w:eastAsia="Times New Roman" w:hAnsi="Arial" w:cs="Arial"/>
          <w:color w:val="000000" w:themeColor="text1"/>
          <w:sz w:val="24"/>
          <w:szCs w:val="24"/>
        </w:rPr>
        <w:t>Our outlook is negative as we see a structural change in the demand growth from China as the Chinese economy moves from commodity intensive towards consumer spending. In addition, the Industries within the sector</w:t>
      </w:r>
      <w:r w:rsidR="00E36E27">
        <w:rPr>
          <w:rFonts w:ascii="Arial" w:eastAsia="Times New Roman" w:hAnsi="Arial" w:cs="Arial"/>
          <w:color w:val="000000" w:themeColor="text1"/>
          <w:sz w:val="24"/>
          <w:szCs w:val="24"/>
        </w:rPr>
        <w:t xml:space="preserve"> continue be negatively impacted the strength of the </w:t>
      </w:r>
      <w:r w:rsidRPr="00083184">
        <w:rPr>
          <w:rFonts w:ascii="Arial" w:eastAsia="Times New Roman" w:hAnsi="Arial" w:cs="Arial"/>
          <w:color w:val="000000" w:themeColor="text1"/>
          <w:sz w:val="24"/>
          <w:szCs w:val="24"/>
        </w:rPr>
        <w:t>US Dollar, rising input costs, and weak demand for consumer durable goods. Potential tailwinds to this sector include higher levels of energy and commodity related investments and higher than expected capital expenditures driven by US tax reform.</w:t>
      </w:r>
    </w:p>
    <w:p w14:paraId="5F24EC59" w14:textId="77777777" w:rsidR="00E26B87" w:rsidRPr="00083184" w:rsidRDefault="00E26B87" w:rsidP="00E26B87">
      <w:pPr>
        <w:spacing w:after="0" w:line="240" w:lineRule="auto"/>
        <w:rPr>
          <w:rFonts w:ascii="Arial" w:eastAsia="Times New Roman" w:hAnsi="Arial" w:cs="Arial"/>
          <w:color w:val="000000" w:themeColor="text1"/>
          <w:sz w:val="24"/>
          <w:szCs w:val="24"/>
        </w:rPr>
      </w:pPr>
    </w:p>
    <w:p w14:paraId="268C0859" w14:textId="77777777" w:rsidR="00E26B87" w:rsidRPr="00083184" w:rsidRDefault="00E26B87" w:rsidP="008E7375">
      <w:pPr>
        <w:spacing w:line="240" w:lineRule="auto"/>
        <w:jc w:val="both"/>
        <w:outlineLvl w:val="0"/>
        <w:rPr>
          <w:rFonts w:ascii="Arial" w:eastAsia="Times New Roman" w:hAnsi="Arial" w:cs="Arial"/>
          <w:color w:val="000000" w:themeColor="text1"/>
          <w:sz w:val="24"/>
          <w:szCs w:val="24"/>
        </w:rPr>
      </w:pPr>
      <w:r w:rsidRPr="00083184">
        <w:rPr>
          <w:rFonts w:ascii="Arial" w:eastAsia="Times New Roman" w:hAnsi="Arial" w:cs="Arial"/>
          <w:color w:val="000000" w:themeColor="text1"/>
          <w:sz w:val="24"/>
          <w:szCs w:val="24"/>
        </w:rPr>
        <w:t>Current holdings: International Flavors and Fragrances (IFF)</w:t>
      </w:r>
    </w:p>
    <w:p w14:paraId="6528F507" w14:textId="77777777" w:rsidR="00E26B87" w:rsidRPr="00083184" w:rsidRDefault="00E26B87" w:rsidP="00E26B87">
      <w:pPr>
        <w:rPr>
          <w:rFonts w:ascii="Arial" w:eastAsia="Arial" w:hAnsi="Arial" w:cs="Arial"/>
          <w:b/>
          <w:color w:val="000000" w:themeColor="text1"/>
          <w:sz w:val="24"/>
          <w:szCs w:val="24"/>
          <w:u w:val="single"/>
        </w:rPr>
      </w:pPr>
    </w:p>
    <w:p w14:paraId="6F4CFE4F" w14:textId="77777777" w:rsidR="00E26B87" w:rsidRPr="00083184" w:rsidRDefault="00E26B87" w:rsidP="008E7375">
      <w:pPr>
        <w:outlineLvl w:val="0"/>
        <w:rPr>
          <w:rFonts w:ascii="Arial" w:eastAsia="Arial" w:hAnsi="Arial" w:cs="Arial"/>
          <w:b/>
          <w:color w:val="000000" w:themeColor="text1"/>
          <w:sz w:val="24"/>
          <w:szCs w:val="24"/>
        </w:rPr>
      </w:pPr>
      <w:r w:rsidRPr="00083184">
        <w:rPr>
          <w:rFonts w:ascii="Arial" w:eastAsia="Arial" w:hAnsi="Arial" w:cs="Arial"/>
          <w:b/>
          <w:color w:val="000000" w:themeColor="text1"/>
          <w:sz w:val="24"/>
          <w:szCs w:val="24"/>
        </w:rPr>
        <w:t xml:space="preserve">Utilities </w:t>
      </w:r>
    </w:p>
    <w:p w14:paraId="77C504B2" w14:textId="34A38905" w:rsidR="00E26B87" w:rsidRPr="00083184" w:rsidRDefault="00E26B87" w:rsidP="00E26B87">
      <w:pPr>
        <w:pBdr>
          <w:top w:val="nil"/>
          <w:left w:val="nil"/>
          <w:bottom w:val="nil"/>
          <w:right w:val="nil"/>
          <w:between w:val="nil"/>
        </w:pBdr>
        <w:spacing w:after="0" w:line="240" w:lineRule="auto"/>
        <w:jc w:val="both"/>
        <w:rPr>
          <w:rFonts w:ascii="Arial" w:eastAsia="Arial" w:hAnsi="Arial" w:cs="Arial"/>
          <w:color w:val="000000" w:themeColor="text1"/>
          <w:sz w:val="24"/>
          <w:szCs w:val="24"/>
        </w:rPr>
      </w:pPr>
      <w:r w:rsidRPr="00083184">
        <w:rPr>
          <w:rFonts w:ascii="Arial" w:eastAsia="Arial" w:hAnsi="Arial" w:cs="Arial"/>
          <w:color w:val="000000" w:themeColor="text1"/>
          <w:sz w:val="24"/>
          <w:szCs w:val="24"/>
        </w:rPr>
        <w:t>As of November 30, 2018,</w:t>
      </w:r>
      <w:r w:rsidR="00E36E27">
        <w:rPr>
          <w:rFonts w:ascii="Arial" w:eastAsia="Arial" w:hAnsi="Arial" w:cs="Arial"/>
          <w:color w:val="000000" w:themeColor="text1"/>
          <w:sz w:val="24"/>
          <w:szCs w:val="24"/>
        </w:rPr>
        <w:t xml:space="preserve"> Utilities accounted for 3.1% of</w:t>
      </w:r>
      <w:r w:rsidRPr="00083184">
        <w:rPr>
          <w:rFonts w:ascii="Arial" w:eastAsia="Arial" w:hAnsi="Arial" w:cs="Arial"/>
          <w:color w:val="000000" w:themeColor="text1"/>
          <w:sz w:val="24"/>
          <w:szCs w:val="24"/>
        </w:rPr>
        <w:t xml:space="preserve"> the S&amp;P 500 index. There are four sub-industry segments in thi</w:t>
      </w:r>
      <w:r w:rsidR="00E36E27">
        <w:rPr>
          <w:rFonts w:ascii="Arial" w:eastAsia="Arial" w:hAnsi="Arial" w:cs="Arial"/>
          <w:color w:val="000000" w:themeColor="text1"/>
          <w:sz w:val="24"/>
          <w:szCs w:val="24"/>
        </w:rPr>
        <w:t xml:space="preserve">s sector. Electric utilities is </w:t>
      </w:r>
      <w:r w:rsidRPr="00083184">
        <w:rPr>
          <w:rFonts w:ascii="Arial" w:eastAsia="Arial" w:hAnsi="Arial" w:cs="Arial"/>
          <w:color w:val="000000" w:themeColor="text1"/>
          <w:sz w:val="24"/>
          <w:szCs w:val="24"/>
        </w:rPr>
        <w:t>the largest, representing around 62% of th</w:t>
      </w:r>
      <w:r w:rsidR="00E36E27">
        <w:rPr>
          <w:rFonts w:ascii="Arial" w:eastAsia="Arial" w:hAnsi="Arial" w:cs="Arial"/>
          <w:color w:val="000000" w:themeColor="text1"/>
          <w:sz w:val="24"/>
          <w:szCs w:val="24"/>
        </w:rPr>
        <w:t>e sector's market value, while water u</w:t>
      </w:r>
      <w:r w:rsidRPr="00083184">
        <w:rPr>
          <w:rFonts w:ascii="Arial" w:eastAsia="Arial" w:hAnsi="Arial" w:cs="Arial"/>
          <w:color w:val="000000" w:themeColor="text1"/>
          <w:sz w:val="24"/>
          <w:szCs w:val="24"/>
        </w:rPr>
        <w:t xml:space="preserve">tilities is the smallest, accounting for 2.3% of the sector. The sector is projected to record a 5.4% </w:t>
      </w:r>
      <w:r w:rsidR="00FC0500" w:rsidRPr="00083184">
        <w:rPr>
          <w:rFonts w:ascii="Arial" w:eastAsia="Arial" w:hAnsi="Arial" w:cs="Arial"/>
          <w:color w:val="000000" w:themeColor="text1"/>
          <w:sz w:val="24"/>
          <w:szCs w:val="24"/>
        </w:rPr>
        <w:t>year over year</w:t>
      </w:r>
      <w:r w:rsidRPr="00083184">
        <w:rPr>
          <w:rFonts w:ascii="Arial" w:eastAsia="Arial" w:hAnsi="Arial" w:cs="Arial"/>
          <w:color w:val="000000" w:themeColor="text1"/>
          <w:sz w:val="24"/>
          <w:szCs w:val="24"/>
        </w:rPr>
        <w:t xml:space="preserve"> increase in operating earnings per share in 2018, as compared with the S&amp;P 500's estimated EPS gain of 22.2%. The sector's price-to-earnings ratio of 16.3x, based on consensus </w:t>
      </w:r>
      <w:r w:rsidR="00E36E27">
        <w:rPr>
          <w:rFonts w:ascii="Arial" w:eastAsia="Arial" w:hAnsi="Arial" w:cs="Arial"/>
          <w:color w:val="000000" w:themeColor="text1"/>
          <w:sz w:val="24"/>
          <w:szCs w:val="24"/>
        </w:rPr>
        <w:t xml:space="preserve">of the </w:t>
      </w:r>
      <w:r w:rsidRPr="00083184">
        <w:rPr>
          <w:rFonts w:ascii="Arial" w:eastAsia="Arial" w:hAnsi="Arial" w:cs="Arial"/>
          <w:color w:val="000000" w:themeColor="text1"/>
          <w:sz w:val="24"/>
          <w:szCs w:val="24"/>
        </w:rPr>
        <w:t>next twelve-month operating EPS estimates, is equal to the S&amp;P 500's forward P/E of 16.3x. The consensus long-term EPS growth estimate for this sector is 7.0% versus the S&amp;P 500's 13%, giving the sector a P/E-to-projected EPS growth rate (PEG) ratio of 2.3x, which is significantly above the broader market's PEG of 1.2x. This sector pays a dividend yield of 3.7%, as compared with the yield of 2.0% for the S&amp;P 500.</w:t>
      </w:r>
    </w:p>
    <w:p w14:paraId="5C52255C" w14:textId="77777777" w:rsidR="00E26B87" w:rsidRPr="00083184" w:rsidRDefault="00E26B87" w:rsidP="00E26B87">
      <w:pPr>
        <w:rPr>
          <w:rFonts w:ascii="Arial" w:eastAsia="Arial" w:hAnsi="Arial" w:cs="Arial"/>
          <w:color w:val="000000" w:themeColor="text1"/>
          <w:sz w:val="24"/>
          <w:szCs w:val="24"/>
        </w:rPr>
      </w:pPr>
    </w:p>
    <w:p w14:paraId="56702EA2" w14:textId="77777777" w:rsidR="00E26B87" w:rsidRPr="00083184" w:rsidRDefault="00E26B87" w:rsidP="008E7375">
      <w:pPr>
        <w:pBdr>
          <w:top w:val="nil"/>
          <w:left w:val="nil"/>
          <w:bottom w:val="nil"/>
          <w:right w:val="nil"/>
          <w:between w:val="nil"/>
        </w:pBdr>
        <w:spacing w:after="120" w:line="240" w:lineRule="auto"/>
        <w:jc w:val="both"/>
        <w:outlineLvl w:val="0"/>
        <w:rPr>
          <w:rFonts w:ascii="Arial" w:eastAsia="Arial" w:hAnsi="Arial" w:cs="Arial"/>
          <w:i/>
          <w:color w:val="000000" w:themeColor="text1"/>
          <w:sz w:val="24"/>
          <w:szCs w:val="24"/>
        </w:rPr>
      </w:pPr>
      <w:r w:rsidRPr="00083184">
        <w:rPr>
          <w:rFonts w:ascii="Arial" w:eastAsia="Arial" w:hAnsi="Arial" w:cs="Arial"/>
          <w:i/>
          <w:color w:val="000000" w:themeColor="text1"/>
          <w:sz w:val="24"/>
          <w:szCs w:val="24"/>
        </w:rPr>
        <w:t>Outlook</w:t>
      </w:r>
    </w:p>
    <w:p w14:paraId="28B9F27E" w14:textId="3C62FFE7" w:rsidR="00E26B87" w:rsidRPr="00083184" w:rsidRDefault="00E26B87" w:rsidP="00E26B87">
      <w:pPr>
        <w:pBdr>
          <w:top w:val="nil"/>
          <w:left w:val="nil"/>
          <w:bottom w:val="nil"/>
          <w:right w:val="nil"/>
          <w:between w:val="nil"/>
        </w:pBdr>
        <w:spacing w:after="0" w:line="240" w:lineRule="auto"/>
        <w:jc w:val="both"/>
        <w:rPr>
          <w:rFonts w:ascii="Arial" w:eastAsia="Arial" w:hAnsi="Arial" w:cs="Arial"/>
          <w:color w:val="000000" w:themeColor="text1"/>
          <w:sz w:val="24"/>
          <w:szCs w:val="24"/>
        </w:rPr>
      </w:pPr>
      <w:r w:rsidRPr="00083184">
        <w:rPr>
          <w:rFonts w:ascii="Arial" w:eastAsia="Arial" w:hAnsi="Arial" w:cs="Arial"/>
          <w:color w:val="000000" w:themeColor="text1"/>
          <w:sz w:val="24"/>
          <w:szCs w:val="24"/>
        </w:rPr>
        <w:t>We did not invest in this sector.</w:t>
      </w:r>
      <w:r w:rsidR="00271340">
        <w:rPr>
          <w:rFonts w:ascii="Arial" w:eastAsia="Arial" w:hAnsi="Arial" w:cs="Arial"/>
          <w:color w:val="000000" w:themeColor="text1"/>
          <w:sz w:val="24"/>
          <w:szCs w:val="24"/>
        </w:rPr>
        <w:t xml:space="preserve"> The major reason being that</w:t>
      </w:r>
      <w:r w:rsidRPr="00083184">
        <w:rPr>
          <w:rFonts w:ascii="Arial" w:eastAsia="Arial" w:hAnsi="Arial" w:cs="Arial"/>
          <w:color w:val="000000" w:themeColor="text1"/>
          <w:sz w:val="24"/>
          <w:szCs w:val="24"/>
        </w:rPr>
        <w:t xml:space="preserve"> we are still in</w:t>
      </w:r>
      <w:r w:rsidR="00271340">
        <w:rPr>
          <w:rFonts w:ascii="Arial" w:eastAsia="Arial" w:hAnsi="Arial" w:cs="Arial"/>
          <w:color w:val="000000" w:themeColor="text1"/>
          <w:sz w:val="24"/>
          <w:szCs w:val="24"/>
        </w:rPr>
        <w:t xml:space="preserve"> a</w:t>
      </w:r>
      <w:r w:rsidRPr="00083184">
        <w:rPr>
          <w:rFonts w:ascii="Arial" w:eastAsia="Arial" w:hAnsi="Arial" w:cs="Arial"/>
          <w:color w:val="000000" w:themeColor="text1"/>
          <w:sz w:val="24"/>
          <w:szCs w:val="24"/>
        </w:rPr>
        <w:t xml:space="preserve"> rising </w:t>
      </w:r>
      <w:r w:rsidR="00271340">
        <w:rPr>
          <w:rFonts w:ascii="Arial" w:eastAsia="Arial" w:hAnsi="Arial" w:cs="Arial"/>
          <w:color w:val="000000" w:themeColor="text1"/>
          <w:sz w:val="24"/>
          <w:szCs w:val="24"/>
        </w:rPr>
        <w:t>interest rate environment. S</w:t>
      </w:r>
      <w:r w:rsidRPr="00083184">
        <w:rPr>
          <w:rFonts w:ascii="Arial" w:eastAsia="Arial" w:hAnsi="Arial" w:cs="Arial"/>
          <w:color w:val="000000" w:themeColor="text1"/>
          <w:sz w:val="24"/>
          <w:szCs w:val="24"/>
        </w:rPr>
        <w:t>ensitive economic indicators such as Housi</w:t>
      </w:r>
      <w:r w:rsidR="00271340">
        <w:rPr>
          <w:rFonts w:ascii="Arial" w:eastAsia="Arial" w:hAnsi="Arial" w:cs="Arial"/>
          <w:color w:val="000000" w:themeColor="text1"/>
          <w:sz w:val="24"/>
          <w:szCs w:val="24"/>
        </w:rPr>
        <w:t>ng Starts, Electric Consumption</w:t>
      </w:r>
      <w:r w:rsidRPr="00083184">
        <w:rPr>
          <w:rFonts w:ascii="Arial" w:eastAsia="Arial" w:hAnsi="Arial" w:cs="Arial"/>
          <w:color w:val="000000" w:themeColor="text1"/>
          <w:sz w:val="24"/>
          <w:szCs w:val="24"/>
        </w:rPr>
        <w:t xml:space="preserve">, </w:t>
      </w:r>
      <w:r w:rsidR="00271340">
        <w:rPr>
          <w:rFonts w:ascii="Arial" w:eastAsia="Arial" w:hAnsi="Arial" w:cs="Arial"/>
          <w:color w:val="000000" w:themeColor="text1"/>
          <w:sz w:val="24"/>
          <w:szCs w:val="24"/>
        </w:rPr>
        <w:t xml:space="preserve">and the </w:t>
      </w:r>
      <w:r w:rsidRPr="00083184">
        <w:rPr>
          <w:rFonts w:ascii="Arial" w:eastAsia="Arial" w:hAnsi="Arial" w:cs="Arial"/>
          <w:color w:val="000000" w:themeColor="text1"/>
          <w:sz w:val="24"/>
          <w:szCs w:val="24"/>
        </w:rPr>
        <w:t>Industrial Production Index are not showing sig</w:t>
      </w:r>
      <w:r w:rsidR="00271340">
        <w:rPr>
          <w:rFonts w:ascii="Arial" w:eastAsia="Arial" w:hAnsi="Arial" w:cs="Arial"/>
          <w:color w:val="000000" w:themeColor="text1"/>
          <w:sz w:val="24"/>
          <w:szCs w:val="24"/>
        </w:rPr>
        <w:t xml:space="preserve">ns of steady growth. Also, given the </w:t>
      </w:r>
      <w:r w:rsidRPr="00083184">
        <w:rPr>
          <w:rFonts w:ascii="Arial" w:eastAsia="Arial" w:hAnsi="Arial" w:cs="Arial"/>
          <w:color w:val="000000" w:themeColor="text1"/>
          <w:sz w:val="24"/>
          <w:szCs w:val="24"/>
        </w:rPr>
        <w:t xml:space="preserve">rising interest rate environment, </w:t>
      </w:r>
      <w:r w:rsidR="00271340">
        <w:rPr>
          <w:rFonts w:ascii="Arial" w:eastAsia="Arial" w:hAnsi="Arial" w:cs="Arial"/>
          <w:color w:val="000000" w:themeColor="text1"/>
          <w:sz w:val="24"/>
          <w:szCs w:val="24"/>
        </w:rPr>
        <w:t>the U</w:t>
      </w:r>
      <w:r w:rsidRPr="00083184">
        <w:rPr>
          <w:rFonts w:ascii="Arial" w:eastAsia="Arial" w:hAnsi="Arial" w:cs="Arial"/>
          <w:color w:val="000000" w:themeColor="text1"/>
          <w:sz w:val="24"/>
          <w:szCs w:val="24"/>
        </w:rPr>
        <w:t xml:space="preserve">tilities sector tends to trade at a discount to other industries. This is due to </w:t>
      </w:r>
      <w:r w:rsidR="00271340">
        <w:rPr>
          <w:rFonts w:ascii="Arial" w:eastAsia="Arial" w:hAnsi="Arial" w:cs="Arial"/>
          <w:color w:val="000000" w:themeColor="text1"/>
          <w:sz w:val="24"/>
          <w:szCs w:val="24"/>
        </w:rPr>
        <w:t xml:space="preserve">a </w:t>
      </w:r>
      <w:r w:rsidRPr="00083184">
        <w:rPr>
          <w:rFonts w:ascii="Arial" w:eastAsia="Arial" w:hAnsi="Arial" w:cs="Arial"/>
          <w:color w:val="000000" w:themeColor="text1"/>
          <w:sz w:val="24"/>
          <w:szCs w:val="24"/>
        </w:rPr>
        <w:t>higher c</w:t>
      </w:r>
      <w:r w:rsidR="00271340">
        <w:rPr>
          <w:rFonts w:ascii="Arial" w:eastAsia="Arial" w:hAnsi="Arial" w:cs="Arial"/>
          <w:color w:val="000000" w:themeColor="text1"/>
          <w:sz w:val="24"/>
          <w:szCs w:val="24"/>
        </w:rPr>
        <w:t>ost of</w:t>
      </w:r>
      <w:r w:rsidRPr="00083184">
        <w:rPr>
          <w:rFonts w:ascii="Arial" w:eastAsia="Arial" w:hAnsi="Arial" w:cs="Arial"/>
          <w:color w:val="000000" w:themeColor="text1"/>
          <w:sz w:val="24"/>
          <w:szCs w:val="24"/>
        </w:rPr>
        <w:t xml:space="preserve"> debt as these companies tend to have a </w:t>
      </w:r>
      <w:r w:rsidR="00271340">
        <w:rPr>
          <w:rFonts w:ascii="Arial" w:eastAsia="Arial" w:hAnsi="Arial" w:cs="Arial"/>
          <w:color w:val="000000" w:themeColor="text1"/>
          <w:sz w:val="24"/>
          <w:szCs w:val="24"/>
        </w:rPr>
        <w:t>higher debt to market cap level. This is also due to the diminishing</w:t>
      </w:r>
      <w:r w:rsidRPr="00083184">
        <w:rPr>
          <w:rFonts w:ascii="Arial" w:eastAsia="Arial" w:hAnsi="Arial" w:cs="Arial"/>
          <w:color w:val="000000" w:themeColor="text1"/>
          <w:sz w:val="24"/>
          <w:szCs w:val="24"/>
        </w:rPr>
        <w:t xml:space="preserve"> competit</w:t>
      </w:r>
      <w:r w:rsidR="00271340">
        <w:rPr>
          <w:rFonts w:ascii="Arial" w:eastAsia="Arial" w:hAnsi="Arial" w:cs="Arial"/>
          <w:color w:val="000000" w:themeColor="text1"/>
          <w:sz w:val="24"/>
          <w:szCs w:val="24"/>
        </w:rPr>
        <w:t>iveness of bonds</w:t>
      </w:r>
      <w:r w:rsidRPr="00083184">
        <w:rPr>
          <w:rFonts w:ascii="Arial" w:eastAsia="Arial" w:hAnsi="Arial" w:cs="Arial"/>
          <w:color w:val="000000" w:themeColor="text1"/>
          <w:sz w:val="24"/>
          <w:szCs w:val="24"/>
        </w:rPr>
        <w:t>.</w:t>
      </w:r>
    </w:p>
    <w:p w14:paraId="009885FF" w14:textId="77777777" w:rsidR="00E26B87" w:rsidRPr="00083184" w:rsidRDefault="00E26B87" w:rsidP="00E26B87">
      <w:pPr>
        <w:rPr>
          <w:rFonts w:ascii="Arial" w:eastAsia="Arial" w:hAnsi="Arial" w:cs="Arial"/>
          <w:b/>
          <w:color w:val="000000" w:themeColor="text1"/>
          <w:sz w:val="24"/>
          <w:szCs w:val="24"/>
          <w:u w:val="single"/>
        </w:rPr>
      </w:pPr>
    </w:p>
    <w:p w14:paraId="76594048" w14:textId="77777777" w:rsidR="00E26B87" w:rsidRPr="00083184" w:rsidRDefault="00E26B87" w:rsidP="00E26B87">
      <w:pPr>
        <w:pBdr>
          <w:top w:val="nil"/>
          <w:left w:val="nil"/>
          <w:bottom w:val="nil"/>
          <w:right w:val="nil"/>
          <w:between w:val="nil"/>
        </w:pBdr>
        <w:spacing w:after="120" w:line="240" w:lineRule="auto"/>
        <w:jc w:val="both"/>
        <w:rPr>
          <w:rFonts w:ascii="Arial" w:eastAsia="Arial" w:hAnsi="Arial" w:cs="Arial"/>
          <w:b/>
          <w:color w:val="000000" w:themeColor="text1"/>
          <w:sz w:val="24"/>
          <w:szCs w:val="24"/>
        </w:rPr>
      </w:pPr>
    </w:p>
    <w:p w14:paraId="5903F049" w14:textId="77777777" w:rsidR="00E26B87" w:rsidRPr="00083184" w:rsidRDefault="00E26B87" w:rsidP="008E7375">
      <w:pPr>
        <w:pBdr>
          <w:top w:val="nil"/>
          <w:left w:val="nil"/>
          <w:bottom w:val="nil"/>
          <w:right w:val="nil"/>
          <w:between w:val="nil"/>
        </w:pBdr>
        <w:spacing w:after="120" w:line="240" w:lineRule="auto"/>
        <w:jc w:val="both"/>
        <w:outlineLvl w:val="0"/>
        <w:rPr>
          <w:rFonts w:ascii="Arial" w:eastAsia="Arial" w:hAnsi="Arial" w:cs="Arial"/>
          <w:b/>
          <w:color w:val="000000" w:themeColor="text1"/>
          <w:sz w:val="24"/>
          <w:szCs w:val="24"/>
        </w:rPr>
      </w:pPr>
      <w:r w:rsidRPr="00083184">
        <w:rPr>
          <w:rFonts w:ascii="Arial" w:eastAsia="Arial" w:hAnsi="Arial" w:cs="Arial"/>
          <w:b/>
          <w:color w:val="000000" w:themeColor="text1"/>
          <w:sz w:val="24"/>
          <w:szCs w:val="24"/>
        </w:rPr>
        <w:t>Real Estate</w:t>
      </w:r>
    </w:p>
    <w:p w14:paraId="0725F5B7" w14:textId="7266C59B" w:rsidR="00E62DD2" w:rsidRPr="00083184" w:rsidRDefault="00E26B87" w:rsidP="00E26B87">
      <w:pPr>
        <w:pStyle w:val="Title"/>
        <w:contextualSpacing w:val="0"/>
        <w:jc w:val="both"/>
        <w:rPr>
          <w:rFonts w:ascii="Arial" w:eastAsia="Arial" w:hAnsi="Arial" w:cs="Arial"/>
          <w:color w:val="000000" w:themeColor="text1"/>
          <w:sz w:val="24"/>
          <w:szCs w:val="24"/>
        </w:rPr>
      </w:pPr>
      <w:r w:rsidRPr="00083184">
        <w:rPr>
          <w:rFonts w:ascii="Arial" w:eastAsia="Arial" w:hAnsi="Arial" w:cs="Arial"/>
          <w:color w:val="000000" w:themeColor="text1"/>
          <w:sz w:val="24"/>
          <w:szCs w:val="24"/>
        </w:rPr>
        <w:t xml:space="preserve">As of November 30, 2018, Real Estate accounted for 2.9% of the S&amp;P 500 index. There are nine sub-industries in this sector. Specialized REITs is the largest, representing 40.1% of the sector's market value, while real estate services is the smallest, accounting for 2.0% of the sector. According to S&amp;P Capital IQ consensus estimates, the sector is projected to record a 7.6% </w:t>
      </w:r>
      <w:r w:rsidR="00FC0500" w:rsidRPr="00083184">
        <w:rPr>
          <w:rFonts w:ascii="Arial" w:eastAsia="Arial" w:hAnsi="Arial" w:cs="Arial"/>
          <w:color w:val="000000" w:themeColor="text1"/>
          <w:sz w:val="24"/>
          <w:szCs w:val="24"/>
        </w:rPr>
        <w:t>year over year</w:t>
      </w:r>
      <w:r w:rsidRPr="00083184">
        <w:rPr>
          <w:rFonts w:ascii="Arial" w:eastAsia="Arial" w:hAnsi="Arial" w:cs="Arial"/>
          <w:color w:val="000000" w:themeColor="text1"/>
          <w:sz w:val="24"/>
          <w:szCs w:val="24"/>
        </w:rPr>
        <w:t xml:space="preserve"> gain in operating earnings per share in 2018, as compared with the S&amp;P 500's estimated EPS increase of 22.2%. In addition, revenues for the sector are forecast to increase by 9.4% in 2018 versus the S&amp;P 500's projected rise of 8.7%. The sector's price-to-earnings ratio of 37.0x, based on S&amp;P Capital IQ consensus </w:t>
      </w:r>
      <w:r w:rsidR="004D0C7D" w:rsidRPr="00083184">
        <w:rPr>
          <w:rFonts w:ascii="Arial" w:eastAsia="Arial" w:hAnsi="Arial" w:cs="Arial"/>
          <w:color w:val="000000" w:themeColor="text1"/>
          <w:sz w:val="24"/>
          <w:szCs w:val="24"/>
        </w:rPr>
        <w:t xml:space="preserve">of the </w:t>
      </w:r>
      <w:r w:rsidRPr="00083184">
        <w:rPr>
          <w:rFonts w:ascii="Arial" w:eastAsia="Arial" w:hAnsi="Arial" w:cs="Arial"/>
          <w:color w:val="000000" w:themeColor="text1"/>
          <w:sz w:val="24"/>
          <w:szCs w:val="24"/>
        </w:rPr>
        <w:t>next 12-month operating EPS estimates, is well above the S&amp;P 500's forward P/E of 16.3x. S&amp;P Capital IQ also reports that the S&amp;P Capital IQ consensus long-term EPS growth estimate for this sector is 8.7% versus the S&amp;P 500's 13%, giving the sector a P/E-to-projected EPS growth rate (PEG) ratio of 4.2X, which is well above the broader market's PEG of 1.2X. Finally, this sector pays a dividend yield of 3.7%, as compared with the yield of 2.0% for the S&amp;P 500.</w:t>
      </w:r>
      <w:r w:rsidR="00E30C54" w:rsidRPr="00083184">
        <w:rPr>
          <w:rFonts w:ascii="Arial" w:eastAsia="Arial" w:hAnsi="Arial" w:cs="Arial"/>
          <w:color w:val="000000" w:themeColor="text1"/>
          <w:sz w:val="24"/>
          <w:szCs w:val="24"/>
        </w:rPr>
        <w:t xml:space="preserve"> </w:t>
      </w:r>
    </w:p>
    <w:p w14:paraId="379ACEA7" w14:textId="77777777" w:rsidR="004D0C7D" w:rsidRPr="00083184" w:rsidRDefault="004D0C7D" w:rsidP="008E7375">
      <w:pPr>
        <w:outlineLvl w:val="0"/>
        <w:rPr>
          <w:rFonts w:ascii="Arial" w:eastAsia="Arial" w:hAnsi="Arial" w:cs="Arial"/>
          <w:b/>
          <w:color w:val="000000" w:themeColor="text1"/>
          <w:sz w:val="24"/>
          <w:szCs w:val="24"/>
          <w:u w:val="single"/>
        </w:rPr>
      </w:pPr>
    </w:p>
    <w:p w14:paraId="5E1265E3" w14:textId="3A7863D6" w:rsidR="00111801" w:rsidRPr="00083184" w:rsidRDefault="00E26B87" w:rsidP="008E7375">
      <w:pPr>
        <w:outlineLvl w:val="0"/>
        <w:rPr>
          <w:rFonts w:ascii="Arial" w:hAnsi="Arial" w:cs="Arial"/>
          <w:i/>
          <w:color w:val="000000" w:themeColor="text1"/>
          <w:sz w:val="24"/>
          <w:szCs w:val="24"/>
        </w:rPr>
      </w:pPr>
      <w:r w:rsidRPr="00083184">
        <w:rPr>
          <w:rFonts w:ascii="Arial" w:hAnsi="Arial" w:cs="Arial"/>
          <w:i/>
          <w:color w:val="000000" w:themeColor="text1"/>
          <w:sz w:val="24"/>
          <w:szCs w:val="24"/>
        </w:rPr>
        <w:t>Outlook</w:t>
      </w:r>
    </w:p>
    <w:p w14:paraId="02DB92D4" w14:textId="327BE054" w:rsidR="00BD3E0D" w:rsidRPr="00083184" w:rsidRDefault="00111801" w:rsidP="006C51E1">
      <w:pPr>
        <w:jc w:val="both"/>
        <w:rPr>
          <w:rFonts w:ascii="Arial" w:eastAsia="Arial" w:hAnsi="Arial" w:cs="Arial"/>
          <w:color w:val="000000" w:themeColor="text1"/>
          <w:sz w:val="24"/>
          <w:szCs w:val="24"/>
        </w:rPr>
      </w:pPr>
      <w:r w:rsidRPr="00083184">
        <w:rPr>
          <w:rFonts w:ascii="Arial" w:eastAsia="Arial" w:hAnsi="Arial" w:cs="Arial"/>
          <w:color w:val="000000" w:themeColor="text1"/>
          <w:sz w:val="24"/>
          <w:szCs w:val="24"/>
        </w:rPr>
        <w:t xml:space="preserve">The macro environment </w:t>
      </w:r>
      <w:r w:rsidR="004D0C7D" w:rsidRPr="00083184">
        <w:rPr>
          <w:rFonts w:ascii="Arial" w:eastAsia="Arial" w:hAnsi="Arial" w:cs="Arial"/>
          <w:color w:val="000000" w:themeColor="text1"/>
          <w:sz w:val="24"/>
          <w:szCs w:val="24"/>
        </w:rPr>
        <w:t>looks positive for REITs. S</w:t>
      </w:r>
      <w:r w:rsidRPr="00083184">
        <w:rPr>
          <w:rFonts w:ascii="Arial" w:eastAsia="Arial" w:hAnsi="Arial" w:cs="Arial"/>
          <w:color w:val="000000" w:themeColor="text1"/>
          <w:sz w:val="24"/>
          <w:szCs w:val="24"/>
        </w:rPr>
        <w:t>teady economic and job growth translates into incremental demand for commercial real estate, yet the macro economy is not improving enough for developers to aggressively add incremental supply to commercial real estate stock. However,</w:t>
      </w:r>
      <w:r w:rsidR="00A10169" w:rsidRPr="00083184">
        <w:rPr>
          <w:rFonts w:ascii="Arial" w:eastAsia="Arial" w:hAnsi="Arial" w:cs="Arial"/>
          <w:color w:val="000000" w:themeColor="text1"/>
          <w:sz w:val="24"/>
          <w:szCs w:val="24"/>
        </w:rPr>
        <w:t xml:space="preserve"> risks</w:t>
      </w:r>
      <w:r w:rsidRPr="00083184">
        <w:rPr>
          <w:rFonts w:ascii="Arial" w:eastAsia="Arial" w:hAnsi="Arial" w:cs="Arial"/>
          <w:color w:val="000000" w:themeColor="text1"/>
          <w:sz w:val="24"/>
          <w:szCs w:val="24"/>
        </w:rPr>
        <w:t xml:space="preserve"> to REIT valuations </w:t>
      </w:r>
      <w:r w:rsidR="00A10169" w:rsidRPr="00083184">
        <w:rPr>
          <w:rFonts w:ascii="Arial" w:eastAsia="Arial" w:hAnsi="Arial" w:cs="Arial"/>
          <w:color w:val="000000" w:themeColor="text1"/>
          <w:sz w:val="24"/>
          <w:szCs w:val="24"/>
        </w:rPr>
        <w:t xml:space="preserve">include </w:t>
      </w:r>
      <w:r w:rsidRPr="00083184">
        <w:rPr>
          <w:rFonts w:ascii="Arial" w:eastAsia="Arial" w:hAnsi="Arial" w:cs="Arial"/>
          <w:color w:val="000000" w:themeColor="text1"/>
          <w:sz w:val="24"/>
          <w:szCs w:val="24"/>
        </w:rPr>
        <w:t>rising interest rates</w:t>
      </w:r>
      <w:r w:rsidR="00A10169" w:rsidRPr="00083184">
        <w:rPr>
          <w:rFonts w:ascii="Arial" w:eastAsia="Arial" w:hAnsi="Arial" w:cs="Arial"/>
          <w:color w:val="000000" w:themeColor="text1"/>
          <w:sz w:val="24"/>
          <w:szCs w:val="24"/>
        </w:rPr>
        <w:t xml:space="preserve"> as well as a</w:t>
      </w:r>
      <w:r w:rsidR="00BD3E0D" w:rsidRPr="00083184">
        <w:rPr>
          <w:rFonts w:ascii="Arial" w:eastAsia="Arial" w:hAnsi="Arial" w:cs="Arial"/>
          <w:color w:val="000000" w:themeColor="text1"/>
          <w:sz w:val="24"/>
          <w:szCs w:val="24"/>
        </w:rPr>
        <w:t xml:space="preserve"> relatively negative outlook for brick-and-mortar retailers.</w:t>
      </w:r>
    </w:p>
    <w:p w14:paraId="7FE2F1C5" w14:textId="38929741" w:rsidR="00E62DD2" w:rsidRPr="00083184" w:rsidRDefault="00E62DD2" w:rsidP="00BD3E0D">
      <w:pPr>
        <w:rPr>
          <w:rFonts w:ascii="Arial" w:eastAsia="Arial" w:hAnsi="Arial" w:cs="Arial"/>
          <w:color w:val="000000" w:themeColor="text1"/>
          <w:sz w:val="24"/>
          <w:szCs w:val="24"/>
        </w:rPr>
      </w:pPr>
    </w:p>
    <w:p w14:paraId="1A30FF3D" w14:textId="77777777" w:rsidR="00BD3E0D" w:rsidRPr="00083184" w:rsidRDefault="00BD3E0D">
      <w:pPr>
        <w:rPr>
          <w:rFonts w:ascii="Arial" w:eastAsia="Arial" w:hAnsi="Arial" w:cs="Arial"/>
          <w:b/>
          <w:color w:val="000000" w:themeColor="text1"/>
          <w:sz w:val="28"/>
          <w:szCs w:val="28"/>
        </w:rPr>
      </w:pPr>
      <w:r w:rsidRPr="00083184">
        <w:rPr>
          <w:rFonts w:ascii="Arial" w:eastAsia="Arial" w:hAnsi="Arial" w:cs="Arial"/>
          <w:b/>
          <w:color w:val="000000" w:themeColor="text1"/>
          <w:sz w:val="28"/>
          <w:szCs w:val="28"/>
        </w:rPr>
        <w:br w:type="page"/>
      </w:r>
    </w:p>
    <w:p w14:paraId="3C9C8EEE" w14:textId="6AC171A0" w:rsidR="00B55FA3" w:rsidRPr="00083184" w:rsidRDefault="00D97F8A" w:rsidP="008E7375">
      <w:pPr>
        <w:spacing w:after="120" w:line="240" w:lineRule="auto"/>
        <w:jc w:val="center"/>
        <w:outlineLvl w:val="0"/>
        <w:rPr>
          <w:rFonts w:ascii="Arial" w:eastAsia="Times New Roman" w:hAnsi="Arial" w:cs="Arial"/>
          <w:b/>
          <w:bCs/>
          <w:color w:val="000000" w:themeColor="text1"/>
          <w:sz w:val="28"/>
          <w:szCs w:val="28"/>
        </w:rPr>
      </w:pPr>
      <w:r w:rsidRPr="00083184">
        <w:rPr>
          <w:rFonts w:ascii="Arial" w:eastAsia="Arial" w:hAnsi="Arial" w:cs="Arial"/>
          <w:b/>
          <w:color w:val="000000" w:themeColor="text1"/>
          <w:sz w:val="28"/>
          <w:szCs w:val="28"/>
        </w:rPr>
        <w:t>CURRENT</w:t>
      </w:r>
      <w:r w:rsidR="00B55FA3" w:rsidRPr="00083184">
        <w:rPr>
          <w:rFonts w:ascii="Arial" w:eastAsia="Arial" w:hAnsi="Arial" w:cs="Arial"/>
          <w:b/>
          <w:color w:val="000000" w:themeColor="text1"/>
          <w:sz w:val="28"/>
          <w:szCs w:val="28"/>
        </w:rPr>
        <w:t xml:space="preserve"> HOLDINGS</w:t>
      </w:r>
    </w:p>
    <w:p w14:paraId="5D2417FA" w14:textId="77777777" w:rsidR="00B55FA3" w:rsidRPr="00083184" w:rsidRDefault="00B55FA3" w:rsidP="00922F30">
      <w:pPr>
        <w:spacing w:after="120" w:line="240" w:lineRule="auto"/>
        <w:jc w:val="both"/>
        <w:rPr>
          <w:rFonts w:ascii="Arial" w:eastAsia="Times New Roman" w:hAnsi="Arial" w:cs="Arial"/>
          <w:b/>
          <w:bCs/>
          <w:color w:val="000000" w:themeColor="text1"/>
          <w:sz w:val="24"/>
          <w:szCs w:val="24"/>
        </w:rPr>
      </w:pPr>
    </w:p>
    <w:p w14:paraId="4CB8C8A8" w14:textId="77777777" w:rsidR="00922F30" w:rsidRPr="00083184" w:rsidRDefault="00922F30" w:rsidP="008E7375">
      <w:pPr>
        <w:spacing w:after="120" w:line="240" w:lineRule="auto"/>
        <w:jc w:val="both"/>
        <w:outlineLvl w:val="0"/>
        <w:rPr>
          <w:rFonts w:ascii="Arial" w:eastAsia="Times New Roman" w:hAnsi="Arial" w:cs="Arial"/>
          <w:color w:val="000000" w:themeColor="text1"/>
          <w:sz w:val="24"/>
          <w:szCs w:val="24"/>
          <w:u w:val="single"/>
        </w:rPr>
      </w:pPr>
      <w:r w:rsidRPr="00083184">
        <w:rPr>
          <w:rFonts w:ascii="Arial" w:eastAsia="Times New Roman" w:hAnsi="Arial" w:cs="Arial"/>
          <w:b/>
          <w:bCs/>
          <w:color w:val="000000" w:themeColor="text1"/>
          <w:sz w:val="24"/>
          <w:szCs w:val="24"/>
          <w:u w:val="single"/>
        </w:rPr>
        <w:t>International Flavors and Fragrances (NYSE: IFF)</w:t>
      </w:r>
    </w:p>
    <w:p w14:paraId="67F6B204" w14:textId="77777777" w:rsidR="00922F30" w:rsidRPr="00083184" w:rsidRDefault="00922F30" w:rsidP="00922F30">
      <w:pPr>
        <w:spacing w:after="0" w:line="240" w:lineRule="auto"/>
        <w:jc w:val="both"/>
        <w:rPr>
          <w:rFonts w:ascii="Arial" w:eastAsia="Times New Roman" w:hAnsi="Arial" w:cs="Arial"/>
          <w:color w:val="000000" w:themeColor="text1"/>
          <w:sz w:val="24"/>
          <w:szCs w:val="24"/>
        </w:rPr>
      </w:pPr>
      <w:r w:rsidRPr="00083184">
        <w:rPr>
          <w:rFonts w:ascii="Arial" w:eastAsia="Times New Roman" w:hAnsi="Arial" w:cs="Arial"/>
          <w:color w:val="000000" w:themeColor="text1"/>
          <w:sz w:val="24"/>
          <w:szCs w:val="24"/>
        </w:rPr>
        <w:t>IFF is a leading innovator of sensory experiences, co-creating unique products that consumers taste, smell, or feel in fine fragrances and cosmetics, detergents and household goods, and food and beverages. The company has historically operated via two reporting segments--flavors and fragrances--that contributed about equally to companywide sales. Flavors enjoys slightly higher margins and therefore generates a slightly larger share of profits versus fragrances. The company now operates a third "Frutarom" segment, having completed the acquisition of Frutarom in October 2018. In 2017, IFF achieved sales of approximately $3.4 billion. Management estimates the sales and adjusted EPS of about 4 B and $6.35 respectively for 2018 (full-year).</w:t>
      </w:r>
    </w:p>
    <w:p w14:paraId="7E182D40" w14:textId="77777777" w:rsidR="00922F30" w:rsidRPr="00083184" w:rsidRDefault="00922F30" w:rsidP="00922F30">
      <w:pPr>
        <w:spacing w:after="0" w:line="240" w:lineRule="auto"/>
        <w:rPr>
          <w:rFonts w:ascii="Arial" w:eastAsia="Times New Roman" w:hAnsi="Arial" w:cs="Arial"/>
          <w:color w:val="000000" w:themeColor="text1"/>
          <w:sz w:val="24"/>
          <w:szCs w:val="24"/>
        </w:rPr>
      </w:pPr>
    </w:p>
    <w:p w14:paraId="008CDC60" w14:textId="408C6299" w:rsidR="00922F30" w:rsidRPr="00083184" w:rsidRDefault="00922F30" w:rsidP="00922F30">
      <w:pPr>
        <w:spacing w:after="0" w:line="240" w:lineRule="auto"/>
        <w:jc w:val="both"/>
        <w:rPr>
          <w:rFonts w:ascii="Arial" w:eastAsia="Times New Roman" w:hAnsi="Arial" w:cs="Arial"/>
          <w:color w:val="000000" w:themeColor="text1"/>
          <w:sz w:val="24"/>
          <w:szCs w:val="24"/>
        </w:rPr>
      </w:pPr>
      <w:r w:rsidRPr="00083184">
        <w:rPr>
          <w:rFonts w:ascii="Arial" w:eastAsia="Times New Roman" w:hAnsi="Arial" w:cs="Arial"/>
          <w:color w:val="000000" w:themeColor="text1"/>
          <w:sz w:val="24"/>
          <w:szCs w:val="24"/>
        </w:rPr>
        <w:t xml:space="preserve">The flavors and fragrances market </w:t>
      </w:r>
      <w:r w:rsidR="00B55FA3" w:rsidRPr="00083184">
        <w:rPr>
          <w:rFonts w:ascii="Arial" w:eastAsia="Times New Roman" w:hAnsi="Arial" w:cs="Arial"/>
          <w:color w:val="000000" w:themeColor="text1"/>
          <w:sz w:val="24"/>
          <w:szCs w:val="24"/>
        </w:rPr>
        <w:t>is</w:t>
      </w:r>
      <w:r w:rsidRPr="00083184">
        <w:rPr>
          <w:rFonts w:ascii="Arial" w:eastAsia="Times New Roman" w:hAnsi="Arial" w:cs="Arial"/>
          <w:color w:val="000000" w:themeColor="text1"/>
          <w:sz w:val="24"/>
          <w:szCs w:val="24"/>
        </w:rPr>
        <w:t xml:space="preserve"> approximately $24.8 billion (per management estimates) and is forecasted to grow approximately 4.2% by 2022. IFF holds the second highest market share in the i</w:t>
      </w:r>
      <w:r w:rsidR="006450FD" w:rsidRPr="00083184">
        <w:rPr>
          <w:rFonts w:ascii="Arial" w:eastAsia="Times New Roman" w:hAnsi="Arial" w:cs="Arial"/>
          <w:color w:val="000000" w:themeColor="text1"/>
          <w:sz w:val="24"/>
          <w:szCs w:val="24"/>
        </w:rPr>
        <w:t>ndustry behind Givaudan. Other c</w:t>
      </w:r>
      <w:r w:rsidRPr="00083184">
        <w:rPr>
          <w:rFonts w:ascii="Arial" w:eastAsia="Times New Roman" w:hAnsi="Arial" w:cs="Arial"/>
          <w:color w:val="000000" w:themeColor="text1"/>
          <w:sz w:val="24"/>
          <w:szCs w:val="24"/>
        </w:rPr>
        <w:t xml:space="preserve">ompetitors are Firmenich, and Symrise. These "Big Four" companies command roughly three fourths of total market share. </w:t>
      </w:r>
    </w:p>
    <w:p w14:paraId="36EF068C" w14:textId="77777777" w:rsidR="00922F30" w:rsidRPr="00083184" w:rsidRDefault="00922F30" w:rsidP="00922F30">
      <w:pPr>
        <w:spacing w:after="0" w:line="240" w:lineRule="auto"/>
        <w:rPr>
          <w:rFonts w:ascii="Arial" w:eastAsia="Times New Roman" w:hAnsi="Arial" w:cs="Arial"/>
          <w:color w:val="000000" w:themeColor="text1"/>
          <w:sz w:val="24"/>
          <w:szCs w:val="24"/>
        </w:rPr>
      </w:pPr>
    </w:p>
    <w:p w14:paraId="0ADB0121" w14:textId="77777777" w:rsidR="00922F30" w:rsidRPr="00083184" w:rsidRDefault="00922F30" w:rsidP="00922F30">
      <w:pPr>
        <w:spacing w:after="120" w:line="240" w:lineRule="auto"/>
        <w:jc w:val="both"/>
        <w:rPr>
          <w:rFonts w:ascii="Arial" w:eastAsia="Times New Roman" w:hAnsi="Arial" w:cs="Arial"/>
          <w:color w:val="000000" w:themeColor="text1"/>
          <w:sz w:val="24"/>
          <w:szCs w:val="24"/>
        </w:rPr>
      </w:pPr>
      <w:r w:rsidRPr="00083184">
        <w:rPr>
          <w:rFonts w:ascii="Arial" w:eastAsia="Times New Roman" w:hAnsi="Arial" w:cs="Arial"/>
          <w:color w:val="000000" w:themeColor="text1"/>
          <w:sz w:val="24"/>
          <w:szCs w:val="24"/>
        </w:rPr>
        <w:t xml:space="preserve">Our investment in IFF is based on 3 main factors. </w:t>
      </w:r>
    </w:p>
    <w:p w14:paraId="0EC70CE2" w14:textId="2B0F2692" w:rsidR="00922F30" w:rsidRPr="00083184" w:rsidRDefault="00922F30" w:rsidP="006450FD">
      <w:pPr>
        <w:pStyle w:val="ListParagraph"/>
        <w:numPr>
          <w:ilvl w:val="0"/>
          <w:numId w:val="10"/>
        </w:numPr>
        <w:spacing w:after="120" w:line="240" w:lineRule="auto"/>
        <w:jc w:val="both"/>
        <w:rPr>
          <w:rFonts w:ascii="Arial" w:eastAsia="Times New Roman" w:hAnsi="Arial" w:cs="Arial"/>
          <w:color w:val="000000" w:themeColor="text1"/>
          <w:sz w:val="24"/>
          <w:szCs w:val="24"/>
        </w:rPr>
      </w:pPr>
      <w:r w:rsidRPr="00083184">
        <w:rPr>
          <w:rFonts w:ascii="Arial" w:eastAsia="Times New Roman" w:hAnsi="Arial" w:cs="Arial"/>
          <w:b/>
          <w:bCs/>
          <w:i/>
          <w:iCs/>
          <w:color w:val="000000" w:themeColor="text1"/>
          <w:sz w:val="24"/>
          <w:szCs w:val="24"/>
        </w:rPr>
        <w:t>Wide Economic Moat</w:t>
      </w:r>
      <w:r w:rsidRPr="00083184">
        <w:rPr>
          <w:rFonts w:ascii="Arial" w:eastAsia="Times New Roman" w:hAnsi="Arial" w:cs="Arial"/>
          <w:color w:val="000000" w:themeColor="text1"/>
          <w:sz w:val="24"/>
          <w:szCs w:val="24"/>
        </w:rPr>
        <w:t xml:space="preserve"> - The company’s highly valuable intangible assets in the form of proprietary formulations provide significant pricing power while switching costs help ensure the durability of economic profit generation. IFF's R&amp;D spending of over 8% sales helps to stay ahead of the curve in identifying and servicing new customer trends. Widespread acceptance on customer core lists serves as an additional intangible asset.</w:t>
      </w:r>
    </w:p>
    <w:p w14:paraId="0545EEEE" w14:textId="7A7F0C77" w:rsidR="00922F30" w:rsidRPr="00083184" w:rsidRDefault="00922F30" w:rsidP="006450FD">
      <w:pPr>
        <w:pStyle w:val="ListParagraph"/>
        <w:numPr>
          <w:ilvl w:val="0"/>
          <w:numId w:val="10"/>
        </w:numPr>
        <w:spacing w:after="120" w:line="240" w:lineRule="auto"/>
        <w:jc w:val="both"/>
        <w:rPr>
          <w:rFonts w:ascii="Arial" w:eastAsia="Times New Roman" w:hAnsi="Arial" w:cs="Arial"/>
          <w:color w:val="000000" w:themeColor="text1"/>
          <w:sz w:val="24"/>
          <w:szCs w:val="24"/>
        </w:rPr>
      </w:pPr>
      <w:r w:rsidRPr="00083184">
        <w:rPr>
          <w:rFonts w:ascii="Arial" w:eastAsia="Times New Roman" w:hAnsi="Arial" w:cs="Arial"/>
          <w:b/>
          <w:bCs/>
          <w:i/>
          <w:iCs/>
          <w:color w:val="000000" w:themeColor="text1"/>
          <w:sz w:val="24"/>
          <w:szCs w:val="24"/>
        </w:rPr>
        <w:t>Vision 2020 Strategy</w:t>
      </w:r>
      <w:r w:rsidRPr="00083184">
        <w:rPr>
          <w:rFonts w:ascii="Arial" w:eastAsia="Times New Roman" w:hAnsi="Arial" w:cs="Arial"/>
          <w:color w:val="000000" w:themeColor="text1"/>
          <w:sz w:val="24"/>
          <w:szCs w:val="24"/>
        </w:rPr>
        <w:t xml:space="preserve"> - The four pillars of IFF's Vision 2020 strategy originally announced in 2015 and refreshed in 2017 focuses on building differentiation and accelerating growth to create shareholder value.</w:t>
      </w:r>
    </w:p>
    <w:p w14:paraId="66EBD61C" w14:textId="68250940" w:rsidR="00922F30" w:rsidRPr="00083184" w:rsidRDefault="00922F30" w:rsidP="006450FD">
      <w:pPr>
        <w:pStyle w:val="ListParagraph"/>
        <w:numPr>
          <w:ilvl w:val="0"/>
          <w:numId w:val="10"/>
        </w:numPr>
        <w:spacing w:after="0" w:line="240" w:lineRule="auto"/>
        <w:jc w:val="both"/>
        <w:rPr>
          <w:rFonts w:ascii="Arial" w:eastAsia="Times New Roman" w:hAnsi="Arial" w:cs="Arial"/>
          <w:color w:val="000000" w:themeColor="text1"/>
          <w:sz w:val="24"/>
          <w:szCs w:val="24"/>
        </w:rPr>
      </w:pPr>
      <w:r w:rsidRPr="00083184">
        <w:rPr>
          <w:rFonts w:ascii="Arial" w:eastAsia="Times New Roman" w:hAnsi="Arial" w:cs="Arial"/>
          <w:b/>
          <w:bCs/>
          <w:i/>
          <w:iCs/>
          <w:color w:val="000000" w:themeColor="text1"/>
          <w:sz w:val="24"/>
          <w:szCs w:val="24"/>
        </w:rPr>
        <w:t>Frutarom Acquisition -</w:t>
      </w:r>
      <w:r w:rsidRPr="00083184">
        <w:rPr>
          <w:rFonts w:ascii="Arial" w:eastAsia="Times New Roman" w:hAnsi="Arial" w:cs="Arial"/>
          <w:color w:val="000000" w:themeColor="text1"/>
          <w:sz w:val="24"/>
          <w:szCs w:val="24"/>
        </w:rPr>
        <w:t xml:space="preserve"> IFF and Frutarom combination creates a global leader in natural taste, scent and nutrition and enriches portfolio for a stronger product offering. Also, the acquisition provides access to attractive adjacencies and strengthens exposure to fast-growing midsized customers.</w:t>
      </w:r>
    </w:p>
    <w:p w14:paraId="0081CC1D" w14:textId="77777777" w:rsidR="00922F30" w:rsidRPr="00083184" w:rsidRDefault="00922F30" w:rsidP="00922F30">
      <w:pPr>
        <w:spacing w:after="0" w:line="240" w:lineRule="auto"/>
        <w:rPr>
          <w:rFonts w:ascii="Arial" w:eastAsia="Times New Roman" w:hAnsi="Arial" w:cs="Arial"/>
          <w:color w:val="000000" w:themeColor="text1"/>
          <w:sz w:val="24"/>
          <w:szCs w:val="24"/>
        </w:rPr>
      </w:pPr>
    </w:p>
    <w:p w14:paraId="0E802325" w14:textId="77777777" w:rsidR="00922F30" w:rsidRPr="00083184" w:rsidRDefault="00922F30" w:rsidP="00922F30">
      <w:pPr>
        <w:spacing w:after="0" w:line="240" w:lineRule="auto"/>
        <w:jc w:val="both"/>
        <w:rPr>
          <w:rFonts w:ascii="Arial" w:eastAsia="Times New Roman" w:hAnsi="Arial" w:cs="Arial"/>
          <w:color w:val="000000" w:themeColor="text1"/>
          <w:sz w:val="24"/>
          <w:szCs w:val="24"/>
        </w:rPr>
      </w:pPr>
      <w:r w:rsidRPr="00083184">
        <w:rPr>
          <w:rFonts w:ascii="Arial" w:eastAsia="Times New Roman" w:hAnsi="Arial" w:cs="Arial"/>
          <w:color w:val="000000" w:themeColor="text1"/>
          <w:sz w:val="24"/>
          <w:szCs w:val="24"/>
        </w:rPr>
        <w:t>Our investment in IFF comes with different risks. A disruption in manufacturing operations or in the supply chain, currency fluctuation or devaluation in the international markets and failure to comply with environmental protection laws could adversely affect the company's business and financial results. The integration of Frutarom represents a source of uncertainty as Frutarom, in its own right, has been highly acquisitive in recent years. This will require that IFF integrate a wide variety of product lines and a geographically widespread asset base.</w:t>
      </w:r>
    </w:p>
    <w:p w14:paraId="64D0F52B" w14:textId="77777777" w:rsidR="00922F30" w:rsidRPr="00083184" w:rsidRDefault="00922F30" w:rsidP="00922F30">
      <w:pPr>
        <w:spacing w:after="0" w:line="240" w:lineRule="auto"/>
        <w:rPr>
          <w:rFonts w:ascii="Arial" w:eastAsia="Times New Roman" w:hAnsi="Arial" w:cs="Arial"/>
          <w:color w:val="000000" w:themeColor="text1"/>
          <w:sz w:val="24"/>
          <w:szCs w:val="24"/>
        </w:rPr>
      </w:pPr>
    </w:p>
    <w:p w14:paraId="3F5A56D7" w14:textId="77777777" w:rsidR="00922F30" w:rsidRPr="00083184" w:rsidRDefault="00922F30" w:rsidP="00922F30">
      <w:pPr>
        <w:spacing w:after="0" w:line="240" w:lineRule="auto"/>
        <w:jc w:val="both"/>
        <w:rPr>
          <w:rFonts w:ascii="Arial" w:eastAsia="Times New Roman" w:hAnsi="Arial" w:cs="Arial"/>
          <w:color w:val="000000" w:themeColor="text1"/>
          <w:sz w:val="24"/>
          <w:szCs w:val="24"/>
        </w:rPr>
      </w:pPr>
      <w:r w:rsidRPr="00083184">
        <w:rPr>
          <w:rFonts w:ascii="Arial" w:eastAsia="Times New Roman" w:hAnsi="Arial" w:cs="Arial"/>
          <w:color w:val="000000" w:themeColor="text1"/>
          <w:sz w:val="24"/>
          <w:szCs w:val="24"/>
        </w:rPr>
        <w:t>Return on Invested Capital (ROIC) for IFF is close to 15% and is well above the company’s 7.2% cost of capital. We have a high degree of confidence that positive economic profits will prove durable for at least the next 20 years.</w:t>
      </w:r>
    </w:p>
    <w:p w14:paraId="07C23A98" w14:textId="77777777" w:rsidR="00922F30" w:rsidRPr="00083184" w:rsidRDefault="00922F30" w:rsidP="00922F30">
      <w:pPr>
        <w:spacing w:after="0" w:line="240" w:lineRule="auto"/>
        <w:rPr>
          <w:rFonts w:ascii="Arial" w:eastAsia="Times New Roman" w:hAnsi="Arial" w:cs="Arial"/>
          <w:color w:val="000000" w:themeColor="text1"/>
          <w:sz w:val="24"/>
          <w:szCs w:val="24"/>
        </w:rPr>
      </w:pPr>
    </w:p>
    <w:p w14:paraId="414E8D72" w14:textId="77777777" w:rsidR="00922F30" w:rsidRPr="00083184" w:rsidRDefault="00922F30" w:rsidP="008E7375">
      <w:pPr>
        <w:spacing w:after="0" w:line="240" w:lineRule="auto"/>
        <w:jc w:val="both"/>
        <w:outlineLvl w:val="0"/>
        <w:rPr>
          <w:rFonts w:ascii="Arial" w:eastAsia="Times New Roman" w:hAnsi="Arial" w:cs="Arial"/>
          <w:color w:val="000000" w:themeColor="text1"/>
          <w:sz w:val="24"/>
          <w:szCs w:val="24"/>
        </w:rPr>
      </w:pPr>
      <w:r w:rsidRPr="00083184">
        <w:rPr>
          <w:rFonts w:ascii="Arial" w:eastAsia="Times New Roman" w:hAnsi="Arial" w:cs="Arial"/>
          <w:b/>
          <w:color w:val="000000" w:themeColor="text1"/>
          <w:sz w:val="24"/>
          <w:szCs w:val="24"/>
        </w:rPr>
        <w:t>Unrealized Gain on the Investment: 3.71%</w:t>
      </w:r>
      <w:r w:rsidR="00B01932" w:rsidRPr="00083184">
        <w:rPr>
          <w:rFonts w:ascii="Arial" w:eastAsia="Times New Roman" w:hAnsi="Arial" w:cs="Arial"/>
          <w:color w:val="000000" w:themeColor="text1"/>
          <w:sz w:val="24"/>
          <w:szCs w:val="24"/>
        </w:rPr>
        <w:t xml:space="preserve"> </w:t>
      </w:r>
      <w:r w:rsidR="00B01932" w:rsidRPr="00083184">
        <w:rPr>
          <w:rFonts w:ascii="Arial" w:hAnsi="Arial" w:cs="Arial"/>
          <w:color w:val="000000" w:themeColor="text1"/>
          <w:sz w:val="24"/>
          <w:szCs w:val="24"/>
        </w:rPr>
        <w:t>(As of November 30, 2018)</w:t>
      </w:r>
    </w:p>
    <w:p w14:paraId="7D95190A" w14:textId="77777777" w:rsidR="00057374" w:rsidRPr="00083184" w:rsidRDefault="00057374">
      <w:pPr>
        <w:pBdr>
          <w:top w:val="nil"/>
          <w:left w:val="nil"/>
          <w:bottom w:val="nil"/>
          <w:right w:val="nil"/>
          <w:between w:val="nil"/>
        </w:pBdr>
        <w:spacing w:after="120" w:line="240" w:lineRule="auto"/>
        <w:jc w:val="both"/>
        <w:rPr>
          <w:rFonts w:ascii="Arial" w:eastAsia="Times New Roman" w:hAnsi="Arial" w:cs="Arial"/>
          <w:color w:val="000000" w:themeColor="text1"/>
          <w:sz w:val="24"/>
          <w:szCs w:val="24"/>
        </w:rPr>
      </w:pPr>
    </w:p>
    <w:p w14:paraId="5BEE9189" w14:textId="77777777" w:rsidR="00E62DD2" w:rsidRPr="00083184" w:rsidRDefault="00E30C54" w:rsidP="008E7375">
      <w:pPr>
        <w:pBdr>
          <w:top w:val="nil"/>
          <w:left w:val="nil"/>
          <w:bottom w:val="nil"/>
          <w:right w:val="nil"/>
          <w:between w:val="nil"/>
        </w:pBdr>
        <w:spacing w:after="120" w:line="240" w:lineRule="auto"/>
        <w:jc w:val="both"/>
        <w:outlineLvl w:val="0"/>
        <w:rPr>
          <w:rFonts w:ascii="Arial" w:eastAsia="Arial" w:hAnsi="Arial" w:cs="Arial"/>
          <w:color w:val="000000" w:themeColor="text1"/>
          <w:sz w:val="24"/>
          <w:szCs w:val="24"/>
          <w:u w:val="single"/>
        </w:rPr>
      </w:pPr>
      <w:r w:rsidRPr="00083184">
        <w:rPr>
          <w:rFonts w:ascii="Arial" w:eastAsia="Arial" w:hAnsi="Arial" w:cs="Arial"/>
          <w:b/>
          <w:color w:val="000000" w:themeColor="text1"/>
          <w:sz w:val="24"/>
          <w:szCs w:val="24"/>
          <w:u w:val="single"/>
        </w:rPr>
        <w:t>McDonald’s (NYSE: MCD)</w:t>
      </w:r>
    </w:p>
    <w:p w14:paraId="6A522D2D" w14:textId="19C1D881" w:rsidR="00922F30" w:rsidRPr="00083184" w:rsidRDefault="00922F30" w:rsidP="00687C9E">
      <w:pPr>
        <w:spacing w:after="0" w:line="240" w:lineRule="auto"/>
        <w:jc w:val="both"/>
        <w:rPr>
          <w:rFonts w:ascii="Arial" w:eastAsia="Times New Roman" w:hAnsi="Arial" w:cs="Arial"/>
          <w:color w:val="000000" w:themeColor="text1"/>
          <w:sz w:val="24"/>
          <w:szCs w:val="24"/>
          <w:lang w:eastAsia="zh-CN"/>
        </w:rPr>
      </w:pPr>
      <w:r w:rsidRPr="00083184">
        <w:rPr>
          <w:rFonts w:ascii="Arial" w:eastAsia="Times New Roman" w:hAnsi="Arial" w:cs="Arial"/>
          <w:color w:val="000000" w:themeColor="text1"/>
          <w:sz w:val="24"/>
          <w:szCs w:val="24"/>
          <w:lang w:eastAsia="zh-CN"/>
        </w:rPr>
        <w:t xml:space="preserve">On </w:t>
      </w:r>
      <w:r w:rsidR="00BD3E0D" w:rsidRPr="00083184">
        <w:rPr>
          <w:rFonts w:ascii="Arial" w:eastAsia="Times New Roman" w:hAnsi="Arial" w:cs="Arial"/>
          <w:color w:val="000000" w:themeColor="text1"/>
          <w:sz w:val="24"/>
          <w:szCs w:val="24"/>
          <w:lang w:eastAsia="zh-CN"/>
        </w:rPr>
        <w:t>November 8</w:t>
      </w:r>
      <w:r w:rsidR="00BD3E0D" w:rsidRPr="00083184">
        <w:rPr>
          <w:rFonts w:ascii="Arial" w:eastAsia="Times New Roman" w:hAnsi="Arial" w:cs="Arial"/>
          <w:color w:val="000000" w:themeColor="text1"/>
          <w:sz w:val="24"/>
          <w:szCs w:val="24"/>
          <w:vertAlign w:val="superscript"/>
          <w:lang w:eastAsia="zh-CN"/>
        </w:rPr>
        <w:t>th</w:t>
      </w:r>
      <w:r w:rsidR="00BD3E0D" w:rsidRPr="00083184">
        <w:rPr>
          <w:rFonts w:ascii="Arial" w:eastAsia="Times New Roman" w:hAnsi="Arial" w:cs="Arial"/>
          <w:color w:val="000000" w:themeColor="text1"/>
          <w:sz w:val="24"/>
          <w:szCs w:val="24"/>
          <w:lang w:eastAsia="zh-CN"/>
        </w:rPr>
        <w:t>, 2018</w:t>
      </w:r>
      <w:r w:rsidRPr="00083184">
        <w:rPr>
          <w:rFonts w:ascii="Arial" w:eastAsia="Times New Roman" w:hAnsi="Arial" w:cs="Arial"/>
          <w:color w:val="000000" w:themeColor="text1"/>
          <w:sz w:val="24"/>
          <w:szCs w:val="24"/>
          <w:lang w:eastAsia="zh-CN"/>
        </w:rPr>
        <w:t xml:space="preserve"> we bought 61 shares of McDonald’s at $184.43. McDonald’s Corporation operates and franchises over 37,600 McDonald’s restaurants in 120 countries. McDonald’s goal is to become their customer’s favorite place to eat and drink. It is the largest company within the fast food restaurant industry bringing in over $22.8 billion of revenue in 2017. McDonald’s h</w:t>
      </w:r>
      <w:r w:rsidR="006450FD" w:rsidRPr="00083184">
        <w:rPr>
          <w:rFonts w:ascii="Arial" w:eastAsia="Times New Roman" w:hAnsi="Arial" w:cs="Arial"/>
          <w:color w:val="000000" w:themeColor="text1"/>
          <w:sz w:val="24"/>
          <w:szCs w:val="24"/>
          <w:lang w:eastAsia="zh-CN"/>
        </w:rPr>
        <w:t xml:space="preserve">as two main streams of revenue: </w:t>
      </w:r>
      <w:r w:rsidRPr="00083184">
        <w:rPr>
          <w:rFonts w:ascii="Arial" w:eastAsia="Times New Roman" w:hAnsi="Arial" w:cs="Arial"/>
          <w:color w:val="000000" w:themeColor="text1"/>
          <w:sz w:val="24"/>
          <w:szCs w:val="24"/>
          <w:lang w:eastAsia="zh-CN"/>
        </w:rPr>
        <w:t>Company-owned stores where McDonald’s gets to recognize 100% of revenue from sales of food and beverages, and franchised stores where they receive rent payment from their franchisees (typically 9% -11% of monthly sales), initial fee (40% of the total cost when purchase a new restaurant), and service fee (4% of monthly sales).</w:t>
      </w:r>
    </w:p>
    <w:p w14:paraId="38F10A1F" w14:textId="77777777" w:rsidR="006450FD" w:rsidRPr="00083184" w:rsidRDefault="006450FD" w:rsidP="00687C9E">
      <w:pPr>
        <w:spacing w:after="0" w:line="240" w:lineRule="auto"/>
        <w:jc w:val="both"/>
        <w:rPr>
          <w:rFonts w:ascii="Arial" w:eastAsia="Times New Roman" w:hAnsi="Arial" w:cs="Arial"/>
          <w:color w:val="000000" w:themeColor="text1"/>
          <w:sz w:val="24"/>
          <w:szCs w:val="24"/>
          <w:lang w:eastAsia="zh-CN"/>
        </w:rPr>
      </w:pPr>
    </w:p>
    <w:p w14:paraId="6D9C1394" w14:textId="64AF6CE2" w:rsidR="00922F30" w:rsidRPr="00083184" w:rsidRDefault="00922F30" w:rsidP="00687C9E">
      <w:pPr>
        <w:spacing w:after="0" w:line="240" w:lineRule="auto"/>
        <w:jc w:val="both"/>
        <w:rPr>
          <w:rFonts w:ascii="Arial" w:eastAsia="Times New Roman" w:hAnsi="Arial" w:cs="Arial"/>
          <w:color w:val="000000" w:themeColor="text1"/>
          <w:sz w:val="24"/>
          <w:szCs w:val="24"/>
          <w:lang w:eastAsia="zh-CN"/>
        </w:rPr>
      </w:pPr>
      <w:r w:rsidRPr="00083184">
        <w:rPr>
          <w:rFonts w:ascii="Arial" w:eastAsia="Times New Roman" w:hAnsi="Arial" w:cs="Arial"/>
          <w:color w:val="000000" w:themeColor="text1"/>
          <w:sz w:val="24"/>
          <w:szCs w:val="24"/>
          <w:lang w:eastAsia="zh-CN"/>
        </w:rPr>
        <w:t>McDonald’s operates in the quick service restaurant industry amongst top competitors such as Subway, Yum! Brands, and Chipotle Mexican Grill. The fast food industry generates over half a trillion dollars worldwide and McDonald’s as the largest company in this segment is well positioned to take advantage of the factors contributing to growth such as technology and a growing middle class in key growth markets.</w:t>
      </w:r>
    </w:p>
    <w:p w14:paraId="17A7F4C0" w14:textId="77777777" w:rsidR="00922F30" w:rsidRPr="00083184" w:rsidRDefault="00922F30" w:rsidP="00687C9E">
      <w:pPr>
        <w:spacing w:after="0" w:line="240" w:lineRule="auto"/>
        <w:jc w:val="both"/>
        <w:rPr>
          <w:rFonts w:ascii="Arial" w:eastAsia="Times New Roman" w:hAnsi="Arial" w:cs="Arial"/>
          <w:color w:val="000000" w:themeColor="text1"/>
          <w:sz w:val="24"/>
          <w:szCs w:val="24"/>
          <w:lang w:eastAsia="zh-CN"/>
        </w:rPr>
      </w:pPr>
    </w:p>
    <w:p w14:paraId="21653774" w14:textId="77777777" w:rsidR="00922F30" w:rsidRPr="00083184" w:rsidRDefault="00922F30" w:rsidP="00687C9E">
      <w:pPr>
        <w:spacing w:after="0" w:line="240" w:lineRule="auto"/>
        <w:jc w:val="both"/>
        <w:rPr>
          <w:rFonts w:ascii="Arial" w:eastAsia="Times New Roman" w:hAnsi="Arial" w:cs="Arial"/>
          <w:color w:val="000000" w:themeColor="text1"/>
          <w:sz w:val="24"/>
          <w:szCs w:val="24"/>
          <w:lang w:eastAsia="zh-CN"/>
        </w:rPr>
      </w:pPr>
      <w:r w:rsidRPr="00083184">
        <w:rPr>
          <w:rFonts w:ascii="Arial" w:eastAsia="Times New Roman" w:hAnsi="Arial" w:cs="Arial"/>
          <w:color w:val="000000" w:themeColor="text1"/>
          <w:sz w:val="24"/>
          <w:szCs w:val="24"/>
          <w:lang w:eastAsia="zh-CN"/>
        </w:rPr>
        <w:t>We believe that McDonald is the best company operating within this industry due to</w:t>
      </w:r>
    </w:p>
    <w:p w14:paraId="430D1E7A" w14:textId="1BDBF613" w:rsidR="00922F30" w:rsidRPr="00083184" w:rsidRDefault="00922F30" w:rsidP="006450FD">
      <w:pPr>
        <w:pStyle w:val="ListParagraph"/>
        <w:numPr>
          <w:ilvl w:val="0"/>
          <w:numId w:val="8"/>
        </w:numPr>
        <w:spacing w:after="0" w:line="240" w:lineRule="auto"/>
        <w:jc w:val="both"/>
        <w:rPr>
          <w:rFonts w:ascii="Arial" w:eastAsia="Times New Roman" w:hAnsi="Arial" w:cs="Arial"/>
          <w:color w:val="000000" w:themeColor="text1"/>
          <w:sz w:val="24"/>
          <w:szCs w:val="24"/>
          <w:lang w:eastAsia="zh-CN"/>
        </w:rPr>
      </w:pPr>
      <w:r w:rsidRPr="00083184">
        <w:rPr>
          <w:rFonts w:ascii="Arial" w:eastAsia="Times New Roman" w:hAnsi="Arial" w:cs="Arial"/>
          <w:b/>
          <w:bCs/>
          <w:color w:val="000000" w:themeColor="text1"/>
          <w:sz w:val="24"/>
          <w:szCs w:val="24"/>
          <w:lang w:eastAsia="zh-CN"/>
        </w:rPr>
        <w:t xml:space="preserve">The Dividend Yield of McDonald's is attractive and increases consistently. </w:t>
      </w:r>
      <w:r w:rsidRPr="00083184">
        <w:rPr>
          <w:rFonts w:ascii="Arial" w:eastAsia="Times New Roman" w:hAnsi="Arial" w:cs="Arial"/>
          <w:color w:val="000000" w:themeColor="text1"/>
          <w:sz w:val="24"/>
          <w:szCs w:val="24"/>
          <w:lang w:eastAsia="zh-CN"/>
        </w:rPr>
        <w:t>McDonald’s has been increasing dividend for 41 years, and its 5-year growth rate is 5.7%. McDonald’s potential for future dividend yield with its low-risk profile makes it a solid long-term dividend stock to invest in.</w:t>
      </w:r>
    </w:p>
    <w:p w14:paraId="69571725" w14:textId="0D245983" w:rsidR="00922F30" w:rsidRPr="00083184" w:rsidRDefault="00922F30" w:rsidP="006450FD">
      <w:pPr>
        <w:pStyle w:val="ListParagraph"/>
        <w:numPr>
          <w:ilvl w:val="0"/>
          <w:numId w:val="8"/>
        </w:numPr>
        <w:spacing w:after="0" w:line="240" w:lineRule="auto"/>
        <w:jc w:val="both"/>
        <w:rPr>
          <w:rFonts w:ascii="Arial" w:eastAsia="Times New Roman" w:hAnsi="Arial" w:cs="Arial"/>
          <w:color w:val="000000" w:themeColor="text1"/>
          <w:sz w:val="24"/>
          <w:szCs w:val="24"/>
          <w:lang w:eastAsia="zh-CN"/>
        </w:rPr>
      </w:pPr>
      <w:r w:rsidRPr="00083184">
        <w:rPr>
          <w:rFonts w:ascii="Arial" w:eastAsia="Times New Roman" w:hAnsi="Arial" w:cs="Arial"/>
          <w:b/>
          <w:bCs/>
          <w:color w:val="000000" w:themeColor="text1"/>
          <w:sz w:val="24"/>
          <w:szCs w:val="24"/>
          <w:lang w:eastAsia="zh-CN"/>
        </w:rPr>
        <w:t>Size and Brand Value.</w:t>
      </w:r>
      <w:r w:rsidRPr="00083184">
        <w:rPr>
          <w:rFonts w:ascii="Arial" w:eastAsia="Times New Roman" w:hAnsi="Arial" w:cs="Arial"/>
          <w:color w:val="000000" w:themeColor="text1"/>
          <w:sz w:val="24"/>
          <w:szCs w:val="24"/>
          <w:lang w:eastAsia="zh-CN"/>
        </w:rPr>
        <w:t xml:space="preserve"> McDonald’s dwarfs their competition when it comes to brand value with an estimated value of over $126 billion being almost three times larger than the second most valued brand of Starbucks at just over $44.5 billion.</w:t>
      </w:r>
    </w:p>
    <w:p w14:paraId="4D1FC4B3" w14:textId="34DC6BDF" w:rsidR="00922F30" w:rsidRPr="00083184" w:rsidRDefault="00922F30" w:rsidP="006450FD">
      <w:pPr>
        <w:pStyle w:val="ListParagraph"/>
        <w:numPr>
          <w:ilvl w:val="0"/>
          <w:numId w:val="8"/>
        </w:numPr>
        <w:spacing w:after="0" w:line="240" w:lineRule="auto"/>
        <w:jc w:val="both"/>
        <w:rPr>
          <w:rFonts w:ascii="Arial" w:eastAsia="Times New Roman" w:hAnsi="Arial" w:cs="Arial"/>
          <w:color w:val="000000" w:themeColor="text1"/>
          <w:sz w:val="24"/>
          <w:szCs w:val="24"/>
          <w:lang w:eastAsia="zh-CN"/>
        </w:rPr>
      </w:pPr>
      <w:r w:rsidRPr="00083184">
        <w:rPr>
          <w:rFonts w:ascii="Arial" w:eastAsia="Times New Roman" w:hAnsi="Arial" w:cs="Arial"/>
          <w:b/>
          <w:bCs/>
          <w:color w:val="000000" w:themeColor="text1"/>
          <w:sz w:val="24"/>
          <w:szCs w:val="24"/>
          <w:lang w:eastAsia="zh-CN"/>
        </w:rPr>
        <w:t>EOTF and Delivery</w:t>
      </w:r>
      <w:r w:rsidRPr="00083184">
        <w:rPr>
          <w:rFonts w:ascii="Arial" w:eastAsia="Times New Roman" w:hAnsi="Arial" w:cs="Arial"/>
          <w:color w:val="000000" w:themeColor="text1"/>
          <w:sz w:val="24"/>
          <w:szCs w:val="24"/>
          <w:lang w:eastAsia="zh-CN"/>
        </w:rPr>
        <w:t>. McDonald’s has launched major initiatives, one of which is Experience of the Future (EOTF) implementing technology into their chains to increase number of customer visits as well as average transaction amount. As new technologies are implemented, the speed of service and order accuracy will be improved, and customer satisfaction scores increase continually. More options for ordering allow McDonald’s to reduce their cost due to decreased number of employees needed to run the stores. McDonald’s is the global partner of the Uber Eats, whose delivery service adding more accessibility to customers. Uber Eats Delivery increased US same-store sales by 3%.</w:t>
      </w:r>
    </w:p>
    <w:p w14:paraId="56C9F432" w14:textId="590B26E1" w:rsidR="00922F30" w:rsidRPr="00083184" w:rsidRDefault="00922F30" w:rsidP="006450FD">
      <w:pPr>
        <w:pStyle w:val="ListParagraph"/>
        <w:numPr>
          <w:ilvl w:val="0"/>
          <w:numId w:val="8"/>
        </w:numPr>
        <w:spacing w:after="0" w:line="240" w:lineRule="auto"/>
        <w:jc w:val="both"/>
        <w:rPr>
          <w:rFonts w:ascii="Arial" w:eastAsia="Times New Roman" w:hAnsi="Arial" w:cs="Arial"/>
          <w:color w:val="000000" w:themeColor="text1"/>
          <w:sz w:val="24"/>
          <w:szCs w:val="24"/>
          <w:lang w:eastAsia="zh-CN"/>
        </w:rPr>
      </w:pPr>
      <w:r w:rsidRPr="00083184">
        <w:rPr>
          <w:rFonts w:ascii="Arial" w:eastAsia="Times New Roman" w:hAnsi="Arial" w:cs="Arial"/>
          <w:b/>
          <w:bCs/>
          <w:color w:val="000000" w:themeColor="text1"/>
          <w:sz w:val="24"/>
          <w:szCs w:val="24"/>
          <w:lang w:eastAsia="zh-CN"/>
        </w:rPr>
        <w:t xml:space="preserve">Franchisee System. </w:t>
      </w:r>
      <w:r w:rsidRPr="00083184">
        <w:rPr>
          <w:rFonts w:ascii="Arial" w:eastAsia="Times New Roman" w:hAnsi="Arial" w:cs="Arial"/>
          <w:color w:val="000000" w:themeColor="text1"/>
          <w:sz w:val="24"/>
          <w:szCs w:val="24"/>
          <w:lang w:eastAsia="zh-CN"/>
        </w:rPr>
        <w:t>Franchisee System enable McDonald’s to experience significantly faster expansion as well as growth, and to obtain higher profit margins by reducing costs associated with operating stores. McDonald’s owns 45% of the land, and 75% of the buildings for its restaurants. Around $5.5 billion in land assets meaning this business model is hard to apply in a large scale.</w:t>
      </w:r>
    </w:p>
    <w:p w14:paraId="1CAA14F5" w14:textId="2AF31477" w:rsidR="00922F30" w:rsidRPr="00083184" w:rsidRDefault="00922F30" w:rsidP="006450FD">
      <w:pPr>
        <w:pStyle w:val="ListParagraph"/>
        <w:numPr>
          <w:ilvl w:val="0"/>
          <w:numId w:val="8"/>
        </w:numPr>
        <w:spacing w:after="0" w:line="240" w:lineRule="auto"/>
        <w:jc w:val="both"/>
        <w:rPr>
          <w:rFonts w:ascii="Arial" w:eastAsia="Times New Roman" w:hAnsi="Arial" w:cs="Arial"/>
          <w:color w:val="000000" w:themeColor="text1"/>
          <w:sz w:val="24"/>
          <w:szCs w:val="24"/>
          <w:lang w:eastAsia="zh-CN"/>
        </w:rPr>
      </w:pPr>
      <w:r w:rsidRPr="00083184">
        <w:rPr>
          <w:rFonts w:ascii="Arial" w:eastAsia="Times New Roman" w:hAnsi="Arial" w:cs="Arial"/>
          <w:b/>
          <w:bCs/>
          <w:color w:val="000000" w:themeColor="text1"/>
          <w:sz w:val="24"/>
          <w:szCs w:val="24"/>
          <w:lang w:eastAsia="zh-CN"/>
        </w:rPr>
        <w:t xml:space="preserve">Becoming a nimbler organization. </w:t>
      </w:r>
      <w:r w:rsidRPr="00083184">
        <w:rPr>
          <w:rFonts w:ascii="Arial" w:eastAsia="Times New Roman" w:hAnsi="Arial" w:cs="Arial"/>
          <w:color w:val="000000" w:themeColor="text1"/>
          <w:sz w:val="24"/>
          <w:szCs w:val="24"/>
          <w:lang w:eastAsia="zh-CN"/>
        </w:rPr>
        <w:t>As a global company McDonald’s always make decisions at the local and regional level.  </w:t>
      </w:r>
    </w:p>
    <w:p w14:paraId="43F2B8F8" w14:textId="77777777" w:rsidR="00922F30" w:rsidRPr="00083184" w:rsidRDefault="00922F30" w:rsidP="00687C9E">
      <w:pPr>
        <w:spacing w:after="0" w:line="240" w:lineRule="auto"/>
        <w:jc w:val="both"/>
        <w:rPr>
          <w:rFonts w:ascii="Arial" w:eastAsia="Times New Roman" w:hAnsi="Arial" w:cs="Arial"/>
          <w:color w:val="000000" w:themeColor="text1"/>
          <w:sz w:val="24"/>
          <w:szCs w:val="24"/>
          <w:lang w:eastAsia="zh-CN"/>
        </w:rPr>
      </w:pPr>
      <w:r w:rsidRPr="00083184">
        <w:rPr>
          <w:rFonts w:ascii="Arial" w:eastAsia="Times New Roman" w:hAnsi="Arial" w:cs="Arial"/>
          <w:color w:val="000000" w:themeColor="text1"/>
          <w:sz w:val="24"/>
          <w:szCs w:val="24"/>
          <w:lang w:eastAsia="zh-CN"/>
        </w:rPr>
        <w:t xml:space="preserve"> </w:t>
      </w:r>
    </w:p>
    <w:p w14:paraId="51AEE440" w14:textId="77777777" w:rsidR="00E62DD2" w:rsidRPr="00083184" w:rsidRDefault="00922F30" w:rsidP="00D97F8A">
      <w:pPr>
        <w:spacing w:after="0" w:line="240" w:lineRule="auto"/>
        <w:jc w:val="both"/>
        <w:rPr>
          <w:rFonts w:ascii="Arial" w:eastAsia="Times New Roman" w:hAnsi="Arial" w:cs="Arial"/>
          <w:color w:val="000000" w:themeColor="text1"/>
          <w:sz w:val="24"/>
          <w:szCs w:val="24"/>
          <w:lang w:eastAsia="zh-CN"/>
        </w:rPr>
      </w:pPr>
      <w:r w:rsidRPr="00083184">
        <w:rPr>
          <w:rFonts w:ascii="Arial" w:eastAsia="Times New Roman" w:hAnsi="Arial" w:cs="Arial"/>
          <w:color w:val="000000" w:themeColor="text1"/>
          <w:sz w:val="24"/>
          <w:szCs w:val="24"/>
          <w:lang w:eastAsia="zh-CN"/>
        </w:rPr>
        <w:t>There are numerous risks impacting McDonald’s. One of the major risks is lower return than expected on EOTF implementation. McDonald’s has invested a huge number on EOTF in order to increase same store sales and customer service via technology. An additional risk that McDonald’s must face is the possibility of them not being able to adapt to changes in consumer behaviors. This kind of risk will be moderated due to a strong history of McDonald’s understanding what consumers want and adapting their menu to meet the demands of specific markets. McDonald’s prides themselves on being a big company made up of many local entrepreneurs that understand the needs of their community and keep the company in sync with society.</w:t>
      </w:r>
    </w:p>
    <w:p w14:paraId="3D774324" w14:textId="77777777" w:rsidR="00D97F8A" w:rsidRPr="00083184" w:rsidRDefault="00D97F8A" w:rsidP="00D97F8A">
      <w:pPr>
        <w:spacing w:after="0" w:line="240" w:lineRule="auto"/>
        <w:jc w:val="both"/>
        <w:rPr>
          <w:rFonts w:ascii="Arial" w:eastAsia="Times New Roman" w:hAnsi="Arial" w:cs="Arial"/>
          <w:color w:val="000000" w:themeColor="text1"/>
          <w:sz w:val="24"/>
          <w:szCs w:val="24"/>
          <w:lang w:eastAsia="zh-CN"/>
        </w:rPr>
      </w:pPr>
    </w:p>
    <w:p w14:paraId="23579864" w14:textId="77777777" w:rsidR="00B01932" w:rsidRPr="00083184" w:rsidRDefault="00B01932" w:rsidP="008E7375">
      <w:pPr>
        <w:spacing w:after="0" w:line="240" w:lineRule="auto"/>
        <w:jc w:val="both"/>
        <w:outlineLvl w:val="0"/>
        <w:rPr>
          <w:rFonts w:ascii="Arial" w:eastAsia="Times New Roman" w:hAnsi="Arial" w:cs="Arial"/>
          <w:color w:val="000000" w:themeColor="text1"/>
          <w:sz w:val="24"/>
          <w:szCs w:val="24"/>
        </w:rPr>
      </w:pPr>
      <w:r w:rsidRPr="00083184">
        <w:rPr>
          <w:rFonts w:ascii="Arial" w:eastAsia="Times New Roman" w:hAnsi="Arial" w:cs="Arial"/>
          <w:b/>
          <w:color w:val="000000" w:themeColor="text1"/>
          <w:sz w:val="24"/>
          <w:szCs w:val="24"/>
        </w:rPr>
        <w:t>Unrealized Gain on the Investment: 2.21%</w:t>
      </w:r>
      <w:r w:rsidRPr="00083184">
        <w:rPr>
          <w:rFonts w:ascii="Arial" w:eastAsia="Times New Roman" w:hAnsi="Arial" w:cs="Arial"/>
          <w:color w:val="000000" w:themeColor="text1"/>
          <w:sz w:val="24"/>
          <w:szCs w:val="24"/>
        </w:rPr>
        <w:t xml:space="preserve"> </w:t>
      </w:r>
      <w:r w:rsidRPr="00083184">
        <w:rPr>
          <w:rFonts w:ascii="Arial" w:hAnsi="Arial" w:cs="Arial"/>
          <w:color w:val="000000" w:themeColor="text1"/>
          <w:sz w:val="24"/>
          <w:szCs w:val="24"/>
        </w:rPr>
        <w:t>(As of November 30, 2018)</w:t>
      </w:r>
    </w:p>
    <w:p w14:paraId="727E05C6" w14:textId="77777777" w:rsidR="00D97F8A" w:rsidRPr="00083184" w:rsidRDefault="00D97F8A" w:rsidP="00966EE9">
      <w:pPr>
        <w:pStyle w:val="NormalWeb"/>
        <w:spacing w:before="0" w:beforeAutospacing="0" w:after="160" w:afterAutospacing="0"/>
        <w:jc w:val="both"/>
        <w:rPr>
          <w:rFonts w:ascii="Arial" w:hAnsi="Arial" w:cs="Arial"/>
          <w:b/>
          <w:bCs/>
          <w:color w:val="000000" w:themeColor="text1"/>
        </w:rPr>
      </w:pPr>
    </w:p>
    <w:p w14:paraId="67B067C6" w14:textId="77777777" w:rsidR="00966EE9" w:rsidRPr="00083184" w:rsidRDefault="00966EE9" w:rsidP="008E7375">
      <w:pPr>
        <w:pStyle w:val="NormalWeb"/>
        <w:spacing w:before="0" w:beforeAutospacing="0" w:after="160" w:afterAutospacing="0"/>
        <w:jc w:val="both"/>
        <w:outlineLvl w:val="0"/>
        <w:rPr>
          <w:rFonts w:ascii="Arial" w:hAnsi="Arial" w:cs="Arial"/>
          <w:color w:val="000000" w:themeColor="text1"/>
          <w:u w:val="single"/>
        </w:rPr>
      </w:pPr>
      <w:r w:rsidRPr="00083184">
        <w:rPr>
          <w:rFonts w:ascii="Arial" w:hAnsi="Arial" w:cs="Arial"/>
          <w:b/>
          <w:bCs/>
          <w:color w:val="000000" w:themeColor="text1"/>
          <w:u w:val="single"/>
        </w:rPr>
        <w:t>Microsoft (NASDAQ: MSFT)</w:t>
      </w:r>
    </w:p>
    <w:p w14:paraId="758A1807" w14:textId="77777777" w:rsidR="00966EE9" w:rsidRPr="00083184" w:rsidRDefault="00966EE9" w:rsidP="00966EE9">
      <w:pPr>
        <w:pStyle w:val="NormalWeb"/>
        <w:spacing w:before="0" w:beforeAutospacing="0" w:after="160" w:afterAutospacing="0"/>
        <w:jc w:val="both"/>
        <w:rPr>
          <w:rFonts w:ascii="Arial" w:hAnsi="Arial" w:cs="Arial"/>
          <w:color w:val="000000" w:themeColor="text1"/>
        </w:rPr>
      </w:pPr>
      <w:r w:rsidRPr="00083184">
        <w:rPr>
          <w:rFonts w:ascii="Arial" w:hAnsi="Arial" w:cs="Arial"/>
          <w:color w:val="000000" w:themeColor="text1"/>
        </w:rPr>
        <w:t>On November 13, 2018 we purchased 228 shares of Microsoft at $108.12 per share.</w:t>
      </w:r>
    </w:p>
    <w:p w14:paraId="4DC8C379" w14:textId="77777777" w:rsidR="00966EE9" w:rsidRPr="00083184" w:rsidRDefault="00966EE9" w:rsidP="00966EE9">
      <w:pPr>
        <w:pStyle w:val="NormalWeb"/>
        <w:spacing w:before="0" w:beforeAutospacing="0" w:after="160" w:afterAutospacing="0"/>
        <w:jc w:val="both"/>
        <w:rPr>
          <w:rFonts w:ascii="Arial" w:hAnsi="Arial" w:cs="Arial"/>
          <w:color w:val="000000" w:themeColor="text1"/>
        </w:rPr>
      </w:pPr>
      <w:r w:rsidRPr="00083184">
        <w:rPr>
          <w:rFonts w:ascii="Arial" w:hAnsi="Arial" w:cs="Arial"/>
          <w:color w:val="000000" w:themeColor="text1"/>
        </w:rPr>
        <w:t>Founded in 1975 and operating in more than 190 countries, Microsoft is the world's largest software maker. Microsoft’s revenue can be divided into three parts: intelligent cloud (include infrastructure as a service and platform as a service), productivity and business processes (applications in cloud), and more personal computing. About 38% of the revenue is personal computing, 29% is intelligent cloud, 33% is productivity and business processes. In 2018, Microsoft achieved sales almost 110 billion, realizing 14% growth. Microsoft also has dominant market share in PC operating systems and office tools.</w:t>
      </w:r>
    </w:p>
    <w:p w14:paraId="29FFC769" w14:textId="77777777" w:rsidR="00966EE9" w:rsidRPr="00083184" w:rsidRDefault="00966EE9" w:rsidP="00966EE9">
      <w:pPr>
        <w:pStyle w:val="NormalWeb"/>
        <w:spacing w:before="0" w:beforeAutospacing="0" w:after="160" w:afterAutospacing="0"/>
        <w:jc w:val="both"/>
        <w:rPr>
          <w:rFonts w:ascii="Arial" w:hAnsi="Arial" w:cs="Arial"/>
          <w:color w:val="000000" w:themeColor="text1"/>
        </w:rPr>
      </w:pPr>
      <w:r w:rsidRPr="00083184">
        <w:rPr>
          <w:rFonts w:ascii="Arial" w:hAnsi="Arial" w:cs="Arial"/>
          <w:color w:val="000000" w:themeColor="text1"/>
        </w:rPr>
        <w:t>The global market for PC operating systems is expected to remain stable, and Microsoft is expected to continue being the market leader. For the cloud computing market, we see growth coming from enterprises, as companies upgrade/spend on data center infrastructure. Microsoft is the leader in software as a service segment, providing platforms and applications, and holds the second largest market share in the infrastructure as a service space.</w:t>
      </w:r>
    </w:p>
    <w:p w14:paraId="5491C170" w14:textId="2C575851" w:rsidR="00966EE9" w:rsidRPr="00083184" w:rsidRDefault="00966EE9" w:rsidP="00966EE9">
      <w:pPr>
        <w:pStyle w:val="NormalWeb"/>
        <w:spacing w:before="0" w:beforeAutospacing="0" w:after="160" w:afterAutospacing="0"/>
        <w:jc w:val="both"/>
        <w:rPr>
          <w:rFonts w:ascii="Arial" w:hAnsi="Arial" w:cs="Arial"/>
          <w:color w:val="000000" w:themeColor="text1"/>
        </w:rPr>
      </w:pPr>
      <w:r w:rsidRPr="00083184">
        <w:rPr>
          <w:rFonts w:ascii="Arial" w:hAnsi="Arial" w:cs="Arial"/>
          <w:color w:val="000000" w:themeColor="text1"/>
        </w:rPr>
        <w:t xml:space="preserve">Cloud computing will be the future of enterprise IT. Microsoft </w:t>
      </w:r>
      <w:r w:rsidR="006450FD" w:rsidRPr="00083184">
        <w:rPr>
          <w:rFonts w:ascii="Arial" w:hAnsi="Arial" w:cs="Arial"/>
          <w:color w:val="000000" w:themeColor="text1"/>
        </w:rPr>
        <w:t>is a key</w:t>
      </w:r>
      <w:r w:rsidRPr="00083184">
        <w:rPr>
          <w:rFonts w:ascii="Arial" w:hAnsi="Arial" w:cs="Arial"/>
          <w:color w:val="000000" w:themeColor="text1"/>
        </w:rPr>
        <w:t xml:space="preserve"> player in the market and has a rapid growth. Microsoft is expanding partnerships with many large companies on cloud computing, AI and IoT to capture global market. Microsoft has made many large acquisitions like Linkedin and GitHub. </w:t>
      </w:r>
    </w:p>
    <w:p w14:paraId="76B6CBA9" w14:textId="77777777" w:rsidR="00966EE9" w:rsidRPr="00083184" w:rsidRDefault="00966EE9" w:rsidP="00966EE9">
      <w:pPr>
        <w:pStyle w:val="NormalWeb"/>
        <w:spacing w:before="0" w:beforeAutospacing="0" w:after="160" w:afterAutospacing="0"/>
        <w:jc w:val="both"/>
        <w:rPr>
          <w:rFonts w:ascii="Arial" w:hAnsi="Arial" w:cs="Arial"/>
          <w:color w:val="000000" w:themeColor="text1"/>
        </w:rPr>
      </w:pPr>
      <w:r w:rsidRPr="00083184">
        <w:rPr>
          <w:rFonts w:ascii="Arial" w:hAnsi="Arial" w:cs="Arial"/>
          <w:color w:val="000000" w:themeColor="text1"/>
        </w:rPr>
        <w:t>Microsoft’ s main competitors include Amazon, Alphabet, Oracle and IBM. While these companies all operate on a global scale and compete in the cloud computing market, Microsoft’s competitive advantage is that they have a strong EBITDA margin, profit margin and holistic solutions which have helped create a Microsoft ecosystem.</w:t>
      </w:r>
    </w:p>
    <w:p w14:paraId="5DB01AC3" w14:textId="77777777" w:rsidR="00966EE9" w:rsidRPr="00083184" w:rsidRDefault="00966EE9" w:rsidP="00966EE9">
      <w:pPr>
        <w:pStyle w:val="NormalWeb"/>
        <w:spacing w:before="0" w:beforeAutospacing="0" w:after="160" w:afterAutospacing="0"/>
        <w:jc w:val="both"/>
        <w:rPr>
          <w:rFonts w:ascii="Arial" w:hAnsi="Arial" w:cs="Arial"/>
          <w:color w:val="000000" w:themeColor="text1"/>
        </w:rPr>
      </w:pPr>
      <w:r w:rsidRPr="00083184">
        <w:rPr>
          <w:rFonts w:ascii="Arial" w:hAnsi="Arial" w:cs="Arial"/>
          <w:color w:val="000000" w:themeColor="text1"/>
        </w:rPr>
        <w:t>However, Microsoft also faces some risks. Significant investments made in new products and services may not achieve expected returns. Government litigation and regulatory activity may limit how Microsoft designs and markets its products. Also cyberattacks and security vulnerabilities could lead to reduced revenue, increased costs, liability claims, or harm to reputation or competitive position. Additionally, the new acquisitions like LinkedIn and GitHub may face an overpayment risk.</w:t>
      </w:r>
    </w:p>
    <w:p w14:paraId="568701D2" w14:textId="77777777" w:rsidR="006450FD" w:rsidRPr="00083184" w:rsidRDefault="00966EE9" w:rsidP="006450FD">
      <w:pPr>
        <w:pStyle w:val="NormalWeb"/>
        <w:spacing w:before="0" w:beforeAutospacing="0" w:after="160" w:afterAutospacing="0"/>
        <w:outlineLvl w:val="0"/>
        <w:rPr>
          <w:rFonts w:ascii="Arial" w:hAnsi="Arial" w:cs="Arial"/>
          <w:color w:val="000000" w:themeColor="text1"/>
        </w:rPr>
      </w:pPr>
      <w:r w:rsidRPr="00083184">
        <w:rPr>
          <w:rFonts w:ascii="Arial" w:hAnsi="Arial" w:cs="Arial"/>
          <w:b/>
          <w:color w:val="000000" w:themeColor="text1"/>
        </w:rPr>
        <w:t xml:space="preserve">Unrealized Gain on the Investment: 2.59% </w:t>
      </w:r>
      <w:r w:rsidRPr="00083184">
        <w:rPr>
          <w:rFonts w:ascii="Arial" w:hAnsi="Arial" w:cs="Arial"/>
          <w:color w:val="000000" w:themeColor="text1"/>
        </w:rPr>
        <w:t>(As of November</w:t>
      </w:r>
      <w:r w:rsidR="00B01932" w:rsidRPr="00083184">
        <w:rPr>
          <w:rFonts w:ascii="Arial" w:hAnsi="Arial" w:cs="Arial"/>
          <w:color w:val="000000" w:themeColor="text1"/>
        </w:rPr>
        <w:t xml:space="preserve"> 30</w:t>
      </w:r>
      <w:r w:rsidRPr="00083184">
        <w:rPr>
          <w:rFonts w:ascii="Arial" w:hAnsi="Arial" w:cs="Arial"/>
          <w:color w:val="000000" w:themeColor="text1"/>
        </w:rPr>
        <w:t>, 2018)</w:t>
      </w:r>
    </w:p>
    <w:p w14:paraId="5E73FA05" w14:textId="6FC79409" w:rsidR="00DE0517" w:rsidRPr="00083184" w:rsidRDefault="00DE0517" w:rsidP="006450FD">
      <w:pPr>
        <w:pStyle w:val="NormalWeb"/>
        <w:spacing w:before="0" w:beforeAutospacing="0" w:after="160" w:afterAutospacing="0"/>
        <w:outlineLvl w:val="0"/>
        <w:rPr>
          <w:rFonts w:ascii="Arial" w:hAnsi="Arial" w:cs="Arial"/>
          <w:b/>
          <w:color w:val="000000" w:themeColor="text1"/>
        </w:rPr>
      </w:pPr>
      <w:r w:rsidRPr="00083184">
        <w:rPr>
          <w:rFonts w:ascii="Arial" w:eastAsia="SimSun" w:hAnsi="Arial" w:cs="Arial"/>
          <w:b/>
          <w:bCs/>
          <w:color w:val="000000" w:themeColor="text1"/>
          <w:u w:val="single"/>
        </w:rPr>
        <w:t>The Boeing Company (NYSE: BA)</w:t>
      </w:r>
    </w:p>
    <w:p w14:paraId="3ECC5B57" w14:textId="77777777" w:rsidR="006450FD" w:rsidRPr="00083184" w:rsidRDefault="00DE0517" w:rsidP="00687C9E">
      <w:pPr>
        <w:jc w:val="both"/>
        <w:rPr>
          <w:rFonts w:ascii="Arial" w:eastAsia="SimSun" w:hAnsi="Arial" w:cs="Arial"/>
          <w:color w:val="000000" w:themeColor="text1"/>
          <w:sz w:val="24"/>
          <w:szCs w:val="24"/>
        </w:rPr>
      </w:pPr>
      <w:r w:rsidRPr="00083184">
        <w:rPr>
          <w:rFonts w:ascii="Arial" w:eastAsia="SimSun" w:hAnsi="Arial" w:cs="Arial"/>
          <w:color w:val="000000" w:themeColor="text1"/>
          <w:sz w:val="24"/>
          <w:szCs w:val="24"/>
        </w:rPr>
        <w:t>The Boeing Company, together with its subsidiaries, is one of the world’s leading aerospace firms. The compa</w:t>
      </w:r>
      <w:r w:rsidR="006450FD" w:rsidRPr="00083184">
        <w:rPr>
          <w:rFonts w:ascii="Arial" w:eastAsia="SimSun" w:hAnsi="Arial" w:cs="Arial"/>
          <w:color w:val="000000" w:themeColor="text1"/>
          <w:sz w:val="24"/>
          <w:szCs w:val="24"/>
        </w:rPr>
        <w:t xml:space="preserve">ny reports in four segments: </w:t>
      </w:r>
    </w:p>
    <w:p w14:paraId="79F9A5A2" w14:textId="77777777" w:rsidR="006450FD" w:rsidRPr="00083184" w:rsidRDefault="00DE0517" w:rsidP="006450FD">
      <w:pPr>
        <w:pStyle w:val="ListParagraph"/>
        <w:numPr>
          <w:ilvl w:val="0"/>
          <w:numId w:val="11"/>
        </w:numPr>
        <w:jc w:val="both"/>
        <w:rPr>
          <w:rFonts w:ascii="Arial" w:eastAsia="SimSun" w:hAnsi="Arial" w:cs="Arial"/>
          <w:color w:val="000000" w:themeColor="text1"/>
          <w:sz w:val="24"/>
          <w:szCs w:val="24"/>
        </w:rPr>
      </w:pPr>
      <w:r w:rsidRPr="00083184">
        <w:rPr>
          <w:rFonts w:ascii="Arial" w:eastAsia="SimSun" w:hAnsi="Arial" w:cs="Arial"/>
          <w:color w:val="000000" w:themeColor="text1"/>
          <w:sz w:val="24"/>
          <w:szCs w:val="24"/>
        </w:rPr>
        <w:t>Commercial Airplanes segment, which develops, designs, produces and markets commercial jet airplanes and provide fleet</w:t>
      </w:r>
      <w:r w:rsidR="006450FD" w:rsidRPr="00083184">
        <w:rPr>
          <w:rFonts w:ascii="Arial" w:eastAsia="SimSun" w:hAnsi="Arial" w:cs="Arial"/>
          <w:color w:val="000000" w:themeColor="text1"/>
          <w:sz w:val="24"/>
          <w:szCs w:val="24"/>
        </w:rPr>
        <w:t xml:space="preserve"> support services worldwide.</w:t>
      </w:r>
    </w:p>
    <w:p w14:paraId="199F99A8" w14:textId="77777777" w:rsidR="006450FD" w:rsidRPr="00083184" w:rsidRDefault="00DE0517" w:rsidP="006450FD">
      <w:pPr>
        <w:pStyle w:val="ListParagraph"/>
        <w:numPr>
          <w:ilvl w:val="0"/>
          <w:numId w:val="11"/>
        </w:numPr>
        <w:jc w:val="both"/>
        <w:rPr>
          <w:rFonts w:ascii="Arial" w:eastAsia="SimSun" w:hAnsi="Arial" w:cs="Arial"/>
          <w:color w:val="000000" w:themeColor="text1"/>
          <w:sz w:val="24"/>
          <w:szCs w:val="24"/>
        </w:rPr>
      </w:pPr>
      <w:r w:rsidRPr="00083184">
        <w:rPr>
          <w:rFonts w:ascii="Arial" w:eastAsia="SimSun" w:hAnsi="Arial" w:cs="Arial"/>
          <w:color w:val="000000" w:themeColor="text1"/>
          <w:sz w:val="24"/>
          <w:szCs w:val="24"/>
        </w:rPr>
        <w:t>Defense, Space &amp; Security Segment, which engaged in the research, development, production and modification of manned and unmanned military ai</w:t>
      </w:r>
      <w:r w:rsidR="006450FD" w:rsidRPr="00083184">
        <w:rPr>
          <w:rFonts w:ascii="Arial" w:eastAsia="SimSun" w:hAnsi="Arial" w:cs="Arial"/>
          <w:color w:val="000000" w:themeColor="text1"/>
          <w:sz w:val="24"/>
          <w:szCs w:val="24"/>
        </w:rPr>
        <w:t>rplanes and weapons systems.</w:t>
      </w:r>
    </w:p>
    <w:p w14:paraId="689942D3" w14:textId="77777777" w:rsidR="006450FD" w:rsidRPr="00083184" w:rsidRDefault="00DE0517" w:rsidP="006450FD">
      <w:pPr>
        <w:pStyle w:val="ListParagraph"/>
        <w:numPr>
          <w:ilvl w:val="0"/>
          <w:numId w:val="11"/>
        </w:numPr>
        <w:jc w:val="both"/>
        <w:rPr>
          <w:rFonts w:ascii="Arial" w:eastAsia="SimSun" w:hAnsi="Arial" w:cs="Arial"/>
          <w:color w:val="000000" w:themeColor="text1"/>
          <w:sz w:val="24"/>
          <w:szCs w:val="24"/>
        </w:rPr>
      </w:pPr>
      <w:r w:rsidRPr="00083184">
        <w:rPr>
          <w:rFonts w:ascii="Arial" w:eastAsia="SimSun" w:hAnsi="Arial" w:cs="Arial"/>
          <w:color w:val="000000" w:themeColor="text1"/>
          <w:sz w:val="24"/>
          <w:szCs w:val="24"/>
        </w:rPr>
        <w:t>Global Service Segment, which provides service and training to comme</w:t>
      </w:r>
      <w:r w:rsidR="006450FD" w:rsidRPr="00083184">
        <w:rPr>
          <w:rFonts w:ascii="Arial" w:eastAsia="SimSun" w:hAnsi="Arial" w:cs="Arial"/>
          <w:color w:val="000000" w:themeColor="text1"/>
          <w:sz w:val="24"/>
          <w:szCs w:val="24"/>
        </w:rPr>
        <w:t xml:space="preserve">rcial and defense customers. </w:t>
      </w:r>
    </w:p>
    <w:p w14:paraId="224B8B94" w14:textId="23C8C779" w:rsidR="00DE0517" w:rsidRPr="00083184" w:rsidRDefault="00DE0517" w:rsidP="006450FD">
      <w:pPr>
        <w:pStyle w:val="ListParagraph"/>
        <w:numPr>
          <w:ilvl w:val="0"/>
          <w:numId w:val="11"/>
        </w:numPr>
        <w:jc w:val="both"/>
        <w:rPr>
          <w:rFonts w:ascii="Arial" w:eastAsia="SimSun" w:hAnsi="Arial" w:cs="Arial"/>
          <w:color w:val="000000" w:themeColor="text1"/>
          <w:sz w:val="24"/>
          <w:szCs w:val="24"/>
        </w:rPr>
      </w:pPr>
      <w:r w:rsidRPr="00083184">
        <w:rPr>
          <w:rFonts w:ascii="Arial" w:eastAsia="SimSun" w:hAnsi="Arial" w:cs="Arial"/>
          <w:color w:val="000000" w:themeColor="text1"/>
          <w:sz w:val="24"/>
          <w:szCs w:val="24"/>
        </w:rPr>
        <w:t>Boeing Capital Segment, which supports financing services for customers and manages overall financing exposure. It is the largest in the industry sector in terms of Market Cap (Over $200billion).</w:t>
      </w:r>
    </w:p>
    <w:p w14:paraId="0D0B5135" w14:textId="7C8CCF53" w:rsidR="00DE0517" w:rsidRPr="00083184" w:rsidRDefault="00DE0517" w:rsidP="00687C9E">
      <w:pPr>
        <w:jc w:val="both"/>
        <w:rPr>
          <w:rFonts w:ascii="Arial" w:eastAsia="SimSun" w:hAnsi="Arial" w:cs="Arial"/>
          <w:color w:val="000000" w:themeColor="text1"/>
          <w:sz w:val="24"/>
          <w:szCs w:val="24"/>
        </w:rPr>
      </w:pPr>
      <w:r w:rsidRPr="00083184">
        <w:rPr>
          <w:rFonts w:ascii="Arial" w:eastAsia="SimSun" w:hAnsi="Arial" w:cs="Arial"/>
          <w:color w:val="000000" w:themeColor="text1"/>
          <w:sz w:val="24"/>
          <w:szCs w:val="24"/>
        </w:rPr>
        <w:t>The outlook for Aerospace &amp; Defense sector is strong. As globalization and urbanization continue to expand, air-traffic continue to grow and largely driven by economic growth and improved airline services are driven by the liberalization of air traffic rights between countries. This will create further demand for commercial airplanes and aviation service support. Strong demand also coming from the replacement of the current fleet. As airplanes are reaching an average of 20 years of service, according to company forecast, there are roughly 18590 airplanes will be replaced. This will bring the total fleet from 24400 to 42730 in the next 20 years. There are also opportunities in the defense sector. A large amount of fighter jets are demanding replacements and new programs are also introduced and going to be awarded to those who qualify.</w:t>
      </w:r>
    </w:p>
    <w:p w14:paraId="08DE2E0D" w14:textId="40FAACCC" w:rsidR="00DE0517" w:rsidRPr="00083184" w:rsidRDefault="00DE0517" w:rsidP="00687C9E">
      <w:pPr>
        <w:jc w:val="both"/>
        <w:rPr>
          <w:rFonts w:ascii="Arial" w:eastAsia="SimSun" w:hAnsi="Arial" w:cs="Arial"/>
          <w:color w:val="000000" w:themeColor="text1"/>
          <w:sz w:val="24"/>
          <w:szCs w:val="24"/>
        </w:rPr>
      </w:pPr>
      <w:r w:rsidRPr="00083184">
        <w:rPr>
          <w:rFonts w:ascii="Arial" w:eastAsia="SimSun" w:hAnsi="Arial" w:cs="Arial"/>
          <w:color w:val="000000" w:themeColor="text1"/>
          <w:sz w:val="24"/>
          <w:szCs w:val="24"/>
        </w:rPr>
        <w:t>We believe this industry is highly regulated. And both the technological barriers and heavily scrutinized certification process create a significant wide moat for Boeing and protecting its attractive margins from new entrants. The strong growth in the commercial airplanes market will continue to create a strong revenue growth for Boeing both in the commercial airplanes segment and global service segment, given its duopoly place with Airbus in the narrow body aircraft market. In addition, we have analyzed that the healthy backlog orders signal for a steady growth and continuing innovation also increase margins over time. These elements are also consistent with our investment philosophy.</w:t>
      </w:r>
    </w:p>
    <w:p w14:paraId="6B78CD73" w14:textId="6BC3DB82" w:rsidR="00DE0517" w:rsidRPr="00083184" w:rsidRDefault="00DE0517" w:rsidP="00687C9E">
      <w:pPr>
        <w:jc w:val="both"/>
        <w:rPr>
          <w:rFonts w:ascii="Arial" w:eastAsia="SimSun" w:hAnsi="Arial" w:cs="Arial"/>
          <w:color w:val="000000" w:themeColor="text1"/>
          <w:sz w:val="24"/>
          <w:szCs w:val="24"/>
        </w:rPr>
      </w:pPr>
      <w:r w:rsidRPr="00083184">
        <w:rPr>
          <w:rFonts w:ascii="Arial" w:eastAsia="SimSun" w:hAnsi="Arial" w:cs="Arial"/>
          <w:color w:val="000000" w:themeColor="text1"/>
          <w:sz w:val="24"/>
          <w:szCs w:val="24"/>
        </w:rPr>
        <w:t>We believe the current U.S. dollar strengthening and the trade tensions might impact Boeing’s projected earnings and growth strategy in the medium term. We also consider the uncertainty in fiscal appropriations will affect the BDS segment. The supply chain failure could also dramatically hurt the production rate and the quality image of Boeing, like the recent tragedy in Malaysia and reported engine problems. We believe we must consider these risk factors along with attractive returns from this investment.</w:t>
      </w:r>
    </w:p>
    <w:p w14:paraId="146E9B6F" w14:textId="77777777" w:rsidR="00057374" w:rsidRPr="00083184" w:rsidRDefault="00DE0517" w:rsidP="008E7375">
      <w:pPr>
        <w:jc w:val="both"/>
        <w:outlineLvl w:val="0"/>
        <w:rPr>
          <w:rFonts w:ascii="Arial" w:eastAsia="SimSun" w:hAnsi="Arial" w:cs="Arial"/>
          <w:b/>
          <w:color w:val="000000" w:themeColor="text1"/>
          <w:sz w:val="24"/>
          <w:szCs w:val="24"/>
        </w:rPr>
      </w:pPr>
      <w:r w:rsidRPr="00083184">
        <w:rPr>
          <w:rFonts w:ascii="Arial" w:eastAsia="SimSun" w:hAnsi="Arial" w:cs="Arial"/>
          <w:b/>
          <w:color w:val="000000" w:themeColor="text1"/>
          <w:sz w:val="24"/>
          <w:szCs w:val="24"/>
        </w:rPr>
        <w:t xml:space="preserve">Unrealized Gain on the Investment: 5.22% </w:t>
      </w:r>
      <w:r w:rsidRPr="00083184">
        <w:rPr>
          <w:rFonts w:ascii="Arial" w:eastAsia="SimSun" w:hAnsi="Arial" w:cs="Arial"/>
          <w:color w:val="000000" w:themeColor="text1"/>
          <w:sz w:val="24"/>
          <w:szCs w:val="24"/>
        </w:rPr>
        <w:t>(As of Nov</w:t>
      </w:r>
      <w:r w:rsidR="00B01932" w:rsidRPr="00083184">
        <w:rPr>
          <w:rFonts w:ascii="Arial" w:eastAsia="SimSun" w:hAnsi="Arial" w:cs="Arial"/>
          <w:color w:val="000000" w:themeColor="text1"/>
          <w:sz w:val="24"/>
          <w:szCs w:val="24"/>
        </w:rPr>
        <w:t>ember</w:t>
      </w:r>
      <w:r w:rsidRPr="00083184">
        <w:rPr>
          <w:rFonts w:ascii="Arial" w:eastAsia="SimSun" w:hAnsi="Arial" w:cs="Arial"/>
          <w:color w:val="000000" w:themeColor="text1"/>
          <w:sz w:val="24"/>
          <w:szCs w:val="24"/>
        </w:rPr>
        <w:t xml:space="preserve"> 30, 2018)</w:t>
      </w:r>
    </w:p>
    <w:p w14:paraId="724D9F1A" w14:textId="77777777" w:rsidR="00D97F8A" w:rsidRPr="00083184" w:rsidRDefault="00D97F8A" w:rsidP="00057374">
      <w:pPr>
        <w:jc w:val="both"/>
        <w:rPr>
          <w:rFonts w:ascii="Arial" w:hAnsi="Arial" w:cs="Arial"/>
          <w:b/>
          <w:color w:val="000000" w:themeColor="text1"/>
          <w:sz w:val="28"/>
          <w:szCs w:val="28"/>
          <w:u w:val="single"/>
        </w:rPr>
      </w:pPr>
    </w:p>
    <w:p w14:paraId="26DDA7FA" w14:textId="77777777" w:rsidR="00091F3A" w:rsidRPr="00083184" w:rsidRDefault="00091F3A" w:rsidP="008E7375">
      <w:pPr>
        <w:jc w:val="center"/>
        <w:outlineLvl w:val="0"/>
        <w:rPr>
          <w:rFonts w:ascii="Arial" w:eastAsia="SimSun" w:hAnsi="Arial" w:cs="Arial"/>
          <w:b/>
          <w:color w:val="000000" w:themeColor="text1"/>
          <w:sz w:val="28"/>
          <w:szCs w:val="28"/>
        </w:rPr>
      </w:pPr>
      <w:r w:rsidRPr="00083184">
        <w:rPr>
          <w:rFonts w:ascii="Arial" w:hAnsi="Arial" w:cs="Arial"/>
          <w:b/>
          <w:color w:val="000000" w:themeColor="text1"/>
          <w:sz w:val="28"/>
          <w:szCs w:val="28"/>
        </w:rPr>
        <w:t>L</w:t>
      </w:r>
      <w:r w:rsidR="00D97F8A" w:rsidRPr="00083184">
        <w:rPr>
          <w:rFonts w:ascii="Arial" w:hAnsi="Arial" w:cs="Arial"/>
          <w:b/>
          <w:color w:val="000000" w:themeColor="text1"/>
          <w:sz w:val="28"/>
          <w:szCs w:val="28"/>
        </w:rPr>
        <w:t>ESSONS LEARNED</w:t>
      </w:r>
    </w:p>
    <w:p w14:paraId="2081DB4B" w14:textId="1B87B85E" w:rsidR="00091F3A" w:rsidRPr="00083184" w:rsidRDefault="00091F3A" w:rsidP="00687C9E">
      <w:pPr>
        <w:jc w:val="both"/>
        <w:rPr>
          <w:rFonts w:ascii="Arial" w:hAnsi="Arial" w:cs="Arial"/>
          <w:color w:val="000000" w:themeColor="text1"/>
          <w:sz w:val="24"/>
          <w:szCs w:val="24"/>
        </w:rPr>
      </w:pPr>
      <w:r w:rsidRPr="00083184">
        <w:rPr>
          <w:rFonts w:ascii="Arial" w:hAnsi="Arial" w:cs="Arial"/>
          <w:color w:val="000000" w:themeColor="text1"/>
          <w:sz w:val="24"/>
          <w:szCs w:val="24"/>
        </w:rPr>
        <w:t>As students, we have made sacrifices in order to invest in ourselves and attend University, increasing our knowledge and making us more valuable to future employers. Being a part of the University of Connecticut’s prestigious Student Managed Fund adds an additional layer of experience that many individuals do not get to receive until they are well into their careers. The opportunity to invest $</w:t>
      </w:r>
      <w:r w:rsidR="00BD3E0D" w:rsidRPr="00083184">
        <w:rPr>
          <w:rFonts w:ascii="Arial" w:hAnsi="Arial" w:cs="Arial"/>
          <w:color w:val="000000" w:themeColor="text1"/>
          <w:sz w:val="24"/>
          <w:szCs w:val="24"/>
        </w:rPr>
        <w:t>500,000</w:t>
      </w:r>
      <w:r w:rsidRPr="00083184">
        <w:rPr>
          <w:rFonts w:ascii="Arial" w:hAnsi="Arial" w:cs="Arial"/>
          <w:color w:val="000000" w:themeColor="text1"/>
          <w:sz w:val="24"/>
          <w:szCs w:val="24"/>
        </w:rPr>
        <w:t xml:space="preserve"> is as daunting as it is exciting. Under the guidance of </w:t>
      </w:r>
      <w:r w:rsidR="00FC6C2C" w:rsidRPr="00083184">
        <w:rPr>
          <w:rFonts w:ascii="Arial" w:hAnsi="Arial" w:cs="Arial"/>
          <w:color w:val="000000" w:themeColor="text1"/>
          <w:sz w:val="24"/>
          <w:szCs w:val="24"/>
        </w:rPr>
        <w:t>P</w:t>
      </w:r>
      <w:r w:rsidRPr="00083184">
        <w:rPr>
          <w:rFonts w:ascii="Arial" w:hAnsi="Arial" w:cs="Arial"/>
          <w:color w:val="000000" w:themeColor="text1"/>
          <w:sz w:val="24"/>
          <w:szCs w:val="24"/>
        </w:rPr>
        <w:t>rofessor Blake Mather, we have started to practically apply the lessons that we’ve learned in his class as well as other UConn courses that came before his. The Student Managed Fund in particular has allowed us to sharpen some old skills as well as taught us many new ones. These s</w:t>
      </w:r>
      <w:r w:rsidR="00FC6C2C" w:rsidRPr="00083184">
        <w:rPr>
          <w:rFonts w:ascii="Arial" w:hAnsi="Arial" w:cs="Arial"/>
          <w:color w:val="000000" w:themeColor="text1"/>
          <w:sz w:val="24"/>
          <w:szCs w:val="24"/>
        </w:rPr>
        <w:t>k</w:t>
      </w:r>
      <w:r w:rsidRPr="00083184">
        <w:rPr>
          <w:rFonts w:ascii="Arial" w:hAnsi="Arial" w:cs="Arial"/>
          <w:color w:val="000000" w:themeColor="text1"/>
          <w:sz w:val="24"/>
          <w:szCs w:val="24"/>
        </w:rPr>
        <w:t>ills can be summarized as either hard technical skills or soft interpersonal skills.</w:t>
      </w:r>
    </w:p>
    <w:p w14:paraId="4BF338CC" w14:textId="13B8DCAB" w:rsidR="00091F3A" w:rsidRPr="00083184" w:rsidRDefault="00091F3A" w:rsidP="00687C9E">
      <w:pPr>
        <w:jc w:val="both"/>
        <w:rPr>
          <w:rFonts w:ascii="Arial" w:hAnsi="Arial" w:cs="Arial"/>
          <w:color w:val="000000" w:themeColor="text1"/>
          <w:sz w:val="24"/>
          <w:szCs w:val="24"/>
        </w:rPr>
      </w:pPr>
      <w:r w:rsidRPr="00083184">
        <w:rPr>
          <w:rFonts w:ascii="Arial" w:hAnsi="Arial" w:cs="Arial"/>
          <w:color w:val="000000" w:themeColor="text1"/>
          <w:sz w:val="24"/>
          <w:szCs w:val="24"/>
        </w:rPr>
        <w:t xml:space="preserve">Valuation and modeling are hard skills that all students </w:t>
      </w:r>
      <w:r w:rsidR="00FC6C2C" w:rsidRPr="00083184">
        <w:rPr>
          <w:rFonts w:ascii="Arial" w:hAnsi="Arial" w:cs="Arial"/>
          <w:color w:val="000000" w:themeColor="text1"/>
          <w:sz w:val="24"/>
          <w:szCs w:val="24"/>
        </w:rPr>
        <w:t>in</w:t>
      </w:r>
      <w:r w:rsidRPr="00083184">
        <w:rPr>
          <w:rFonts w:ascii="Arial" w:hAnsi="Arial" w:cs="Arial"/>
          <w:color w:val="000000" w:themeColor="text1"/>
          <w:sz w:val="24"/>
          <w:szCs w:val="24"/>
        </w:rPr>
        <w:t xml:space="preserve"> Student Managed Fund have acquired and sharpened. </w:t>
      </w:r>
      <w:r w:rsidR="00791DC1" w:rsidRPr="00083184">
        <w:rPr>
          <w:rFonts w:ascii="Arial" w:hAnsi="Arial" w:cs="Arial"/>
          <w:color w:val="000000" w:themeColor="text1"/>
          <w:sz w:val="24"/>
          <w:szCs w:val="24"/>
        </w:rPr>
        <w:t>We</w:t>
      </w:r>
      <w:r w:rsidRPr="00083184">
        <w:rPr>
          <w:rFonts w:ascii="Arial" w:hAnsi="Arial" w:cs="Arial"/>
          <w:color w:val="000000" w:themeColor="text1"/>
          <w:sz w:val="24"/>
          <w:szCs w:val="24"/>
        </w:rPr>
        <w:t xml:space="preserve"> have spent hours adjusting </w:t>
      </w:r>
      <w:r w:rsidR="00791DC1" w:rsidRPr="00083184">
        <w:rPr>
          <w:rFonts w:ascii="Arial" w:hAnsi="Arial" w:cs="Arial"/>
          <w:color w:val="000000" w:themeColor="text1"/>
          <w:sz w:val="24"/>
          <w:szCs w:val="24"/>
        </w:rPr>
        <w:t>the</w:t>
      </w:r>
      <w:r w:rsidRPr="00083184">
        <w:rPr>
          <w:rFonts w:ascii="Arial" w:hAnsi="Arial" w:cs="Arial"/>
          <w:color w:val="000000" w:themeColor="text1"/>
          <w:sz w:val="24"/>
          <w:szCs w:val="24"/>
        </w:rPr>
        <w:t xml:space="preserve"> assumptions and projections for </w:t>
      </w:r>
      <w:r w:rsidR="00791DC1" w:rsidRPr="00083184">
        <w:rPr>
          <w:rFonts w:ascii="Arial" w:hAnsi="Arial" w:cs="Arial"/>
          <w:color w:val="000000" w:themeColor="text1"/>
          <w:sz w:val="24"/>
          <w:szCs w:val="24"/>
        </w:rPr>
        <w:t xml:space="preserve">the </w:t>
      </w:r>
      <w:r w:rsidRPr="00083184">
        <w:rPr>
          <w:rFonts w:ascii="Arial" w:hAnsi="Arial" w:cs="Arial"/>
          <w:color w:val="000000" w:themeColor="text1"/>
          <w:sz w:val="24"/>
          <w:szCs w:val="24"/>
        </w:rPr>
        <w:t xml:space="preserve">Discounted Cash Flow analysis and other forms of valuing companies. </w:t>
      </w:r>
      <w:r w:rsidR="00791DC1" w:rsidRPr="00083184">
        <w:rPr>
          <w:rFonts w:ascii="Arial" w:hAnsi="Arial" w:cs="Arial"/>
          <w:color w:val="000000" w:themeColor="text1"/>
          <w:sz w:val="24"/>
          <w:szCs w:val="24"/>
        </w:rPr>
        <w:t xml:space="preserve">We </w:t>
      </w:r>
      <w:r w:rsidRPr="00083184">
        <w:rPr>
          <w:rFonts w:ascii="Arial" w:hAnsi="Arial" w:cs="Arial"/>
          <w:color w:val="000000" w:themeColor="text1"/>
          <w:sz w:val="24"/>
          <w:szCs w:val="24"/>
        </w:rPr>
        <w:t xml:space="preserve">have also learned </w:t>
      </w:r>
      <w:r w:rsidR="00FC6C2C" w:rsidRPr="00083184">
        <w:rPr>
          <w:rFonts w:ascii="Arial" w:hAnsi="Arial" w:cs="Arial"/>
          <w:color w:val="000000" w:themeColor="text1"/>
          <w:sz w:val="24"/>
          <w:szCs w:val="24"/>
        </w:rPr>
        <w:t xml:space="preserve">to </w:t>
      </w:r>
      <w:r w:rsidRPr="00083184">
        <w:rPr>
          <w:rFonts w:ascii="Arial" w:hAnsi="Arial" w:cs="Arial"/>
          <w:color w:val="000000" w:themeColor="text1"/>
          <w:sz w:val="24"/>
          <w:szCs w:val="24"/>
        </w:rPr>
        <w:t>use Bloomberg Terminals for stock screening and research. There are countless functions that have become second nature to</w:t>
      </w:r>
      <w:r w:rsidR="00291F6B" w:rsidRPr="00083184">
        <w:rPr>
          <w:rFonts w:ascii="Arial" w:hAnsi="Arial" w:cs="Arial"/>
          <w:color w:val="000000" w:themeColor="text1"/>
          <w:sz w:val="24"/>
          <w:szCs w:val="24"/>
        </w:rPr>
        <w:t xml:space="preserve"> us </w:t>
      </w:r>
      <w:r w:rsidR="00AE6142" w:rsidRPr="00083184">
        <w:rPr>
          <w:rFonts w:ascii="Arial" w:hAnsi="Arial" w:cs="Arial"/>
          <w:color w:val="000000" w:themeColor="text1"/>
          <w:sz w:val="24"/>
          <w:szCs w:val="24"/>
        </w:rPr>
        <w:t>and this has helped t</w:t>
      </w:r>
      <w:r w:rsidRPr="00083184">
        <w:rPr>
          <w:rFonts w:ascii="Arial" w:hAnsi="Arial" w:cs="Arial"/>
          <w:color w:val="000000" w:themeColor="text1"/>
          <w:sz w:val="24"/>
          <w:szCs w:val="24"/>
        </w:rPr>
        <w:t>o use Bloomberg mo</w:t>
      </w:r>
      <w:r w:rsidR="00FC6C2C" w:rsidRPr="00083184">
        <w:rPr>
          <w:rFonts w:ascii="Arial" w:hAnsi="Arial" w:cs="Arial"/>
          <w:color w:val="000000" w:themeColor="text1"/>
          <w:sz w:val="24"/>
          <w:szCs w:val="24"/>
        </w:rPr>
        <w:t>re</w:t>
      </w:r>
      <w:r w:rsidRPr="00083184">
        <w:rPr>
          <w:rFonts w:ascii="Arial" w:hAnsi="Arial" w:cs="Arial"/>
          <w:color w:val="000000" w:themeColor="text1"/>
          <w:sz w:val="24"/>
          <w:szCs w:val="24"/>
        </w:rPr>
        <w:t xml:space="preserve"> efficiently</w:t>
      </w:r>
      <w:r w:rsidR="00FC6C2C" w:rsidRPr="00083184">
        <w:rPr>
          <w:rFonts w:ascii="Arial" w:hAnsi="Arial" w:cs="Arial"/>
          <w:color w:val="000000" w:themeColor="text1"/>
          <w:sz w:val="24"/>
          <w:szCs w:val="24"/>
        </w:rPr>
        <w:t xml:space="preserve">. </w:t>
      </w:r>
      <w:r w:rsidRPr="00083184">
        <w:rPr>
          <w:rFonts w:ascii="Arial" w:hAnsi="Arial" w:cs="Arial"/>
          <w:color w:val="000000" w:themeColor="text1"/>
          <w:sz w:val="24"/>
          <w:szCs w:val="24"/>
        </w:rPr>
        <w:t>Lastly, the Student Managed Fund has turned us into industry experts and has taught us how to efficiently sift through</w:t>
      </w:r>
      <w:r w:rsidR="00FC6C2C" w:rsidRPr="00083184">
        <w:rPr>
          <w:rFonts w:ascii="Arial" w:hAnsi="Arial" w:cs="Arial"/>
          <w:color w:val="000000" w:themeColor="text1"/>
          <w:sz w:val="24"/>
          <w:szCs w:val="24"/>
        </w:rPr>
        <w:t xml:space="preserve"> tons</w:t>
      </w:r>
      <w:r w:rsidRPr="00083184">
        <w:rPr>
          <w:rFonts w:ascii="Arial" w:hAnsi="Arial" w:cs="Arial"/>
          <w:color w:val="000000" w:themeColor="text1"/>
          <w:sz w:val="24"/>
          <w:szCs w:val="24"/>
        </w:rPr>
        <w:t xml:space="preserve"> of information.</w:t>
      </w:r>
    </w:p>
    <w:p w14:paraId="68E85343" w14:textId="0406CB7B" w:rsidR="00091F3A" w:rsidRPr="00083184" w:rsidRDefault="00091F3A" w:rsidP="00687C9E">
      <w:pPr>
        <w:jc w:val="both"/>
        <w:rPr>
          <w:rFonts w:ascii="Arial" w:hAnsi="Arial" w:cs="Arial"/>
          <w:color w:val="000000" w:themeColor="text1"/>
          <w:sz w:val="24"/>
          <w:szCs w:val="24"/>
        </w:rPr>
      </w:pPr>
      <w:r w:rsidRPr="00083184">
        <w:rPr>
          <w:rFonts w:ascii="Arial" w:hAnsi="Arial" w:cs="Arial"/>
          <w:color w:val="000000" w:themeColor="text1"/>
          <w:sz w:val="24"/>
          <w:szCs w:val="24"/>
        </w:rPr>
        <w:t xml:space="preserve">On our first day of class Professor </w:t>
      </w:r>
      <w:r w:rsidR="00021A7A" w:rsidRPr="00083184">
        <w:rPr>
          <w:rFonts w:ascii="Arial" w:hAnsi="Arial" w:cs="Arial"/>
          <w:color w:val="000000" w:themeColor="text1"/>
          <w:sz w:val="24"/>
          <w:szCs w:val="24"/>
        </w:rPr>
        <w:t xml:space="preserve">Blake Mather </w:t>
      </w:r>
      <w:r w:rsidRPr="00083184">
        <w:rPr>
          <w:rFonts w:ascii="Arial" w:hAnsi="Arial" w:cs="Arial"/>
          <w:color w:val="000000" w:themeColor="text1"/>
          <w:sz w:val="24"/>
          <w:szCs w:val="24"/>
        </w:rPr>
        <w:t>introduced us to the concept of second level thinking. Since that day, UConn Stamford’s SMF team has learned to not take data at face value or as isolated strands of information. Instead, we ask ourselves how one piece of data can come together with the rest of our knowledge in order to paint a better</w:t>
      </w:r>
      <w:r w:rsidR="00FC6C2C" w:rsidRPr="00083184">
        <w:rPr>
          <w:rFonts w:ascii="Arial" w:hAnsi="Arial" w:cs="Arial"/>
          <w:color w:val="000000" w:themeColor="text1"/>
          <w:sz w:val="24"/>
          <w:szCs w:val="24"/>
        </w:rPr>
        <w:t xml:space="preserve"> </w:t>
      </w:r>
      <w:r w:rsidRPr="00083184">
        <w:rPr>
          <w:rFonts w:ascii="Arial" w:hAnsi="Arial" w:cs="Arial"/>
          <w:color w:val="000000" w:themeColor="text1"/>
          <w:sz w:val="24"/>
          <w:szCs w:val="24"/>
        </w:rPr>
        <w:t>picture. In addition to this second level thinking we have developed soft skills relat</w:t>
      </w:r>
      <w:r w:rsidR="00FC6C2C" w:rsidRPr="00083184">
        <w:rPr>
          <w:rFonts w:ascii="Arial" w:hAnsi="Arial" w:cs="Arial"/>
          <w:color w:val="000000" w:themeColor="text1"/>
          <w:sz w:val="24"/>
          <w:szCs w:val="24"/>
        </w:rPr>
        <w:t>ed</w:t>
      </w:r>
      <w:r w:rsidRPr="00083184">
        <w:rPr>
          <w:rFonts w:ascii="Arial" w:hAnsi="Arial" w:cs="Arial"/>
          <w:color w:val="000000" w:themeColor="text1"/>
          <w:sz w:val="24"/>
          <w:szCs w:val="24"/>
        </w:rPr>
        <w:t xml:space="preserve"> to preparing for and pitching a company. After multiple stock pitches the team has become comfortable with the nuances that come along with stock presentations. We have learned not to get too bogged down in assumptions and modeling and instead focus more on the big picture and the qualitative aspects of the company that is being pitched.</w:t>
      </w:r>
    </w:p>
    <w:p w14:paraId="33CF24E1" w14:textId="77777777" w:rsidR="00DE0517" w:rsidRPr="001143B3" w:rsidRDefault="00DE0517">
      <w:pPr>
        <w:rPr>
          <w:rFonts w:ascii="Arial" w:eastAsia="Arial" w:hAnsi="Arial" w:cs="Arial"/>
          <w:color w:val="000000" w:themeColor="text1"/>
          <w:sz w:val="24"/>
          <w:szCs w:val="24"/>
        </w:rPr>
      </w:pPr>
    </w:p>
    <w:sectPr w:rsidR="00DE0517" w:rsidRPr="001143B3" w:rsidSect="00287267">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8CBCB" w14:textId="77777777" w:rsidR="00011E0C" w:rsidRDefault="00011E0C">
      <w:pPr>
        <w:spacing w:after="0" w:line="240" w:lineRule="auto"/>
      </w:pPr>
      <w:r>
        <w:separator/>
      </w:r>
    </w:p>
  </w:endnote>
  <w:endnote w:type="continuationSeparator" w:id="0">
    <w:p w14:paraId="5A2796C7" w14:textId="77777777" w:rsidR="00011E0C" w:rsidRDefault="0001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328923"/>
      <w:docPartObj>
        <w:docPartGallery w:val="Page Numbers (Bottom of Page)"/>
        <w:docPartUnique/>
      </w:docPartObj>
    </w:sdtPr>
    <w:sdtEndPr>
      <w:rPr>
        <w:noProof/>
      </w:rPr>
    </w:sdtEndPr>
    <w:sdtContent>
      <w:p w14:paraId="05FC4957" w14:textId="77777777" w:rsidR="007E3509" w:rsidRDefault="007E3509">
        <w:pPr>
          <w:pStyle w:val="Footer"/>
          <w:jc w:val="center"/>
        </w:pPr>
        <w:r>
          <w:fldChar w:fldCharType="begin"/>
        </w:r>
        <w:r>
          <w:instrText xml:space="preserve"> PAGE   \* MERGEFORMAT </w:instrText>
        </w:r>
        <w:r>
          <w:fldChar w:fldCharType="separate"/>
        </w:r>
        <w:r w:rsidR="00D972B7">
          <w:rPr>
            <w:noProof/>
          </w:rPr>
          <w:t>2</w:t>
        </w:r>
        <w:r>
          <w:rPr>
            <w:noProof/>
          </w:rPr>
          <w:fldChar w:fldCharType="end"/>
        </w:r>
      </w:p>
    </w:sdtContent>
  </w:sdt>
  <w:p w14:paraId="3A964ED2" w14:textId="77777777" w:rsidR="007E3509" w:rsidRDefault="007E35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541C7" w14:textId="77777777" w:rsidR="007E3509" w:rsidRDefault="007E3509" w:rsidP="001143B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B8BBF" w14:textId="77777777" w:rsidR="00011E0C" w:rsidRDefault="00011E0C">
      <w:pPr>
        <w:spacing w:after="0" w:line="240" w:lineRule="auto"/>
      </w:pPr>
      <w:r>
        <w:separator/>
      </w:r>
    </w:p>
  </w:footnote>
  <w:footnote w:type="continuationSeparator" w:id="0">
    <w:p w14:paraId="77406C20" w14:textId="77777777" w:rsidR="00011E0C" w:rsidRDefault="00011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71537122"/>
      <w:docPartObj>
        <w:docPartGallery w:val="Page Numbers (Top of Page)"/>
        <w:docPartUnique/>
      </w:docPartObj>
    </w:sdtPr>
    <w:sdtEndPr>
      <w:rPr>
        <w:rStyle w:val="PageNumber"/>
      </w:rPr>
    </w:sdtEndPr>
    <w:sdtContent>
      <w:p w14:paraId="44A90E2B" w14:textId="77777777" w:rsidR="007E3509" w:rsidRDefault="007E3509" w:rsidP="007E35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9158FF" w14:textId="77777777" w:rsidR="007E3509" w:rsidRDefault="007E3509" w:rsidP="001143B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372E1" w14:textId="77777777" w:rsidR="007E3509" w:rsidRDefault="007E3509" w:rsidP="001143B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92D67"/>
    <w:multiLevelType w:val="multilevel"/>
    <w:tmpl w:val="C0F621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80" w:hanging="50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57895"/>
    <w:multiLevelType w:val="multilevel"/>
    <w:tmpl w:val="720490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FD0D1E"/>
    <w:multiLevelType w:val="hybridMultilevel"/>
    <w:tmpl w:val="B800776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943006"/>
    <w:multiLevelType w:val="hybridMultilevel"/>
    <w:tmpl w:val="3D427054"/>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A534B0"/>
    <w:multiLevelType w:val="hybridMultilevel"/>
    <w:tmpl w:val="C612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066F2"/>
    <w:multiLevelType w:val="hybridMultilevel"/>
    <w:tmpl w:val="484299B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BB2913"/>
    <w:multiLevelType w:val="hybridMultilevel"/>
    <w:tmpl w:val="FD287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C643AA"/>
    <w:multiLevelType w:val="multilevel"/>
    <w:tmpl w:val="47C23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AA41911"/>
    <w:multiLevelType w:val="hybridMultilevel"/>
    <w:tmpl w:val="B7A262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7D7E6C"/>
    <w:multiLevelType w:val="multilevel"/>
    <w:tmpl w:val="99F613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F4673F0"/>
    <w:multiLevelType w:val="hybridMultilevel"/>
    <w:tmpl w:val="F9909B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0"/>
  </w:num>
  <w:num w:numId="5">
    <w:abstractNumId w:val="4"/>
  </w:num>
  <w:num w:numId="6">
    <w:abstractNumId w:val="6"/>
  </w:num>
  <w:num w:numId="7">
    <w:abstractNumId w:val="5"/>
  </w:num>
  <w:num w:numId="8">
    <w:abstractNumId w:val="3"/>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D2"/>
    <w:rsid w:val="00011E0C"/>
    <w:rsid w:val="00012E46"/>
    <w:rsid w:val="00021A7A"/>
    <w:rsid w:val="000277BF"/>
    <w:rsid w:val="00045FBF"/>
    <w:rsid w:val="00057374"/>
    <w:rsid w:val="00060807"/>
    <w:rsid w:val="00083184"/>
    <w:rsid w:val="000869CE"/>
    <w:rsid w:val="00090643"/>
    <w:rsid w:val="00091F3A"/>
    <w:rsid w:val="00111801"/>
    <w:rsid w:val="001143B3"/>
    <w:rsid w:val="001225F9"/>
    <w:rsid w:val="00127E82"/>
    <w:rsid w:val="001511CF"/>
    <w:rsid w:val="001751C8"/>
    <w:rsid w:val="001B74E0"/>
    <w:rsid w:val="001C3BB9"/>
    <w:rsid w:val="00221BCE"/>
    <w:rsid w:val="00271340"/>
    <w:rsid w:val="00287267"/>
    <w:rsid w:val="00291F6B"/>
    <w:rsid w:val="002D4B66"/>
    <w:rsid w:val="002E155B"/>
    <w:rsid w:val="002E78B6"/>
    <w:rsid w:val="003007AD"/>
    <w:rsid w:val="003931A1"/>
    <w:rsid w:val="003B3E6B"/>
    <w:rsid w:val="00422F0E"/>
    <w:rsid w:val="00447189"/>
    <w:rsid w:val="00454F40"/>
    <w:rsid w:val="0045740C"/>
    <w:rsid w:val="004C6409"/>
    <w:rsid w:val="004D0C7D"/>
    <w:rsid w:val="004D7252"/>
    <w:rsid w:val="00537366"/>
    <w:rsid w:val="005469C1"/>
    <w:rsid w:val="00556896"/>
    <w:rsid w:val="00575E60"/>
    <w:rsid w:val="00576A9F"/>
    <w:rsid w:val="005B34A5"/>
    <w:rsid w:val="005B4231"/>
    <w:rsid w:val="005B5906"/>
    <w:rsid w:val="006116FE"/>
    <w:rsid w:val="00622135"/>
    <w:rsid w:val="006335F4"/>
    <w:rsid w:val="006450FD"/>
    <w:rsid w:val="00646D28"/>
    <w:rsid w:val="006545A1"/>
    <w:rsid w:val="006601D0"/>
    <w:rsid w:val="00687C9E"/>
    <w:rsid w:val="006B6CAC"/>
    <w:rsid w:val="006C51E1"/>
    <w:rsid w:val="00742437"/>
    <w:rsid w:val="00745C7C"/>
    <w:rsid w:val="00754BD6"/>
    <w:rsid w:val="007841C8"/>
    <w:rsid w:val="00791DC1"/>
    <w:rsid w:val="007B60F7"/>
    <w:rsid w:val="007E3509"/>
    <w:rsid w:val="007F26AD"/>
    <w:rsid w:val="0080174A"/>
    <w:rsid w:val="00814675"/>
    <w:rsid w:val="008211D4"/>
    <w:rsid w:val="0085431A"/>
    <w:rsid w:val="008C3F3D"/>
    <w:rsid w:val="008E7375"/>
    <w:rsid w:val="00922F30"/>
    <w:rsid w:val="009332AA"/>
    <w:rsid w:val="00966EE9"/>
    <w:rsid w:val="009743D2"/>
    <w:rsid w:val="00984FA0"/>
    <w:rsid w:val="009A35F1"/>
    <w:rsid w:val="009B7C03"/>
    <w:rsid w:val="009C7558"/>
    <w:rsid w:val="00A05ED0"/>
    <w:rsid w:val="00A10169"/>
    <w:rsid w:val="00A46EB2"/>
    <w:rsid w:val="00A56FB8"/>
    <w:rsid w:val="00AE6142"/>
    <w:rsid w:val="00AE617F"/>
    <w:rsid w:val="00B01932"/>
    <w:rsid w:val="00B53417"/>
    <w:rsid w:val="00B55FA3"/>
    <w:rsid w:val="00B80A34"/>
    <w:rsid w:val="00BD3E0D"/>
    <w:rsid w:val="00BE1450"/>
    <w:rsid w:val="00C13DC8"/>
    <w:rsid w:val="00C85965"/>
    <w:rsid w:val="00CC0DF7"/>
    <w:rsid w:val="00D636BE"/>
    <w:rsid w:val="00D80E5B"/>
    <w:rsid w:val="00D863B9"/>
    <w:rsid w:val="00D90611"/>
    <w:rsid w:val="00D92290"/>
    <w:rsid w:val="00D972B7"/>
    <w:rsid w:val="00D97F8A"/>
    <w:rsid w:val="00DA457F"/>
    <w:rsid w:val="00DC0042"/>
    <w:rsid w:val="00DE0517"/>
    <w:rsid w:val="00DF04E1"/>
    <w:rsid w:val="00E1552A"/>
    <w:rsid w:val="00E15BDF"/>
    <w:rsid w:val="00E26B87"/>
    <w:rsid w:val="00E30C54"/>
    <w:rsid w:val="00E36E27"/>
    <w:rsid w:val="00E417B8"/>
    <w:rsid w:val="00E62DD2"/>
    <w:rsid w:val="00E807EC"/>
    <w:rsid w:val="00EC52F4"/>
    <w:rsid w:val="00EC6D03"/>
    <w:rsid w:val="00EF4C79"/>
    <w:rsid w:val="00F23863"/>
    <w:rsid w:val="00F37F1E"/>
    <w:rsid w:val="00FC0500"/>
    <w:rsid w:val="00FC6C2C"/>
    <w:rsid w:val="00FF30F5"/>
    <w:rsid w:val="25612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274FE"/>
  <w15:docId w15:val="{F2B4AD32-16B4-45DC-BA3B-93E83518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sz w:val="56"/>
      <w:szCs w:val="56"/>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customStyle="1" w:styleId="SubtitleChar">
    <w:name w:val="Subtitle Char"/>
    <w:basedOn w:val="DefaultParagraphFont"/>
    <w:link w:val="Subtitle"/>
    <w:uiPriority w:val="11"/>
    <w:rsid w:val="001B74E0"/>
    <w:rPr>
      <w:rFonts w:ascii="Georgia" w:eastAsia="Georgia" w:hAnsi="Georgia" w:cs="Georgia"/>
      <w:i/>
      <w:color w:val="666666"/>
      <w:sz w:val="48"/>
      <w:szCs w:val="48"/>
    </w:rPr>
  </w:style>
  <w:style w:type="paragraph" w:styleId="NormalWeb">
    <w:name w:val="Normal (Web)"/>
    <w:basedOn w:val="Normal"/>
    <w:uiPriority w:val="99"/>
    <w:unhideWhenUsed/>
    <w:rsid w:val="00922F30"/>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DE0517"/>
    <w:pPr>
      <w:ind w:left="720"/>
      <w:contextualSpacing/>
    </w:pPr>
  </w:style>
  <w:style w:type="paragraph" w:styleId="Header">
    <w:name w:val="header"/>
    <w:basedOn w:val="Normal"/>
    <w:link w:val="HeaderChar"/>
    <w:uiPriority w:val="99"/>
    <w:unhideWhenUsed/>
    <w:rsid w:val="00687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C9E"/>
  </w:style>
  <w:style w:type="paragraph" w:styleId="Footer">
    <w:name w:val="footer"/>
    <w:basedOn w:val="Normal"/>
    <w:link w:val="FooterChar"/>
    <w:uiPriority w:val="99"/>
    <w:unhideWhenUsed/>
    <w:rsid w:val="00687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C9E"/>
  </w:style>
  <w:style w:type="paragraph" w:styleId="NoSpacing">
    <w:name w:val="No Spacing"/>
    <w:uiPriority w:val="1"/>
    <w:qFormat/>
    <w:rsid w:val="00687C9E"/>
    <w:pPr>
      <w:spacing w:after="0" w:line="240" w:lineRule="auto"/>
    </w:pPr>
  </w:style>
  <w:style w:type="paragraph" w:styleId="BalloonText">
    <w:name w:val="Balloon Text"/>
    <w:basedOn w:val="Normal"/>
    <w:link w:val="BalloonTextChar"/>
    <w:uiPriority w:val="99"/>
    <w:semiHidden/>
    <w:unhideWhenUsed/>
    <w:rsid w:val="00027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7BF"/>
    <w:rPr>
      <w:rFonts w:ascii="Tahoma" w:hAnsi="Tahoma" w:cs="Tahoma"/>
      <w:sz w:val="16"/>
      <w:szCs w:val="16"/>
    </w:rPr>
  </w:style>
  <w:style w:type="character" w:styleId="PageNumber">
    <w:name w:val="page number"/>
    <w:basedOn w:val="DefaultParagraphFont"/>
    <w:uiPriority w:val="99"/>
    <w:semiHidden/>
    <w:unhideWhenUsed/>
    <w:rsid w:val="001143B3"/>
  </w:style>
  <w:style w:type="character" w:styleId="CommentReference">
    <w:name w:val="annotation reference"/>
    <w:basedOn w:val="DefaultParagraphFont"/>
    <w:uiPriority w:val="99"/>
    <w:semiHidden/>
    <w:unhideWhenUsed/>
    <w:rsid w:val="002E155B"/>
    <w:rPr>
      <w:sz w:val="16"/>
      <w:szCs w:val="16"/>
    </w:rPr>
  </w:style>
  <w:style w:type="paragraph" w:styleId="CommentText">
    <w:name w:val="annotation text"/>
    <w:basedOn w:val="Normal"/>
    <w:link w:val="CommentTextChar"/>
    <w:uiPriority w:val="99"/>
    <w:semiHidden/>
    <w:unhideWhenUsed/>
    <w:rsid w:val="002E155B"/>
    <w:pPr>
      <w:spacing w:line="240" w:lineRule="auto"/>
    </w:pPr>
    <w:rPr>
      <w:sz w:val="20"/>
      <w:szCs w:val="20"/>
    </w:rPr>
  </w:style>
  <w:style w:type="character" w:customStyle="1" w:styleId="CommentTextChar">
    <w:name w:val="Comment Text Char"/>
    <w:basedOn w:val="DefaultParagraphFont"/>
    <w:link w:val="CommentText"/>
    <w:uiPriority w:val="99"/>
    <w:semiHidden/>
    <w:rsid w:val="002E155B"/>
    <w:rPr>
      <w:sz w:val="20"/>
      <w:szCs w:val="20"/>
    </w:rPr>
  </w:style>
  <w:style w:type="paragraph" w:styleId="CommentSubject">
    <w:name w:val="annotation subject"/>
    <w:basedOn w:val="CommentText"/>
    <w:next w:val="CommentText"/>
    <w:link w:val="CommentSubjectChar"/>
    <w:uiPriority w:val="99"/>
    <w:semiHidden/>
    <w:unhideWhenUsed/>
    <w:rsid w:val="002E155B"/>
    <w:rPr>
      <w:b/>
      <w:bCs/>
    </w:rPr>
  </w:style>
  <w:style w:type="character" w:customStyle="1" w:styleId="CommentSubjectChar">
    <w:name w:val="Comment Subject Char"/>
    <w:basedOn w:val="CommentTextChar"/>
    <w:link w:val="CommentSubject"/>
    <w:uiPriority w:val="99"/>
    <w:semiHidden/>
    <w:rsid w:val="002E15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emf"/><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7882</Words>
  <Characters>44934</Characters>
  <Application>Microsoft Office Word</Application>
  <DocSecurity>4</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Yang</dc:creator>
  <cp:lastModifiedBy>Laurel Grisamer</cp:lastModifiedBy>
  <cp:revision>2</cp:revision>
  <cp:lastPrinted>2018-12-12T05:02:00Z</cp:lastPrinted>
  <dcterms:created xsi:type="dcterms:W3CDTF">2018-12-17T16:25:00Z</dcterms:created>
  <dcterms:modified xsi:type="dcterms:W3CDTF">2018-12-17T16:25:00Z</dcterms:modified>
</cp:coreProperties>
</file>