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2160"/>
        <w:gridCol w:w="3240"/>
      </w:tblGrid>
      <w:tr w:rsidR="00C8095F" w:rsidRPr="00D9079F" w14:paraId="3AA29E37" w14:textId="77777777" w:rsidTr="1F3A26C1">
        <w:trPr>
          <w:trHeight w:val="80"/>
        </w:trPr>
        <w:tc>
          <w:tcPr>
            <w:tcW w:w="3150" w:type="dxa"/>
            <w:shd w:val="clear" w:color="auto" w:fill="365F91" w:themeFill="accent1" w:themeFillShade="BF"/>
          </w:tcPr>
          <w:p w14:paraId="2E49CA38" w14:textId="29AF2076" w:rsidR="00C8095F" w:rsidRPr="00D9079F" w:rsidRDefault="003D049E" w:rsidP="000F755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Company: </w:t>
            </w:r>
            <w:r w:rsidR="000F7555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Costco </w:t>
            </w:r>
            <w:r w:rsidR="00037D92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Hasbro</w:t>
            </w:r>
          </w:p>
        </w:tc>
        <w:tc>
          <w:tcPr>
            <w:tcW w:w="3150" w:type="dxa"/>
            <w:shd w:val="clear" w:color="auto" w:fill="365F91" w:themeFill="accent1" w:themeFillShade="BF"/>
          </w:tcPr>
          <w:p w14:paraId="5FDF97F0" w14:textId="540731D2" w:rsidR="00C8095F" w:rsidRPr="00D9079F" w:rsidRDefault="003D049E" w:rsidP="000F755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</w:t>
            </w:r>
            <w:r w:rsidR="002467B7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icker: </w:t>
            </w:r>
            <w:r w:rsidR="00037D92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HAS</w:t>
            </w:r>
            <w:r w:rsidR="00C8095F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 </w:t>
            </w:r>
            <w:r w:rsidR="0025416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Current Price: $ </w:t>
            </w:r>
            <w:r w:rsidR="00D3322B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92.45</w:t>
            </w:r>
          </w:p>
        </w:tc>
        <w:tc>
          <w:tcPr>
            <w:tcW w:w="5400" w:type="dxa"/>
            <w:gridSpan w:val="2"/>
            <w:shd w:val="clear" w:color="auto" w:fill="365F91" w:themeFill="accent1" w:themeFillShade="BF"/>
          </w:tcPr>
          <w:p w14:paraId="417B84CE" w14:textId="0718180D" w:rsidR="00C8095F" w:rsidRPr="00D9079F" w:rsidRDefault="001B63F4" w:rsidP="00881885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Industry</w:t>
            </w:r>
            <w:r w:rsidR="0025416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037D92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Consumer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6E44B8" w:rsidRPr="00D9079F" w14:paraId="185E94E4" w14:textId="77777777" w:rsidTr="1F3A26C1">
        <w:trPr>
          <w:trHeight w:val="512"/>
        </w:trPr>
        <w:tc>
          <w:tcPr>
            <w:tcW w:w="3150" w:type="dxa"/>
          </w:tcPr>
          <w:p w14:paraId="159CAB82" w14:textId="2DD059B2" w:rsidR="00E8555E" w:rsidRPr="00BA5DC4" w:rsidRDefault="00E8555E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BA5DC4">
              <w:rPr>
                <w:rFonts w:asciiTheme="majorHAnsi" w:hAnsiTheme="majorHAnsi"/>
                <w:sz w:val="16"/>
                <w:szCs w:val="16"/>
              </w:rPr>
              <w:t>Target Price</w:t>
            </w:r>
            <w:r w:rsidR="00C161B3" w:rsidRPr="00BA5DC4">
              <w:rPr>
                <w:rFonts w:asciiTheme="majorHAnsi" w:hAnsiTheme="majorHAnsi"/>
                <w:sz w:val="16"/>
                <w:szCs w:val="16"/>
              </w:rPr>
              <w:t>:</w:t>
            </w:r>
            <w:r w:rsidR="00672AB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E7A90">
              <w:rPr>
                <w:rFonts w:asciiTheme="majorHAnsi" w:hAnsiTheme="majorHAnsi"/>
                <w:sz w:val="16"/>
                <w:szCs w:val="16"/>
              </w:rPr>
              <w:t>1</w:t>
            </w:r>
            <w:r w:rsidR="00D3322B">
              <w:rPr>
                <w:rFonts w:asciiTheme="majorHAnsi" w:hAnsiTheme="majorHAnsi"/>
                <w:sz w:val="16"/>
                <w:szCs w:val="16"/>
              </w:rPr>
              <w:t>07</w:t>
            </w:r>
            <w:r w:rsidR="003E7A90">
              <w:rPr>
                <w:rFonts w:asciiTheme="majorHAnsi" w:hAnsiTheme="majorHAnsi"/>
                <w:sz w:val="16"/>
                <w:szCs w:val="16"/>
              </w:rPr>
              <w:t xml:space="preserve"> (1</w:t>
            </w:r>
            <w:r w:rsidR="00D3322B">
              <w:rPr>
                <w:rFonts w:asciiTheme="majorHAnsi" w:hAnsiTheme="majorHAnsi"/>
                <w:sz w:val="16"/>
                <w:szCs w:val="16"/>
              </w:rPr>
              <w:t>5</w:t>
            </w:r>
            <w:r w:rsidR="0011203C">
              <w:rPr>
                <w:rFonts w:asciiTheme="majorHAnsi" w:hAnsiTheme="majorHAnsi"/>
                <w:sz w:val="16"/>
                <w:szCs w:val="16"/>
              </w:rPr>
              <w:t>%)</w:t>
            </w:r>
          </w:p>
          <w:p w14:paraId="366C508D" w14:textId="407741BA" w:rsidR="00E8555E" w:rsidRPr="00BA5DC4" w:rsidRDefault="00C161B3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BA5DC4">
              <w:rPr>
                <w:rFonts w:asciiTheme="majorHAnsi" w:hAnsiTheme="majorHAnsi"/>
                <w:sz w:val="16"/>
                <w:szCs w:val="16"/>
              </w:rPr>
              <w:t>Stop Loss:</w:t>
            </w:r>
            <w:r w:rsidR="00743904" w:rsidRPr="00BA5DC4">
              <w:rPr>
                <w:rFonts w:asciiTheme="majorHAnsi" w:hAnsiTheme="majorHAnsi"/>
                <w:sz w:val="16"/>
                <w:szCs w:val="16"/>
              </w:rPr>
              <w:t xml:space="preserve"> $</w:t>
            </w:r>
            <w:r w:rsidR="00D3322B">
              <w:rPr>
                <w:rFonts w:asciiTheme="majorHAnsi" w:hAnsiTheme="majorHAnsi"/>
                <w:sz w:val="16"/>
                <w:szCs w:val="16"/>
              </w:rPr>
              <w:t>78</w:t>
            </w:r>
            <w:r w:rsidR="00425DFC">
              <w:rPr>
                <w:rFonts w:asciiTheme="majorHAnsi" w:hAnsiTheme="majorHAnsi"/>
                <w:sz w:val="16"/>
                <w:szCs w:val="16"/>
              </w:rPr>
              <w:t>(15%</w:t>
            </w:r>
            <w:r w:rsidR="00057DE4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7E50A51D" w14:textId="3FCDCBC3" w:rsidR="000F7555" w:rsidRPr="00E079C5" w:rsidRDefault="00E8555E" w:rsidP="000F7555">
            <w:pPr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</w:pPr>
            <w:r w:rsidRPr="00BA5DC4">
              <w:rPr>
                <w:rFonts w:asciiTheme="majorHAnsi" w:hAnsiTheme="majorHAnsi"/>
                <w:sz w:val="16"/>
                <w:szCs w:val="16"/>
              </w:rPr>
              <w:t>52 Week High/ Low:</w:t>
            </w:r>
            <w:r w:rsidR="00743904" w:rsidRPr="00BA5DC4">
              <w:rPr>
                <w:rFonts w:asciiTheme="majorHAnsi" w:hAnsiTheme="majorHAnsi"/>
                <w:sz w:val="16"/>
                <w:szCs w:val="16"/>
              </w:rPr>
              <w:t xml:space="preserve"> $</w:t>
            </w:r>
            <w:r w:rsidR="00890173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80.2</w:t>
            </w:r>
            <w:r w:rsidR="00195CE9" w:rsidRPr="00BA5DC4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 / $</w:t>
            </w:r>
            <w:r w:rsidR="003E7A90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11</w:t>
            </w:r>
            <w:r w:rsidR="00890173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6.2</w:t>
            </w:r>
          </w:p>
        </w:tc>
        <w:tc>
          <w:tcPr>
            <w:tcW w:w="3150" w:type="dxa"/>
          </w:tcPr>
          <w:p w14:paraId="461A4200" w14:textId="06C8FEDD" w:rsidR="00E8555E" w:rsidRPr="00BA5DC4" w:rsidRDefault="00E8555E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BA5DC4">
              <w:rPr>
                <w:rFonts w:asciiTheme="majorHAnsi" w:hAnsiTheme="majorHAnsi"/>
                <w:sz w:val="16"/>
                <w:szCs w:val="16"/>
              </w:rPr>
              <w:t xml:space="preserve">TTM P/E: </w:t>
            </w:r>
            <w:r w:rsidR="00D3322B">
              <w:rPr>
                <w:rFonts w:asciiTheme="majorHAnsi" w:hAnsiTheme="majorHAnsi"/>
                <w:sz w:val="16"/>
                <w:szCs w:val="16"/>
              </w:rPr>
              <w:t>19.8</w:t>
            </w:r>
          </w:p>
          <w:p w14:paraId="7862C274" w14:textId="0FD9BA85" w:rsidR="00E8555E" w:rsidRPr="00BA5DC4" w:rsidRDefault="00702EFF" w:rsidP="00E8555E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Forward P/E:</w:t>
            </w:r>
            <w:r w:rsidR="00DB7E3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D3322B">
              <w:rPr>
                <w:rFonts w:asciiTheme="majorHAnsi" w:hAnsiTheme="majorHAnsi"/>
                <w:sz w:val="16"/>
                <w:szCs w:val="16"/>
              </w:rPr>
              <w:t>18.1</w:t>
            </w:r>
          </w:p>
          <w:p w14:paraId="5AA3FEF7" w14:textId="7ECEFFFD" w:rsidR="006E44B8" w:rsidRPr="00BA5DC4" w:rsidRDefault="00E8555E" w:rsidP="0011203C">
            <w:pPr>
              <w:rPr>
                <w:rFonts w:asciiTheme="majorHAnsi" w:hAnsiTheme="majorHAnsi"/>
                <w:sz w:val="16"/>
                <w:szCs w:val="16"/>
              </w:rPr>
            </w:pPr>
            <w:r w:rsidRPr="00BA5DC4">
              <w:rPr>
                <w:rFonts w:asciiTheme="majorHAnsi" w:hAnsiTheme="majorHAnsi"/>
                <w:sz w:val="16"/>
                <w:szCs w:val="16"/>
              </w:rPr>
              <w:t xml:space="preserve">EPS: </w:t>
            </w:r>
            <w:r w:rsidR="00425DFC">
              <w:rPr>
                <w:rFonts w:asciiTheme="majorHAnsi" w:hAnsiTheme="majorHAnsi"/>
                <w:sz w:val="16"/>
                <w:szCs w:val="16"/>
              </w:rPr>
              <w:t>$</w:t>
            </w:r>
            <w:r w:rsidR="00D3322B">
              <w:rPr>
                <w:rFonts w:asciiTheme="majorHAnsi" w:hAnsiTheme="majorHAnsi"/>
                <w:sz w:val="16"/>
                <w:szCs w:val="16"/>
              </w:rPr>
              <w:t>4.68</w:t>
            </w:r>
          </w:p>
        </w:tc>
        <w:tc>
          <w:tcPr>
            <w:tcW w:w="2160" w:type="dxa"/>
            <w:shd w:val="clear" w:color="auto" w:fill="auto"/>
          </w:tcPr>
          <w:p w14:paraId="25238E11" w14:textId="08A3E82F" w:rsidR="00E8555E" w:rsidRPr="00BA5DC4" w:rsidRDefault="00923CAB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BA5DC4">
              <w:rPr>
                <w:rFonts w:asciiTheme="majorHAnsi" w:hAnsiTheme="majorHAnsi"/>
                <w:sz w:val="16"/>
                <w:szCs w:val="16"/>
              </w:rPr>
              <w:t xml:space="preserve">Beta: </w:t>
            </w:r>
            <w:r w:rsidR="003E7A90">
              <w:rPr>
                <w:rFonts w:asciiTheme="majorHAnsi" w:hAnsiTheme="majorHAnsi"/>
                <w:sz w:val="16"/>
                <w:szCs w:val="16"/>
              </w:rPr>
              <w:t>0.</w:t>
            </w:r>
            <w:r w:rsidR="00037D92">
              <w:rPr>
                <w:rFonts w:asciiTheme="majorHAnsi" w:hAnsiTheme="majorHAnsi"/>
                <w:sz w:val="16"/>
                <w:szCs w:val="16"/>
              </w:rPr>
              <w:t>59</w:t>
            </w:r>
            <w:bookmarkStart w:id="0" w:name="_GoBack"/>
            <w:bookmarkEnd w:id="0"/>
          </w:p>
          <w:p w14:paraId="668080B0" w14:textId="1606C283" w:rsidR="00E60A49" w:rsidRPr="00BA5DC4" w:rsidRDefault="00E8555E" w:rsidP="00E60A49">
            <w:pPr>
              <w:rPr>
                <w:rFonts w:asciiTheme="majorHAnsi" w:hAnsiTheme="majorHAnsi"/>
                <w:sz w:val="16"/>
                <w:szCs w:val="16"/>
              </w:rPr>
            </w:pPr>
            <w:r w:rsidRPr="00BA5DC4">
              <w:rPr>
                <w:rFonts w:asciiTheme="majorHAnsi" w:hAnsiTheme="majorHAnsi"/>
                <w:sz w:val="16"/>
                <w:szCs w:val="16"/>
              </w:rPr>
              <w:t>Credit Rating:</w:t>
            </w:r>
            <w:r w:rsidR="00AD34B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D3322B">
              <w:rPr>
                <w:rFonts w:asciiTheme="majorHAnsi" w:hAnsiTheme="majorHAnsi"/>
                <w:sz w:val="16"/>
                <w:szCs w:val="16"/>
              </w:rPr>
              <w:t>BBB</w:t>
            </w:r>
          </w:p>
          <w:p w14:paraId="5BFE3D7B" w14:textId="057AFF3A" w:rsidR="000F7555" w:rsidRPr="00E079C5" w:rsidRDefault="003073EA" w:rsidP="00E60A49">
            <w:pPr>
              <w:rPr>
                <w:rFonts w:asciiTheme="majorHAnsi" w:hAnsiTheme="majorHAnsi"/>
                <w:sz w:val="16"/>
                <w:szCs w:val="16"/>
              </w:rPr>
            </w:pPr>
            <w:r w:rsidRPr="00BA5DC4">
              <w:rPr>
                <w:rFonts w:asciiTheme="majorHAnsi" w:hAnsiTheme="majorHAnsi"/>
                <w:sz w:val="16"/>
                <w:szCs w:val="16"/>
              </w:rPr>
              <w:t xml:space="preserve">Rating Outlook: </w:t>
            </w:r>
            <w:r w:rsidR="00FC7627">
              <w:rPr>
                <w:rFonts w:asciiTheme="majorHAnsi" w:hAnsiTheme="majorHAnsi"/>
                <w:sz w:val="16"/>
                <w:szCs w:val="16"/>
              </w:rPr>
              <w:t>Stable</w:t>
            </w:r>
          </w:p>
        </w:tc>
        <w:tc>
          <w:tcPr>
            <w:tcW w:w="3240" w:type="dxa"/>
          </w:tcPr>
          <w:p w14:paraId="438980BC" w14:textId="6EE3E7C2" w:rsidR="006E44B8" w:rsidRPr="00BA5DC4" w:rsidRDefault="0013332F">
            <w:pPr>
              <w:rPr>
                <w:rFonts w:asciiTheme="majorHAnsi" w:hAnsiTheme="majorHAnsi"/>
                <w:sz w:val="16"/>
                <w:szCs w:val="16"/>
              </w:rPr>
            </w:pPr>
            <w:r w:rsidRPr="00BA5DC4">
              <w:rPr>
                <w:rFonts w:asciiTheme="majorHAnsi" w:hAnsiTheme="majorHAnsi"/>
                <w:sz w:val="16"/>
                <w:szCs w:val="16"/>
              </w:rPr>
              <w:t xml:space="preserve">Market Cap: </w:t>
            </w:r>
            <w:r w:rsidR="00743904" w:rsidRPr="00BA5DC4">
              <w:rPr>
                <w:rFonts w:asciiTheme="majorHAnsi" w:hAnsiTheme="majorHAnsi"/>
                <w:sz w:val="16"/>
                <w:szCs w:val="16"/>
              </w:rPr>
              <w:t>$</w:t>
            </w:r>
            <w:r w:rsidR="00D3322B">
              <w:rPr>
                <w:rFonts w:asciiTheme="majorHAnsi" w:hAnsiTheme="majorHAnsi"/>
                <w:sz w:val="16"/>
                <w:szCs w:val="16"/>
              </w:rPr>
              <w:t>11.5</w:t>
            </w:r>
            <w:r w:rsidR="00E60A49" w:rsidRPr="00BA5DC4">
              <w:rPr>
                <w:rFonts w:asciiTheme="majorHAnsi" w:hAnsiTheme="majorHAnsi"/>
                <w:sz w:val="16"/>
                <w:szCs w:val="16"/>
              </w:rPr>
              <w:t>b</w:t>
            </w:r>
          </w:p>
          <w:p w14:paraId="37B82920" w14:textId="27CF6582" w:rsidR="00C441B3" w:rsidRPr="00BA5DC4" w:rsidRDefault="003E7A90" w:rsidP="1F3A26C1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UniversLTStd-BoldCn"/>
                <w:sz w:val="16"/>
                <w:szCs w:val="16"/>
              </w:rPr>
              <w:t>Avg</w:t>
            </w:r>
            <w:proofErr w:type="spellEnd"/>
            <w:r>
              <w:rPr>
                <w:rFonts w:asciiTheme="majorHAnsi" w:hAnsiTheme="majorHAnsi" w:cs="UniversLTStd-BoldCn"/>
                <w:sz w:val="16"/>
                <w:szCs w:val="16"/>
              </w:rPr>
              <w:t xml:space="preserve"> Vol (12 M): </w:t>
            </w:r>
            <w:r w:rsidR="00D3322B">
              <w:rPr>
                <w:rFonts w:asciiTheme="majorHAnsi" w:hAnsiTheme="majorHAnsi" w:cs="UniversLTStd-BoldCn"/>
                <w:sz w:val="16"/>
                <w:szCs w:val="16"/>
              </w:rPr>
              <w:t>1.3</w:t>
            </w:r>
            <w:r w:rsidR="1F3A26C1" w:rsidRPr="1F3A26C1">
              <w:rPr>
                <w:rFonts w:asciiTheme="majorHAnsi" w:hAnsiTheme="majorHAnsi" w:cs="UniversLTStd-BoldCn"/>
                <w:sz w:val="16"/>
                <w:szCs w:val="16"/>
              </w:rPr>
              <w:t xml:space="preserve"> mil</w:t>
            </w:r>
          </w:p>
          <w:p w14:paraId="0D1C791A" w14:textId="52B4577C" w:rsidR="000F7555" w:rsidRPr="00BA5DC4" w:rsidRDefault="00E5675C" w:rsidP="1F3A26C1">
            <w:pPr>
              <w:rPr>
                <w:rFonts w:asciiTheme="majorHAnsi" w:hAnsiTheme="majorHAnsi"/>
                <w:sz w:val="16"/>
                <w:szCs w:val="16"/>
              </w:rPr>
            </w:pPr>
            <w:r w:rsidRPr="00BA5DC4">
              <w:rPr>
                <w:rFonts w:asciiTheme="majorHAnsi" w:hAnsiTheme="majorHAnsi"/>
                <w:sz w:val="16"/>
                <w:szCs w:val="16"/>
              </w:rPr>
              <w:t xml:space="preserve">Dividend Yield: </w:t>
            </w:r>
            <w:r w:rsidR="00D3322B">
              <w:rPr>
                <w:rFonts w:asciiTheme="majorHAnsi" w:hAnsiTheme="majorHAnsi"/>
                <w:sz w:val="16"/>
                <w:szCs w:val="16"/>
              </w:rPr>
              <w:t>2.36</w:t>
            </w:r>
            <w:r w:rsidR="00743904" w:rsidRPr="00BA5DC4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</w:tbl>
    <w:p w14:paraId="4F402887" w14:textId="5E93BC67" w:rsidR="00443ED9" w:rsidRPr="00DF636E" w:rsidRDefault="00443ED9" w:rsidP="005E114B">
      <w:pPr>
        <w:rPr>
          <w:rFonts w:asciiTheme="majorHAnsi" w:hAnsiTheme="majorHAnsi"/>
          <w:b/>
          <w:color w:val="FFFFFF" w:themeColor="background1"/>
          <w:sz w:val="16"/>
          <w:szCs w:val="16"/>
        </w:rPr>
      </w:pPr>
    </w:p>
    <w:tbl>
      <w:tblPr>
        <w:tblStyle w:val="TableGrid"/>
        <w:tblW w:w="11700" w:type="dxa"/>
        <w:tblInd w:w="-1332" w:type="dxa"/>
        <w:tblLook w:val="04A0" w:firstRow="1" w:lastRow="0" w:firstColumn="1" w:lastColumn="0" w:noHBand="0" w:noVBand="1"/>
      </w:tblPr>
      <w:tblGrid>
        <w:gridCol w:w="11700"/>
      </w:tblGrid>
      <w:tr w:rsidR="00DB5A10" w:rsidRPr="00D9079F" w14:paraId="311194DC" w14:textId="77777777" w:rsidTr="00DB5A10">
        <w:trPr>
          <w:trHeight w:val="197"/>
        </w:trPr>
        <w:tc>
          <w:tcPr>
            <w:tcW w:w="11700" w:type="dxa"/>
            <w:shd w:val="clear" w:color="auto" w:fill="365F91" w:themeFill="accent1" w:themeFillShade="BF"/>
          </w:tcPr>
          <w:p w14:paraId="14342F91" w14:textId="5A8BBA7A" w:rsidR="00DB5A10" w:rsidRPr="00D9079F" w:rsidRDefault="00DB5A10" w:rsidP="00DB5A10">
            <w:pPr>
              <w:tabs>
                <w:tab w:val="left" w:pos="3690"/>
              </w:tabs>
              <w:jc w:val="both"/>
              <w:rPr>
                <w:rFonts w:asciiTheme="majorHAnsi" w:hAnsiTheme="majorHAnsi"/>
                <w:color w:val="FFFFFF" w:themeColor="background1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Company Background:  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ab/>
            </w:r>
          </w:p>
        </w:tc>
      </w:tr>
      <w:tr w:rsidR="00DB5A10" w:rsidRPr="00D9079F" w14:paraId="325C88BE" w14:textId="77777777" w:rsidTr="00DB5A10">
        <w:tc>
          <w:tcPr>
            <w:tcW w:w="11700" w:type="dxa"/>
          </w:tcPr>
          <w:p w14:paraId="0A8884D5" w14:textId="68BEC6CC" w:rsidR="00766C69" w:rsidRPr="00AC7C30" w:rsidRDefault="00D3322B" w:rsidP="00192B7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Hasbro is a worldwide leader in children's and families’ leisure time, entertainment products, and services. Hasbro is not limited to just games; it covers all types of entertainment ranging from toys and games to television, movies, and digital gaming. Based on Franchise Brands and Partner Brands, Hasbro offers a set of options covering wide ra</w:t>
            </w:r>
            <w:r w:rsidR="00161001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n</w:t>
            </w: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ge of audiences, including Nerf, My Little Pony, Transformers, Play-Doh, Monopoly, Magic: The Gathering, Marvel and Disney Princesses.</w:t>
            </w:r>
            <w: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="00274740" w:rsidRPr="00D9079F" w14:paraId="4EB61633" w14:textId="77777777" w:rsidTr="00274740">
        <w:tc>
          <w:tcPr>
            <w:tcW w:w="11700" w:type="dxa"/>
            <w:shd w:val="clear" w:color="auto" w:fill="365F91" w:themeFill="accent1" w:themeFillShade="BF"/>
          </w:tcPr>
          <w:p w14:paraId="38206B03" w14:textId="7B341966" w:rsidR="00274740" w:rsidRPr="00D9079F" w:rsidRDefault="00274740" w:rsidP="00BB61F8">
            <w:pPr>
              <w:tabs>
                <w:tab w:val="left" w:pos="3225"/>
              </w:tabs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Industry </w:t>
            </w:r>
            <w:r w:rsidR="00BB3908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Outlook: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 </w:t>
            </w:r>
          </w:p>
        </w:tc>
      </w:tr>
      <w:tr w:rsidR="00274740" w:rsidRPr="00D9079F" w14:paraId="52C52C72" w14:textId="77777777" w:rsidTr="00D3322B">
        <w:trPr>
          <w:trHeight w:val="827"/>
        </w:trPr>
        <w:tc>
          <w:tcPr>
            <w:tcW w:w="11700" w:type="dxa"/>
          </w:tcPr>
          <w:p w14:paraId="2219CC73" w14:textId="328A65DB" w:rsidR="00D3322B" w:rsidRPr="00D3322B" w:rsidRDefault="00D3322B" w:rsidP="00D3322B">
            <w:p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For major markets that Hasbro covers, traditional toys &amp; games had a market size of $55.09 billion in 2016, with a projection of $63.10 billion in 2021, equivalent to a 2.75% YOY growth. The total toys &amp; games industry was $126.76 billion in 2016, which is anticipated to expand to $162.48 billion in 2021, 5.09% YOY growth. The higher growth is ascribed to the fast-developing digital games, with a YOY growth of 6.75% from 2016 to 2021. We anticipate the traditional toys and games industry will continue to expand, but the digital trend will grow at a faster pace. As the absolute leader in the industry, Hasbro is in a strong position to take advantage of the expansion in the traditional toys and games.</w:t>
            </w:r>
          </w:p>
        </w:tc>
      </w:tr>
      <w:tr w:rsidR="00DB5A10" w:rsidRPr="00D9079F" w14:paraId="6A32B295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22F69EB1" w14:textId="576A2943" w:rsidR="00DB5A10" w:rsidRPr="00D9079F" w:rsidRDefault="004C0465" w:rsidP="00DB5A10">
            <w:pPr>
              <w:tabs>
                <w:tab w:val="left" w:pos="3225"/>
              </w:tabs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Investment Thesis:</w:t>
            </w:r>
          </w:p>
        </w:tc>
      </w:tr>
      <w:tr w:rsidR="00DB5A10" w:rsidRPr="00D9079F" w14:paraId="4F0CBDAD" w14:textId="77777777" w:rsidTr="00DB5A10">
        <w:tc>
          <w:tcPr>
            <w:tcW w:w="11700" w:type="dxa"/>
          </w:tcPr>
          <w:p w14:paraId="62D520F5" w14:textId="77777777" w:rsidR="008D04A0" w:rsidRPr="00D3322B" w:rsidRDefault="00EB2598" w:rsidP="00D3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Successful storytelling, primarily through movies, will continue to enhance sales.</w:t>
            </w:r>
          </w:p>
          <w:p w14:paraId="255E41A1" w14:textId="77777777" w:rsidR="008D04A0" w:rsidRPr="00D3322B" w:rsidRDefault="00EB2598" w:rsidP="00D3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Hasbro will maintain partnerships with major Intellectual Property (IP) owners such as Disney and Marvel and strengthen its market position by acquiring additional popular IPs.</w:t>
            </w:r>
          </w:p>
          <w:p w14:paraId="2C08832C" w14:textId="77777777" w:rsidR="008D04A0" w:rsidRPr="00D3322B" w:rsidRDefault="00EB2598" w:rsidP="00D3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 xml:space="preserve">Major markets will continue to grow for the next 7 years from 2.46% in 2018 to 0.94% in 2024. </w:t>
            </w:r>
          </w:p>
          <w:p w14:paraId="5D9D05FA" w14:textId="77777777" w:rsidR="008D04A0" w:rsidRPr="00D3322B" w:rsidRDefault="00EB2598" w:rsidP="00D3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By expanding global markets, Hasbro will execute its storytelling strategy through a broader base and will increase its sales accordingly.</w:t>
            </w:r>
          </w:p>
          <w:p w14:paraId="6BFB1D3C" w14:textId="77777777" w:rsidR="008D04A0" w:rsidRPr="00D3322B" w:rsidRDefault="00EB2598" w:rsidP="00D3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Product diversification and brand awareness will help Hasbro maintain a sustainable business.</w:t>
            </w:r>
          </w:p>
          <w:p w14:paraId="2BC6C294" w14:textId="77777777" w:rsidR="008D04A0" w:rsidRPr="00D3322B" w:rsidRDefault="00EB2598" w:rsidP="00D3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High operating margin and EBITDA margin indicate effective corporate management and healthy operations.</w:t>
            </w:r>
          </w:p>
          <w:p w14:paraId="032360F1" w14:textId="77777777" w:rsidR="008D04A0" w:rsidRPr="00D3322B" w:rsidRDefault="00EB2598" w:rsidP="00D3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High dividend growth rate shows confidence in Hasbro’s financial status and its willingness to reward its shareholders. We expect dividends to continue to grow at an average of 10% YOY for the next 7 years.</w:t>
            </w:r>
          </w:p>
          <w:p w14:paraId="35F9E681" w14:textId="049415DC" w:rsidR="008D61D2" w:rsidRPr="00D3322B" w:rsidRDefault="00EB2598" w:rsidP="00D3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D3322B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High EPS and ROE demonstrate Hasbro’s strong potential as a value investment.</w:t>
            </w:r>
          </w:p>
        </w:tc>
      </w:tr>
      <w:tr w:rsidR="00DB5A10" w:rsidRPr="00D9079F" w14:paraId="3604FAC8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36D57562" w14:textId="69893D12" w:rsidR="00DB5A10" w:rsidRPr="00AE53EE" w:rsidRDefault="00DB5A10" w:rsidP="00AE53EE">
            <w:pPr>
              <w:tabs>
                <w:tab w:val="left" w:pos="3225"/>
              </w:tabs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</w:pPr>
            <w:r w:rsidRPr="00AE53EE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Investment Risks:</w:t>
            </w:r>
            <w:r w:rsidRPr="00AE53EE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ab/>
            </w:r>
          </w:p>
        </w:tc>
      </w:tr>
      <w:tr w:rsidR="00DB5A10" w:rsidRPr="00D9079F" w14:paraId="7051B972" w14:textId="77777777" w:rsidTr="00DB5A10">
        <w:tc>
          <w:tcPr>
            <w:tcW w:w="11700" w:type="dxa"/>
          </w:tcPr>
          <w:p w14:paraId="0C3F5BA3" w14:textId="77777777" w:rsidR="00D3322B" w:rsidRPr="00D3322B" w:rsidRDefault="00D3322B" w:rsidP="00D3322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161001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Macro Economy Challenge</w:t>
            </w:r>
          </w:p>
          <w:p w14:paraId="59C90815" w14:textId="77777777" w:rsidR="00B658BA" w:rsidRPr="00D3322B" w:rsidRDefault="00D3322B" w:rsidP="00B658B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161001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A Stronger U.S. Dollar Can be Expected</w:t>
            </w:r>
          </w:p>
          <w:p w14:paraId="3A22797D" w14:textId="77777777" w:rsidR="00D3322B" w:rsidRPr="00D3322B" w:rsidRDefault="00D3322B" w:rsidP="00B658B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161001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Potential Threat from the Fast-Developing Digital Trend</w:t>
            </w:r>
          </w:p>
          <w:p w14:paraId="4B8EBD41" w14:textId="77777777" w:rsidR="00D3322B" w:rsidRPr="00161001" w:rsidRDefault="00D3322B" w:rsidP="00B658B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161001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Bankruptcy of Toys “R” Us</w:t>
            </w:r>
          </w:p>
          <w:p w14:paraId="78159DC0" w14:textId="4AA75D9D" w:rsidR="00161001" w:rsidRPr="00B658BA" w:rsidRDefault="00161001" w:rsidP="00B658B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161001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Revenues Heavily Rely on Media</w:t>
            </w:r>
          </w:p>
        </w:tc>
      </w:tr>
      <w:tr w:rsidR="00DB5A10" w:rsidRPr="00D9079F" w14:paraId="76F577E7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0A443D6F" w14:textId="4C050B48" w:rsidR="00DB5A10" w:rsidRPr="00D9079F" w:rsidRDefault="00075777" w:rsidP="00DB5A10">
            <w:pPr>
              <w:ind w:left="72"/>
              <w:jc w:val="both"/>
              <w:rPr>
                <w:rFonts w:asciiTheme="majorHAnsi" w:hAnsiTheme="majorHAnsi"/>
                <w:color w:val="FFFFFF" w:themeColor="background1"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Most recent</w:t>
            </w:r>
            <w:r w:rsidR="00BA5DC4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 quarter </w:t>
            </w:r>
            <w:r w:rsidR="00DC2690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financial highlights (Jul - Sep</w:t>
            </w: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 2017)</w:t>
            </w:r>
            <w:r w:rsidR="00DB5A10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: </w:t>
            </w:r>
          </w:p>
        </w:tc>
      </w:tr>
      <w:tr w:rsidR="00DB5A10" w:rsidRPr="00D9079F" w14:paraId="75D76709" w14:textId="77777777" w:rsidTr="00DB5A10">
        <w:trPr>
          <w:trHeight w:val="70"/>
        </w:trPr>
        <w:tc>
          <w:tcPr>
            <w:tcW w:w="11700" w:type="dxa"/>
          </w:tcPr>
          <w:p w14:paraId="57D458F7" w14:textId="45DD375B" w:rsidR="00AE53EE" w:rsidRDefault="00161001" w:rsidP="0016100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161001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Third quarter net revenues grew 7% to $1,791.5 million from $1,679.8 million in the third quarter of 2016, driven by increases in the U.S. and Canada, International and Entertainment and Licensing segments of 7%, 7%, and 4%, respectively. The growth in International segment net revenues included a favorable $27.9 million in foreign currency translation.</w:t>
            </w:r>
          </w:p>
          <w:p w14:paraId="52A17B7E" w14:textId="511F6995" w:rsidR="00161001" w:rsidRDefault="00161001" w:rsidP="0016100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161001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Operating profit was essentially flat in the third quarter of 2017 compared to the third quarter of 2016 and net earnings attributable to Hasbro, Inc. increased 3% to $265.6 million or $2.09 per diluted share in the third quarter of 2017 compared to $257.8 million or $2.03 per diluted share in the third quarter of 2016.</w:t>
            </w:r>
          </w:p>
          <w:p w14:paraId="4205DC0B" w14:textId="67E135E3" w:rsidR="00161001" w:rsidRPr="00161001" w:rsidRDefault="00161001" w:rsidP="0016100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161001"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  <w:t>As of December 2016, the Company owned a 70% majority stake in Backflip Studios, LLC (“Backflip”), a mobile game developer, and in January 2017, the Company increased its ownership to 100% making it a wholly owned subsidiary.</w:t>
            </w:r>
          </w:p>
        </w:tc>
      </w:tr>
    </w:tbl>
    <w:p w14:paraId="4D31B6C0" w14:textId="77777777" w:rsidR="001C1BC2" w:rsidRPr="00D9079F" w:rsidRDefault="001C1BC2" w:rsidP="005E114B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7488"/>
        <w:gridCol w:w="4320"/>
      </w:tblGrid>
      <w:tr w:rsidR="00830F06" w:rsidRPr="00D9079F" w14:paraId="730DB2FF" w14:textId="77777777" w:rsidTr="1F3A26C1">
        <w:tc>
          <w:tcPr>
            <w:tcW w:w="7488" w:type="dxa"/>
            <w:shd w:val="clear" w:color="auto" w:fill="365F91" w:themeFill="accent1" w:themeFillShade="BF"/>
          </w:tcPr>
          <w:p w14:paraId="7CF6246B" w14:textId="38A66325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Financial Performance:</w:t>
            </w:r>
          </w:p>
        </w:tc>
        <w:tc>
          <w:tcPr>
            <w:tcW w:w="4320" w:type="dxa"/>
            <w:shd w:val="clear" w:color="auto" w:fill="365F91" w:themeFill="accent1" w:themeFillShade="BF"/>
          </w:tcPr>
          <w:p w14:paraId="09E00ADF" w14:textId="62365A7B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Discounted Cash Flow </w:t>
            </w:r>
          </w:p>
        </w:tc>
      </w:tr>
      <w:tr w:rsidR="00830F06" w:rsidRPr="00D9079F" w14:paraId="0538015D" w14:textId="77777777" w:rsidTr="1F3A26C1">
        <w:tc>
          <w:tcPr>
            <w:tcW w:w="7488" w:type="dxa"/>
          </w:tcPr>
          <w:p w14:paraId="6973B10F" w14:textId="77777777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783"/>
              <w:gridCol w:w="783"/>
              <w:gridCol w:w="823"/>
              <w:gridCol w:w="823"/>
              <w:gridCol w:w="823"/>
              <w:gridCol w:w="777"/>
              <w:gridCol w:w="777"/>
            </w:tblGrid>
            <w:tr w:rsidR="00EF5CB9" w:rsidRPr="00D9079F" w14:paraId="23FAEDA0" w14:textId="77777777" w:rsidTr="00EF5CB9">
              <w:tc>
                <w:tcPr>
                  <w:tcW w:w="1891" w:type="dxa"/>
                  <w:shd w:val="clear" w:color="auto" w:fill="DBE5F1" w:themeFill="accent1" w:themeFillTint="33"/>
                  <w:vAlign w:val="center"/>
                </w:tcPr>
                <w:p w14:paraId="165C82C4" w14:textId="3C55F6E1" w:rsidR="00AD7852" w:rsidRPr="00D9079F" w:rsidRDefault="00AD7852" w:rsidP="008C1D4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In Millions of USD</w:t>
                  </w:r>
                </w:p>
              </w:tc>
              <w:tc>
                <w:tcPr>
                  <w:tcW w:w="490" w:type="dxa"/>
                  <w:shd w:val="clear" w:color="auto" w:fill="DBE5F1" w:themeFill="accent1" w:themeFillTint="33"/>
                  <w:vAlign w:val="center"/>
                </w:tcPr>
                <w:p w14:paraId="76114568" w14:textId="4398FEFB" w:rsidR="00AD7852" w:rsidRPr="00D9079F" w:rsidRDefault="00AD7852" w:rsidP="008C1D4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783" w:type="dxa"/>
                  <w:shd w:val="clear" w:color="auto" w:fill="DBE5F1" w:themeFill="accent1" w:themeFillTint="33"/>
                  <w:vAlign w:val="center"/>
                </w:tcPr>
                <w:p w14:paraId="0FA0AD6E" w14:textId="050B25D4" w:rsidR="00AD7852" w:rsidRPr="00D9079F" w:rsidRDefault="00AD7852" w:rsidP="008C1D4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834" w:type="dxa"/>
                  <w:shd w:val="clear" w:color="auto" w:fill="DBE5F1" w:themeFill="accent1" w:themeFillTint="33"/>
                  <w:vAlign w:val="center"/>
                </w:tcPr>
                <w:p w14:paraId="222A182C" w14:textId="5C7F1718" w:rsidR="00AD7852" w:rsidRPr="00D9079F" w:rsidRDefault="00AD7852" w:rsidP="008C1D4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834" w:type="dxa"/>
                  <w:shd w:val="clear" w:color="auto" w:fill="DBE5F1" w:themeFill="accent1" w:themeFillTint="33"/>
                  <w:vAlign w:val="center"/>
                </w:tcPr>
                <w:p w14:paraId="6627AD8B" w14:textId="005DFB02" w:rsidR="00AD7852" w:rsidRPr="00D9079F" w:rsidRDefault="00AD7852" w:rsidP="008C1D4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834" w:type="dxa"/>
                  <w:shd w:val="clear" w:color="auto" w:fill="DBE5F1" w:themeFill="accent1" w:themeFillTint="33"/>
                  <w:vAlign w:val="center"/>
                </w:tcPr>
                <w:p w14:paraId="43EE2733" w14:textId="5022B5D4" w:rsidR="00AD7852" w:rsidRPr="00D9079F" w:rsidRDefault="00AD7852" w:rsidP="008C1D4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98" w:type="dxa"/>
                  <w:shd w:val="clear" w:color="auto" w:fill="DBE5F1" w:themeFill="accent1" w:themeFillTint="33"/>
                  <w:vAlign w:val="center"/>
                </w:tcPr>
                <w:p w14:paraId="2262B9DA" w14:textId="2FA40723" w:rsidR="00AD7852" w:rsidRPr="00D9079F" w:rsidRDefault="00AD7852" w:rsidP="008C1D4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2017 Est</w:t>
                  </w:r>
                </w:p>
              </w:tc>
              <w:tc>
                <w:tcPr>
                  <w:tcW w:w="798" w:type="dxa"/>
                  <w:shd w:val="clear" w:color="auto" w:fill="DBE5F1" w:themeFill="accent1" w:themeFillTint="33"/>
                  <w:vAlign w:val="center"/>
                </w:tcPr>
                <w:p w14:paraId="4080B05E" w14:textId="58BB0175" w:rsidR="00AD7852" w:rsidRPr="00D9079F" w:rsidRDefault="00AD7852" w:rsidP="008C1D4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2018 Est</w:t>
                  </w:r>
                </w:p>
              </w:tc>
            </w:tr>
            <w:tr w:rsidR="00EF5CB9" w:rsidRPr="00D9079F" w14:paraId="5835BCA6" w14:textId="77777777" w:rsidTr="00EF5CB9">
              <w:tc>
                <w:tcPr>
                  <w:tcW w:w="1891" w:type="dxa"/>
                  <w:vAlign w:val="center"/>
                </w:tcPr>
                <w:p w14:paraId="6C7AE70B" w14:textId="72D5B267" w:rsidR="00B4446E" w:rsidRPr="00BA5DC4" w:rsidRDefault="00B4446E" w:rsidP="00B4446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bookmarkStart w:id="1" w:name="_Hlk497913841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Revenue </w:t>
                  </w:r>
                </w:p>
              </w:tc>
              <w:tc>
                <w:tcPr>
                  <w:tcW w:w="490" w:type="dxa"/>
                  <w:vAlign w:val="bottom"/>
                </w:tcPr>
                <w:p w14:paraId="41FE7B9F" w14:textId="3A2FAE25" w:rsidR="00B4446E" w:rsidRPr="00053989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4,089.00</w:t>
                  </w:r>
                </w:p>
              </w:tc>
              <w:tc>
                <w:tcPr>
                  <w:tcW w:w="783" w:type="dxa"/>
                  <w:vAlign w:val="bottom"/>
                </w:tcPr>
                <w:p w14:paraId="5AD94885" w14:textId="5E5F8536" w:rsidR="00B4446E" w:rsidRPr="00053989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4,082.20</w:t>
                  </w:r>
                </w:p>
              </w:tc>
              <w:tc>
                <w:tcPr>
                  <w:tcW w:w="834" w:type="dxa"/>
                  <w:vAlign w:val="bottom"/>
                </w:tcPr>
                <w:p w14:paraId="5CBFF446" w14:textId="66209AA4" w:rsidR="00B4446E" w:rsidRPr="00053989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4,277.20</w:t>
                  </w:r>
                </w:p>
              </w:tc>
              <w:tc>
                <w:tcPr>
                  <w:tcW w:w="834" w:type="dxa"/>
                  <w:vAlign w:val="bottom"/>
                </w:tcPr>
                <w:p w14:paraId="0DE667EB" w14:textId="2F3F45C0" w:rsidR="00B4446E" w:rsidRPr="00053989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4,447.50</w:t>
                  </w:r>
                </w:p>
              </w:tc>
              <w:tc>
                <w:tcPr>
                  <w:tcW w:w="834" w:type="dxa"/>
                  <w:vAlign w:val="bottom"/>
                </w:tcPr>
                <w:p w14:paraId="4B0B1917" w14:textId="6C0255FF" w:rsidR="00B4446E" w:rsidRPr="00053989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5,019.80</w:t>
                  </w:r>
                </w:p>
              </w:tc>
              <w:tc>
                <w:tcPr>
                  <w:tcW w:w="798" w:type="dxa"/>
                  <w:vAlign w:val="bottom"/>
                </w:tcPr>
                <w:p w14:paraId="03CE6445" w14:textId="06E5F5ED" w:rsidR="00B4446E" w:rsidRPr="00053989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5,371.2</w:t>
                  </w:r>
                </w:p>
              </w:tc>
              <w:tc>
                <w:tcPr>
                  <w:tcW w:w="798" w:type="dxa"/>
                  <w:vAlign w:val="bottom"/>
                </w:tcPr>
                <w:p w14:paraId="1FE96789" w14:textId="2141B9ED" w:rsidR="00B4446E" w:rsidRPr="00053989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5,681.8</w:t>
                  </w:r>
                </w:p>
              </w:tc>
            </w:tr>
            <w:bookmarkEnd w:id="1"/>
            <w:tr w:rsidR="00EF5CB9" w:rsidRPr="00D9079F" w14:paraId="0D74DF99" w14:textId="77777777" w:rsidTr="00EF5CB9">
              <w:tc>
                <w:tcPr>
                  <w:tcW w:w="1891" w:type="dxa"/>
                  <w:vAlign w:val="center"/>
                </w:tcPr>
                <w:p w14:paraId="209309E4" w14:textId="00AEE60F" w:rsidR="00B4446E" w:rsidRPr="00BA5DC4" w:rsidRDefault="00B4446E" w:rsidP="00B4446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Operating Profit</w:t>
                  </w:r>
                </w:p>
              </w:tc>
              <w:tc>
                <w:tcPr>
                  <w:tcW w:w="490" w:type="dxa"/>
                  <w:vAlign w:val="bottom"/>
                </w:tcPr>
                <w:p w14:paraId="43EF44A6" w14:textId="61F0CEBC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551.78</w:t>
                  </w:r>
                </w:p>
              </w:tc>
              <w:tc>
                <w:tcPr>
                  <w:tcW w:w="783" w:type="dxa"/>
                  <w:vAlign w:val="bottom"/>
                </w:tcPr>
                <w:p w14:paraId="4D295F75" w14:textId="74044E58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467.14</w:t>
                  </w:r>
                </w:p>
              </w:tc>
              <w:tc>
                <w:tcPr>
                  <w:tcW w:w="834" w:type="dxa"/>
                  <w:vAlign w:val="bottom"/>
                </w:tcPr>
                <w:p w14:paraId="473FEC76" w14:textId="4C3E2849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635.34</w:t>
                  </w:r>
                </w:p>
              </w:tc>
              <w:tc>
                <w:tcPr>
                  <w:tcW w:w="834" w:type="dxa"/>
                  <w:vAlign w:val="bottom"/>
                </w:tcPr>
                <w:p w14:paraId="77FDB813" w14:textId="129A8A66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691.96</w:t>
                  </w:r>
                </w:p>
              </w:tc>
              <w:tc>
                <w:tcPr>
                  <w:tcW w:w="834" w:type="dxa"/>
                  <w:vAlign w:val="bottom"/>
                </w:tcPr>
                <w:p w14:paraId="7A5F465A" w14:textId="472DDF15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788.00</w:t>
                  </w:r>
                </w:p>
              </w:tc>
              <w:tc>
                <w:tcPr>
                  <w:tcW w:w="798" w:type="dxa"/>
                  <w:vAlign w:val="bottom"/>
                </w:tcPr>
                <w:p w14:paraId="341AE295" w14:textId="73B70D02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802.47</w:t>
                  </w:r>
                </w:p>
              </w:tc>
              <w:tc>
                <w:tcPr>
                  <w:tcW w:w="798" w:type="dxa"/>
                  <w:vAlign w:val="bottom"/>
                </w:tcPr>
                <w:p w14:paraId="06733996" w14:textId="1BAAA11C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819.93</w:t>
                  </w:r>
                </w:p>
              </w:tc>
            </w:tr>
            <w:tr w:rsidR="00EF5CB9" w:rsidRPr="00D9079F" w14:paraId="329334DC" w14:textId="77777777" w:rsidTr="00EF5CB9">
              <w:tc>
                <w:tcPr>
                  <w:tcW w:w="1891" w:type="dxa"/>
                  <w:vAlign w:val="center"/>
                </w:tcPr>
                <w:p w14:paraId="57B2BB96" w14:textId="476DD926" w:rsidR="00B4446E" w:rsidRPr="00BA5DC4" w:rsidRDefault="00B4446E" w:rsidP="00B4446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Net Income </w:t>
                  </w:r>
                </w:p>
              </w:tc>
              <w:tc>
                <w:tcPr>
                  <w:tcW w:w="490" w:type="dxa"/>
                  <w:vAlign w:val="bottom"/>
                </w:tcPr>
                <w:p w14:paraId="7ED33C82" w14:textId="6E5FB6FF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335.98</w:t>
                  </w:r>
                </w:p>
              </w:tc>
              <w:tc>
                <w:tcPr>
                  <w:tcW w:w="783" w:type="dxa"/>
                  <w:vAlign w:val="bottom"/>
                </w:tcPr>
                <w:p w14:paraId="08C55153" w14:textId="31CE5F2F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286.24</w:t>
                  </w:r>
                </w:p>
              </w:tc>
              <w:tc>
                <w:tcPr>
                  <w:tcW w:w="834" w:type="dxa"/>
                  <w:vAlign w:val="bottom"/>
                </w:tcPr>
                <w:p w14:paraId="14CD87A4" w14:textId="3AEC4A85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415.84</w:t>
                  </w:r>
                </w:p>
              </w:tc>
              <w:tc>
                <w:tcPr>
                  <w:tcW w:w="834" w:type="dxa"/>
                  <w:vAlign w:val="bottom"/>
                </w:tcPr>
                <w:p w14:paraId="186C921D" w14:textId="3F8035F4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451.96</w:t>
                  </w:r>
                </w:p>
              </w:tc>
              <w:tc>
                <w:tcPr>
                  <w:tcW w:w="834" w:type="dxa"/>
                  <w:vAlign w:val="bottom"/>
                </w:tcPr>
                <w:p w14:paraId="2BD951AE" w14:textId="6031B880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551.30</w:t>
                  </w:r>
                </w:p>
              </w:tc>
              <w:tc>
                <w:tcPr>
                  <w:tcW w:w="798" w:type="dxa"/>
                  <w:vAlign w:val="bottom"/>
                </w:tcPr>
                <w:p w14:paraId="4B1F5567" w14:textId="3C8047C0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572.04</w:t>
                  </w:r>
                </w:p>
              </w:tc>
              <w:tc>
                <w:tcPr>
                  <w:tcW w:w="798" w:type="dxa"/>
                  <w:vAlign w:val="bottom"/>
                </w:tcPr>
                <w:p w14:paraId="0C1C3E6B" w14:textId="53ABC3C9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619.88</w:t>
                  </w:r>
                </w:p>
              </w:tc>
            </w:tr>
            <w:tr w:rsidR="00EF5CB9" w:rsidRPr="00D9079F" w14:paraId="334202CA" w14:textId="77777777" w:rsidTr="00EF5CB9">
              <w:tc>
                <w:tcPr>
                  <w:tcW w:w="1891" w:type="dxa"/>
                  <w:vAlign w:val="center"/>
                </w:tcPr>
                <w:p w14:paraId="545FB948" w14:textId="37992165" w:rsidR="00B4446E" w:rsidRPr="00BA5DC4" w:rsidRDefault="00B4446E" w:rsidP="00B4446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bookmarkStart w:id="2" w:name="_Hlk497917627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Revenue Growth </w:t>
                  </w:r>
                </w:p>
              </w:tc>
              <w:tc>
                <w:tcPr>
                  <w:tcW w:w="490" w:type="dxa"/>
                  <w:vAlign w:val="bottom"/>
                </w:tcPr>
                <w:p w14:paraId="7753E56E" w14:textId="67B3695A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4.59%</w:t>
                  </w:r>
                </w:p>
              </w:tc>
              <w:tc>
                <w:tcPr>
                  <w:tcW w:w="783" w:type="dxa"/>
                  <w:vAlign w:val="bottom"/>
                </w:tcPr>
                <w:p w14:paraId="6895AAD7" w14:textId="445E071B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-0.17%</w:t>
                  </w:r>
                </w:p>
              </w:tc>
              <w:tc>
                <w:tcPr>
                  <w:tcW w:w="834" w:type="dxa"/>
                  <w:vAlign w:val="bottom"/>
                </w:tcPr>
                <w:p w14:paraId="50C7D9F0" w14:textId="42095BB6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4.78%</w:t>
                  </w:r>
                </w:p>
              </w:tc>
              <w:tc>
                <w:tcPr>
                  <w:tcW w:w="834" w:type="dxa"/>
                  <w:vAlign w:val="bottom"/>
                </w:tcPr>
                <w:p w14:paraId="3CEF4D2A" w14:textId="15FFC67F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3.98%</w:t>
                  </w:r>
                </w:p>
              </w:tc>
              <w:tc>
                <w:tcPr>
                  <w:tcW w:w="834" w:type="dxa"/>
                  <w:vAlign w:val="bottom"/>
                </w:tcPr>
                <w:p w14:paraId="1E00B23E" w14:textId="7FDE042B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12.87%</w:t>
                  </w:r>
                </w:p>
              </w:tc>
              <w:tc>
                <w:tcPr>
                  <w:tcW w:w="798" w:type="dxa"/>
                  <w:vAlign w:val="bottom"/>
                </w:tcPr>
                <w:p w14:paraId="1BC2B723" w14:textId="2058899B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7.00%</w:t>
                  </w:r>
                </w:p>
              </w:tc>
              <w:tc>
                <w:tcPr>
                  <w:tcW w:w="798" w:type="dxa"/>
                  <w:vAlign w:val="bottom"/>
                </w:tcPr>
                <w:p w14:paraId="17F87F8D" w14:textId="4861B6EC" w:rsidR="00B4446E" w:rsidRPr="00B4446E" w:rsidRDefault="00B4446E" w:rsidP="00B4446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4446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5.78%</w:t>
                  </w:r>
                </w:p>
              </w:tc>
            </w:tr>
            <w:tr w:rsidR="00EF5CB9" w:rsidRPr="00D9079F" w14:paraId="100621BB" w14:textId="77777777" w:rsidTr="00EF5CB9">
              <w:tc>
                <w:tcPr>
                  <w:tcW w:w="1891" w:type="dxa"/>
                  <w:vAlign w:val="center"/>
                </w:tcPr>
                <w:p w14:paraId="0671CC90" w14:textId="7813EB33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bookmarkStart w:id="3" w:name="_Hlk497917666"/>
                  <w:bookmarkEnd w:id="2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EBITDA%</w:t>
                  </w:r>
                </w:p>
              </w:tc>
              <w:tc>
                <w:tcPr>
                  <w:tcW w:w="490" w:type="dxa"/>
                  <w:vAlign w:val="bottom"/>
                </w:tcPr>
                <w:p w14:paraId="56C1673C" w14:textId="36563EB7" w:rsidR="00EF5CB9" w:rsidRPr="00126058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17.17%</w:t>
                  </w:r>
                </w:p>
              </w:tc>
              <w:tc>
                <w:tcPr>
                  <w:tcW w:w="783" w:type="dxa"/>
                  <w:vAlign w:val="bottom"/>
                </w:tcPr>
                <w:p w14:paraId="54A2481B" w14:textId="08E36B40" w:rsidR="00EF5CB9" w:rsidRPr="00126058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15.88%</w:t>
                  </w:r>
                </w:p>
              </w:tc>
              <w:tc>
                <w:tcPr>
                  <w:tcW w:w="834" w:type="dxa"/>
                  <w:vAlign w:val="bottom"/>
                </w:tcPr>
                <w:p w14:paraId="70B50F71" w14:textId="793B5A2D" w:rsidR="00EF5CB9" w:rsidRPr="00126058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18.54%</w:t>
                  </w:r>
                </w:p>
              </w:tc>
              <w:tc>
                <w:tcPr>
                  <w:tcW w:w="834" w:type="dxa"/>
                  <w:vAlign w:val="bottom"/>
                </w:tcPr>
                <w:p w14:paraId="3F875385" w14:textId="04B35863" w:rsidR="00EF5CB9" w:rsidRPr="00126058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19.05%</w:t>
                  </w:r>
                </w:p>
              </w:tc>
              <w:tc>
                <w:tcPr>
                  <w:tcW w:w="834" w:type="dxa"/>
                  <w:vAlign w:val="bottom"/>
                </w:tcPr>
                <w:p w14:paraId="6D1E67DF" w14:textId="4BAF988D" w:rsidR="00EF5CB9" w:rsidRPr="00126058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18.78%</w:t>
                  </w:r>
                </w:p>
              </w:tc>
              <w:tc>
                <w:tcPr>
                  <w:tcW w:w="798" w:type="dxa"/>
                  <w:vAlign w:val="bottom"/>
                </w:tcPr>
                <w:p w14:paraId="4283BFBC" w14:textId="77FF52A8" w:rsidR="00EF5CB9" w:rsidRPr="00126058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17.86%</w:t>
                  </w:r>
                </w:p>
              </w:tc>
              <w:tc>
                <w:tcPr>
                  <w:tcW w:w="798" w:type="dxa"/>
                  <w:vAlign w:val="bottom"/>
                </w:tcPr>
                <w:p w14:paraId="535F7486" w14:textId="062DDB5C" w:rsidR="00EF5CB9" w:rsidRPr="00126058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17.23%</w:t>
                  </w:r>
                </w:p>
              </w:tc>
            </w:tr>
            <w:bookmarkEnd w:id="3"/>
            <w:tr w:rsidR="00EF5CB9" w:rsidRPr="00D9079F" w14:paraId="3CD7B755" w14:textId="77777777" w:rsidTr="00EF5CB9">
              <w:tc>
                <w:tcPr>
                  <w:tcW w:w="1891" w:type="dxa"/>
                  <w:vAlign w:val="center"/>
                </w:tcPr>
                <w:p w14:paraId="5648CFBC" w14:textId="3FDECF9E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Operating Profit %</w:t>
                  </w:r>
                </w:p>
              </w:tc>
              <w:tc>
                <w:tcPr>
                  <w:tcW w:w="490" w:type="dxa"/>
                  <w:vAlign w:val="bottom"/>
                </w:tcPr>
                <w:p w14:paraId="4256401B" w14:textId="7477D6A6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13.49%</w:t>
                  </w:r>
                </w:p>
              </w:tc>
              <w:tc>
                <w:tcPr>
                  <w:tcW w:w="783" w:type="dxa"/>
                  <w:vAlign w:val="bottom"/>
                </w:tcPr>
                <w:p w14:paraId="01E6195D" w14:textId="2A3DC9BD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11.44%</w:t>
                  </w:r>
                </w:p>
              </w:tc>
              <w:tc>
                <w:tcPr>
                  <w:tcW w:w="834" w:type="dxa"/>
                  <w:vAlign w:val="bottom"/>
                </w:tcPr>
                <w:p w14:paraId="7367B82F" w14:textId="4F352A58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14.85%</w:t>
                  </w:r>
                </w:p>
              </w:tc>
              <w:tc>
                <w:tcPr>
                  <w:tcW w:w="834" w:type="dxa"/>
                  <w:vAlign w:val="bottom"/>
                </w:tcPr>
                <w:p w14:paraId="0BF02F29" w14:textId="168F0332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15.56%</w:t>
                  </w:r>
                </w:p>
              </w:tc>
              <w:tc>
                <w:tcPr>
                  <w:tcW w:w="834" w:type="dxa"/>
                  <w:vAlign w:val="bottom"/>
                </w:tcPr>
                <w:p w14:paraId="6D11D424" w14:textId="798F29C1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15.70%</w:t>
                  </w:r>
                </w:p>
              </w:tc>
              <w:tc>
                <w:tcPr>
                  <w:tcW w:w="798" w:type="dxa"/>
                  <w:vAlign w:val="bottom"/>
                </w:tcPr>
                <w:p w14:paraId="60045D97" w14:textId="6C893C47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14.94%</w:t>
                  </w:r>
                </w:p>
              </w:tc>
              <w:tc>
                <w:tcPr>
                  <w:tcW w:w="798" w:type="dxa"/>
                  <w:vAlign w:val="bottom"/>
                </w:tcPr>
                <w:p w14:paraId="22875514" w14:textId="3D2AB375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14.43%</w:t>
                  </w:r>
                </w:p>
              </w:tc>
            </w:tr>
            <w:tr w:rsidR="00EF5CB9" w:rsidRPr="00D9079F" w14:paraId="17F9D92A" w14:textId="77777777" w:rsidTr="00EF5CB9">
              <w:tc>
                <w:tcPr>
                  <w:tcW w:w="1891" w:type="dxa"/>
                  <w:vAlign w:val="center"/>
                </w:tcPr>
                <w:p w14:paraId="3AA11444" w14:textId="2F23B790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bookmarkStart w:id="4" w:name="_Hlk497917704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Net Income Margin</w:t>
                  </w:r>
                </w:p>
              </w:tc>
              <w:tc>
                <w:tcPr>
                  <w:tcW w:w="490" w:type="dxa"/>
                  <w:vAlign w:val="bottom"/>
                </w:tcPr>
                <w:p w14:paraId="50934D1E" w14:textId="6C79A813" w:rsidR="00EF5CB9" w:rsidRPr="003005C3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9.7%</w:t>
                  </w:r>
                </w:p>
              </w:tc>
              <w:tc>
                <w:tcPr>
                  <w:tcW w:w="783" w:type="dxa"/>
                  <w:vAlign w:val="bottom"/>
                </w:tcPr>
                <w:p w14:paraId="3E025EA0" w14:textId="1D64E844" w:rsidR="00EF5CB9" w:rsidRPr="003005C3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10.2%</w:t>
                  </w:r>
                </w:p>
              </w:tc>
              <w:tc>
                <w:tcPr>
                  <w:tcW w:w="834" w:type="dxa"/>
                  <w:vAlign w:val="bottom"/>
                </w:tcPr>
                <w:p w14:paraId="7BF4FB16" w14:textId="06F1ED87" w:rsidR="00EF5CB9" w:rsidRPr="003005C3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11.0%</w:t>
                  </w:r>
                </w:p>
              </w:tc>
              <w:tc>
                <w:tcPr>
                  <w:tcW w:w="834" w:type="dxa"/>
                  <w:vAlign w:val="bottom"/>
                </w:tcPr>
                <w:p w14:paraId="023CB6D0" w14:textId="3E7C524A" w:rsidR="00EF5CB9" w:rsidRPr="003005C3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10.7%</w:t>
                  </w:r>
                </w:p>
              </w:tc>
              <w:tc>
                <w:tcPr>
                  <w:tcW w:w="834" w:type="dxa"/>
                  <w:vAlign w:val="bottom"/>
                </w:tcPr>
                <w:p w14:paraId="00516877" w14:textId="03961FEE" w:rsidR="00EF5CB9" w:rsidRPr="003005C3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10.9%</w:t>
                  </w:r>
                </w:p>
              </w:tc>
              <w:tc>
                <w:tcPr>
                  <w:tcW w:w="798" w:type="dxa"/>
                  <w:vAlign w:val="bottom"/>
                </w:tcPr>
                <w:p w14:paraId="4E215F3E" w14:textId="70E48243" w:rsidR="00EF5CB9" w:rsidRPr="003005C3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10.3%</w:t>
                  </w:r>
                </w:p>
              </w:tc>
              <w:tc>
                <w:tcPr>
                  <w:tcW w:w="798" w:type="dxa"/>
                  <w:vAlign w:val="bottom"/>
                </w:tcPr>
                <w:p w14:paraId="714FA856" w14:textId="308EDAA1" w:rsidR="00EF5CB9" w:rsidRPr="003005C3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10.3%</w:t>
                  </w:r>
                </w:p>
              </w:tc>
            </w:tr>
            <w:bookmarkEnd w:id="4"/>
            <w:tr w:rsidR="00EF5CB9" w:rsidRPr="00D9079F" w14:paraId="22A784BE" w14:textId="77777777" w:rsidTr="00EF5CB9">
              <w:tc>
                <w:tcPr>
                  <w:tcW w:w="1891" w:type="dxa"/>
                  <w:vAlign w:val="center"/>
                </w:tcPr>
                <w:p w14:paraId="670CE5B7" w14:textId="1C762CBC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D/E</w:t>
                  </w:r>
                </w:p>
              </w:tc>
              <w:tc>
                <w:tcPr>
                  <w:tcW w:w="490" w:type="dxa"/>
                  <w:vAlign w:val="bottom"/>
                </w:tcPr>
                <w:p w14:paraId="74D585ED" w14:textId="1913A0B8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1.08</w:t>
                  </w:r>
                </w:p>
              </w:tc>
              <w:tc>
                <w:tcPr>
                  <w:tcW w:w="783" w:type="dxa"/>
                  <w:vAlign w:val="bottom"/>
                </w:tcPr>
                <w:p w14:paraId="3E7FDD3E" w14:textId="01596172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0.81</w:t>
                  </w:r>
                </w:p>
              </w:tc>
              <w:tc>
                <w:tcPr>
                  <w:tcW w:w="834" w:type="dxa"/>
                  <w:vAlign w:val="bottom"/>
                </w:tcPr>
                <w:p w14:paraId="4A576F03" w14:textId="4D5DB7C6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1.20</w:t>
                  </w:r>
                </w:p>
              </w:tc>
              <w:tc>
                <w:tcPr>
                  <w:tcW w:w="834" w:type="dxa"/>
                  <w:vAlign w:val="bottom"/>
                </w:tcPr>
                <w:p w14:paraId="5D743F89" w14:textId="426BE755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834" w:type="dxa"/>
                  <w:vAlign w:val="bottom"/>
                </w:tcPr>
                <w:p w14:paraId="174A979D" w14:textId="67B0B063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0.91</w:t>
                  </w:r>
                </w:p>
              </w:tc>
              <w:tc>
                <w:tcPr>
                  <w:tcW w:w="798" w:type="dxa"/>
                  <w:vAlign w:val="bottom"/>
                </w:tcPr>
                <w:p w14:paraId="23A72D7D" w14:textId="7C4A0B9E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0.88</w:t>
                  </w:r>
                </w:p>
              </w:tc>
              <w:tc>
                <w:tcPr>
                  <w:tcW w:w="798" w:type="dxa"/>
                  <w:vAlign w:val="bottom"/>
                </w:tcPr>
                <w:p w14:paraId="5F88EAE0" w14:textId="5CAE958D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0.88</w:t>
                  </w:r>
                </w:p>
              </w:tc>
            </w:tr>
            <w:tr w:rsidR="00EF5CB9" w:rsidRPr="00D9079F" w14:paraId="4BD993C7" w14:textId="77777777" w:rsidTr="00EF5CB9">
              <w:tc>
                <w:tcPr>
                  <w:tcW w:w="1891" w:type="dxa"/>
                  <w:vAlign w:val="center"/>
                </w:tcPr>
                <w:p w14:paraId="6F5D5ADC" w14:textId="374564C6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EPS</w:t>
                  </w:r>
                </w:p>
              </w:tc>
              <w:tc>
                <w:tcPr>
                  <w:tcW w:w="490" w:type="dxa"/>
                  <w:shd w:val="clear" w:color="auto" w:fill="auto"/>
                  <w:vAlign w:val="bottom"/>
                </w:tcPr>
                <w:p w14:paraId="6B73A46D" w14:textId="412A016E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2.58</w:t>
                  </w:r>
                </w:p>
              </w:tc>
              <w:tc>
                <w:tcPr>
                  <w:tcW w:w="783" w:type="dxa"/>
                  <w:shd w:val="clear" w:color="auto" w:fill="auto"/>
                  <w:vAlign w:val="bottom"/>
                </w:tcPr>
                <w:p w14:paraId="4E77E933" w14:textId="3B12352E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834" w:type="dxa"/>
                  <w:shd w:val="clear" w:color="auto" w:fill="auto"/>
                  <w:vAlign w:val="bottom"/>
                </w:tcPr>
                <w:p w14:paraId="693A3040" w14:textId="3C0E5FFC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3.24</w:t>
                  </w:r>
                </w:p>
              </w:tc>
              <w:tc>
                <w:tcPr>
                  <w:tcW w:w="834" w:type="dxa"/>
                  <w:vAlign w:val="bottom"/>
                </w:tcPr>
                <w:p w14:paraId="7892D724" w14:textId="2094F18A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3.62</w:t>
                  </w:r>
                </w:p>
              </w:tc>
              <w:tc>
                <w:tcPr>
                  <w:tcW w:w="834" w:type="dxa"/>
                  <w:shd w:val="clear" w:color="auto" w:fill="auto"/>
                  <w:vAlign w:val="bottom"/>
                </w:tcPr>
                <w:p w14:paraId="785A0893" w14:textId="4917B3D6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4.40</w:t>
                  </w:r>
                </w:p>
              </w:tc>
              <w:tc>
                <w:tcPr>
                  <w:tcW w:w="798" w:type="dxa"/>
                  <w:shd w:val="clear" w:color="auto" w:fill="auto"/>
                  <w:vAlign w:val="bottom"/>
                </w:tcPr>
                <w:p w14:paraId="3107DCE0" w14:textId="1740F6F9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4.59</w:t>
                  </w:r>
                </w:p>
              </w:tc>
              <w:tc>
                <w:tcPr>
                  <w:tcW w:w="798" w:type="dxa"/>
                  <w:shd w:val="clear" w:color="auto" w:fill="auto"/>
                  <w:vAlign w:val="bottom"/>
                </w:tcPr>
                <w:p w14:paraId="15B13F64" w14:textId="2C838771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5.06</w:t>
                  </w:r>
                </w:p>
              </w:tc>
            </w:tr>
            <w:tr w:rsidR="00EF5CB9" w:rsidRPr="00D9079F" w14:paraId="3EBC0A0A" w14:textId="77777777" w:rsidTr="00EF5CB9">
              <w:tc>
                <w:tcPr>
                  <w:tcW w:w="1891" w:type="dxa"/>
                  <w:vAlign w:val="center"/>
                </w:tcPr>
                <w:p w14:paraId="61AE1051" w14:textId="5F70562B" w:rsidR="00AD7852" w:rsidRPr="00BA5DC4" w:rsidRDefault="00AD7852" w:rsidP="002467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PE Ratio </w:t>
                  </w:r>
                </w:p>
              </w:tc>
              <w:tc>
                <w:tcPr>
                  <w:tcW w:w="490" w:type="dxa"/>
                  <w:shd w:val="clear" w:color="auto" w:fill="auto"/>
                  <w:vAlign w:val="center"/>
                </w:tcPr>
                <w:p w14:paraId="6DB4D0DC" w14:textId="4E3E9ECD" w:rsidR="00AD7852" w:rsidRPr="00BA5DC4" w:rsidRDefault="00EF5CB9" w:rsidP="002467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14.6</w:t>
                  </w:r>
                </w:p>
              </w:tc>
              <w:tc>
                <w:tcPr>
                  <w:tcW w:w="783" w:type="dxa"/>
                  <w:shd w:val="clear" w:color="auto" w:fill="auto"/>
                  <w:vAlign w:val="center"/>
                </w:tcPr>
                <w:p w14:paraId="4CBD752B" w14:textId="49EFB9B2" w:rsidR="00AD7852" w:rsidRPr="00BA5DC4" w:rsidRDefault="00EF5CB9" w:rsidP="002467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24.5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1B44C62B" w14:textId="5010C1AF" w:rsidR="00AD7852" w:rsidRPr="00BA5DC4" w:rsidRDefault="00EF5CB9" w:rsidP="002467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21.4</w:t>
                  </w:r>
                </w:p>
              </w:tc>
              <w:tc>
                <w:tcPr>
                  <w:tcW w:w="834" w:type="dxa"/>
                  <w:vAlign w:val="center"/>
                </w:tcPr>
                <w:p w14:paraId="296B14AA" w14:textId="669B1667" w:rsidR="00AD7852" w:rsidRPr="00BA5DC4" w:rsidRDefault="00EF5CB9" w:rsidP="002467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38732767" w14:textId="426B2202" w:rsidR="00AD7852" w:rsidRPr="00BA5DC4" w:rsidRDefault="00EF5CB9" w:rsidP="002467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22.7</w:t>
                  </w:r>
                </w:p>
              </w:tc>
              <w:tc>
                <w:tcPr>
                  <w:tcW w:w="798" w:type="dxa"/>
                  <w:shd w:val="clear" w:color="auto" w:fill="auto"/>
                  <w:vAlign w:val="center"/>
                </w:tcPr>
                <w:p w14:paraId="34BB74B5" w14:textId="2B340728" w:rsidR="00AD7852" w:rsidRPr="00BA5DC4" w:rsidRDefault="00EF5CB9" w:rsidP="002467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22.32</w:t>
                  </w:r>
                </w:p>
              </w:tc>
              <w:tc>
                <w:tcPr>
                  <w:tcW w:w="798" w:type="dxa"/>
                  <w:shd w:val="clear" w:color="auto" w:fill="auto"/>
                  <w:vAlign w:val="center"/>
                </w:tcPr>
                <w:p w14:paraId="167918E0" w14:textId="77BFCF28" w:rsidR="00AD7852" w:rsidRPr="00BA5DC4" w:rsidRDefault="00EF5CB9" w:rsidP="002467B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19.5</w:t>
                  </w:r>
                </w:p>
              </w:tc>
            </w:tr>
            <w:tr w:rsidR="00EF5CB9" w:rsidRPr="00D9079F" w14:paraId="235E2086" w14:textId="77777777" w:rsidTr="00EF5CB9">
              <w:tc>
                <w:tcPr>
                  <w:tcW w:w="1891" w:type="dxa"/>
                  <w:vAlign w:val="center"/>
                </w:tcPr>
                <w:p w14:paraId="64A6EBFE" w14:textId="03A7F209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Current Ratio</w:t>
                  </w:r>
                </w:p>
              </w:tc>
              <w:tc>
                <w:tcPr>
                  <w:tcW w:w="490" w:type="dxa"/>
                  <w:vAlign w:val="bottom"/>
                </w:tcPr>
                <w:p w14:paraId="72B86E80" w14:textId="11E4F082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2.61</w:t>
                  </w:r>
                </w:p>
              </w:tc>
              <w:tc>
                <w:tcPr>
                  <w:tcW w:w="783" w:type="dxa"/>
                  <w:vAlign w:val="bottom"/>
                </w:tcPr>
                <w:p w14:paraId="28740EAD" w14:textId="5FA2854B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1.82</w:t>
                  </w:r>
                </w:p>
              </w:tc>
              <w:tc>
                <w:tcPr>
                  <w:tcW w:w="834" w:type="dxa"/>
                  <w:vAlign w:val="bottom"/>
                </w:tcPr>
                <w:p w14:paraId="0763C52A" w14:textId="553F3791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2.53</w:t>
                  </w:r>
                </w:p>
              </w:tc>
              <w:tc>
                <w:tcPr>
                  <w:tcW w:w="834" w:type="dxa"/>
                  <w:vAlign w:val="bottom"/>
                </w:tcPr>
                <w:p w14:paraId="225BF241" w14:textId="3D837A01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2.69</w:t>
                  </w:r>
                </w:p>
              </w:tc>
              <w:tc>
                <w:tcPr>
                  <w:tcW w:w="834" w:type="dxa"/>
                  <w:vAlign w:val="bottom"/>
                </w:tcPr>
                <w:p w14:paraId="198F8638" w14:textId="3D5D061E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1.99</w:t>
                  </w:r>
                </w:p>
              </w:tc>
              <w:tc>
                <w:tcPr>
                  <w:tcW w:w="798" w:type="dxa"/>
                  <w:vAlign w:val="bottom"/>
                </w:tcPr>
                <w:p w14:paraId="321CE165" w14:textId="6BA0645B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7F7F7F"/>
                      <w:sz w:val="22"/>
                      <w:szCs w:val="22"/>
                    </w:rPr>
                    <w:t>2.21</w:t>
                  </w:r>
                </w:p>
              </w:tc>
              <w:tc>
                <w:tcPr>
                  <w:tcW w:w="798" w:type="dxa"/>
                  <w:vAlign w:val="bottom"/>
                </w:tcPr>
                <w:p w14:paraId="18FFAB5F" w14:textId="6EE0D546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7F7F7F"/>
                      <w:sz w:val="22"/>
                      <w:szCs w:val="22"/>
                    </w:rPr>
                    <w:t>2.22</w:t>
                  </w:r>
                </w:p>
              </w:tc>
            </w:tr>
            <w:tr w:rsidR="00EF5CB9" w:rsidRPr="00D9079F" w14:paraId="6A512B42" w14:textId="77777777" w:rsidTr="00EF5CB9">
              <w:tc>
                <w:tcPr>
                  <w:tcW w:w="1891" w:type="dxa"/>
                  <w:vAlign w:val="center"/>
                </w:tcPr>
                <w:p w14:paraId="30EB3D41" w14:textId="16B06650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ROE</w:t>
                  </w:r>
                </w:p>
              </w:tc>
              <w:tc>
                <w:tcPr>
                  <w:tcW w:w="490" w:type="dxa"/>
                  <w:vAlign w:val="bottom"/>
                </w:tcPr>
                <w:p w14:paraId="4B99ACE5" w14:textId="2386AB30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22.98%</w:t>
                  </w:r>
                </w:p>
              </w:tc>
              <w:tc>
                <w:tcPr>
                  <w:tcW w:w="783" w:type="dxa"/>
                  <w:vAlign w:val="bottom"/>
                </w:tcPr>
                <w:p w14:paraId="618AB591" w14:textId="4FAF4677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17.95%</w:t>
                  </w:r>
                </w:p>
              </w:tc>
              <w:tc>
                <w:tcPr>
                  <w:tcW w:w="834" w:type="dxa"/>
                  <w:vAlign w:val="bottom"/>
                </w:tcPr>
                <w:p w14:paraId="2164567E" w14:textId="37103DDA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26.42%</w:t>
                  </w:r>
                </w:p>
              </w:tc>
              <w:tc>
                <w:tcPr>
                  <w:tcW w:w="834" w:type="dxa"/>
                  <w:vAlign w:val="bottom"/>
                </w:tcPr>
                <w:p w14:paraId="33BB11CB" w14:textId="79045698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28.88%</w:t>
                  </w:r>
                </w:p>
              </w:tc>
              <w:tc>
                <w:tcPr>
                  <w:tcW w:w="834" w:type="dxa"/>
                  <w:vAlign w:val="bottom"/>
                </w:tcPr>
                <w:p w14:paraId="2156D8F2" w14:textId="2510BA13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31.27%</w:t>
                  </w:r>
                </w:p>
              </w:tc>
              <w:tc>
                <w:tcPr>
                  <w:tcW w:w="798" w:type="dxa"/>
                  <w:vAlign w:val="bottom"/>
                </w:tcPr>
                <w:p w14:paraId="1BCD8618" w14:textId="51D57A7C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26.94%</w:t>
                  </w:r>
                </w:p>
              </w:tc>
              <w:tc>
                <w:tcPr>
                  <w:tcW w:w="798" w:type="dxa"/>
                  <w:vAlign w:val="bottom"/>
                </w:tcPr>
                <w:p w14:paraId="369E19D1" w14:textId="029C81A2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27.84%</w:t>
                  </w:r>
                </w:p>
              </w:tc>
            </w:tr>
            <w:tr w:rsidR="00EF5CB9" w:rsidRPr="00D9079F" w14:paraId="059E3A59" w14:textId="77777777" w:rsidTr="00EF5CB9">
              <w:tc>
                <w:tcPr>
                  <w:tcW w:w="1891" w:type="dxa"/>
                  <w:vAlign w:val="center"/>
                </w:tcPr>
                <w:p w14:paraId="49C83FCA" w14:textId="5B3CE7AF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ROA</w:t>
                  </w:r>
                </w:p>
              </w:tc>
              <w:tc>
                <w:tcPr>
                  <w:tcW w:w="490" w:type="dxa"/>
                  <w:vAlign w:val="bottom"/>
                </w:tcPr>
                <w:p w14:paraId="2243F7CF" w14:textId="5455B825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7.95%</w:t>
                  </w:r>
                </w:p>
              </w:tc>
              <w:tc>
                <w:tcPr>
                  <w:tcW w:w="783" w:type="dxa"/>
                  <w:vAlign w:val="bottom"/>
                </w:tcPr>
                <w:p w14:paraId="2486885B" w14:textId="73CA263F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6.56%</w:t>
                  </w:r>
                </w:p>
              </w:tc>
              <w:tc>
                <w:tcPr>
                  <w:tcW w:w="834" w:type="dxa"/>
                  <w:vAlign w:val="bottom"/>
                </w:tcPr>
                <w:p w14:paraId="5829E1D3" w14:textId="49C01BB9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9.31%</w:t>
                  </w:r>
                </w:p>
              </w:tc>
              <w:tc>
                <w:tcPr>
                  <w:tcW w:w="834" w:type="dxa"/>
                  <w:vAlign w:val="bottom"/>
                </w:tcPr>
                <w:p w14:paraId="4AF77F29" w14:textId="5DC16AC8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9.77%</w:t>
                  </w:r>
                </w:p>
              </w:tc>
              <w:tc>
                <w:tcPr>
                  <w:tcW w:w="834" w:type="dxa"/>
                  <w:vAlign w:val="bottom"/>
                </w:tcPr>
                <w:p w14:paraId="59C94287" w14:textId="5637186F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11.24%</w:t>
                  </w:r>
                </w:p>
              </w:tc>
              <w:tc>
                <w:tcPr>
                  <w:tcW w:w="798" w:type="dxa"/>
                  <w:vAlign w:val="bottom"/>
                </w:tcPr>
                <w:p w14:paraId="190A1DF2" w14:textId="23E71036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10.02%</w:t>
                  </w:r>
                </w:p>
              </w:tc>
              <w:tc>
                <w:tcPr>
                  <w:tcW w:w="798" w:type="dxa"/>
                  <w:vAlign w:val="bottom"/>
                </w:tcPr>
                <w:p w14:paraId="342B8BC8" w14:textId="3F3AF68C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10.44%</w:t>
                  </w:r>
                </w:p>
              </w:tc>
            </w:tr>
            <w:tr w:rsidR="00EF5CB9" w:rsidRPr="00D9079F" w14:paraId="3DD5E939" w14:textId="77777777" w:rsidTr="00EF5CB9">
              <w:tc>
                <w:tcPr>
                  <w:tcW w:w="1891" w:type="dxa"/>
                  <w:vAlign w:val="center"/>
                </w:tcPr>
                <w:p w14:paraId="5964CDC4" w14:textId="68CC9D63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Dividend Per share </w:t>
                  </w:r>
                </w:p>
              </w:tc>
              <w:tc>
                <w:tcPr>
                  <w:tcW w:w="490" w:type="dxa"/>
                  <w:vAlign w:val="bottom"/>
                </w:tcPr>
                <w:p w14:paraId="0B36B8CA" w14:textId="4BA58785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783" w:type="dxa"/>
                  <w:vAlign w:val="bottom"/>
                </w:tcPr>
                <w:p w14:paraId="4D5BD607" w14:textId="266D15C8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0.16</w:t>
                  </w:r>
                </w:p>
              </w:tc>
              <w:tc>
                <w:tcPr>
                  <w:tcW w:w="834" w:type="dxa"/>
                  <w:vAlign w:val="bottom"/>
                </w:tcPr>
                <w:p w14:paraId="572EB0AB" w14:textId="32E40D9D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834" w:type="dxa"/>
                  <w:vAlign w:val="bottom"/>
                </w:tcPr>
                <w:p w14:paraId="19155841" w14:textId="6121B101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834" w:type="dxa"/>
                  <w:vAlign w:val="bottom"/>
                </w:tcPr>
                <w:p w14:paraId="353C8011" w14:textId="131625B7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798" w:type="dxa"/>
                  <w:vAlign w:val="bottom"/>
                </w:tcPr>
                <w:p w14:paraId="6D09CDE3" w14:textId="5F7748A3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798" w:type="dxa"/>
                  <w:vAlign w:val="bottom"/>
                </w:tcPr>
                <w:p w14:paraId="2C2C62C5" w14:textId="40CA5187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</w:tr>
            <w:tr w:rsidR="00EF5CB9" w:rsidRPr="00D9079F" w14:paraId="4FFA8179" w14:textId="77777777" w:rsidTr="00EF5CB9">
              <w:tc>
                <w:tcPr>
                  <w:tcW w:w="1891" w:type="dxa"/>
                  <w:shd w:val="clear" w:color="auto" w:fill="auto"/>
                  <w:vAlign w:val="center"/>
                </w:tcPr>
                <w:p w14:paraId="1AD27A81" w14:textId="4CB81D39" w:rsidR="00EF5CB9" w:rsidRPr="00BA5DC4" w:rsidRDefault="00EF5CB9" w:rsidP="00EF5CB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FCF</w:t>
                  </w:r>
                </w:p>
              </w:tc>
              <w:tc>
                <w:tcPr>
                  <w:tcW w:w="490" w:type="dxa"/>
                  <w:vAlign w:val="bottom"/>
                </w:tcPr>
                <w:p w14:paraId="17B255D9" w14:textId="73B473D8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367.57</w:t>
                  </w:r>
                </w:p>
              </w:tc>
              <w:tc>
                <w:tcPr>
                  <w:tcW w:w="783" w:type="dxa"/>
                  <w:vAlign w:val="bottom"/>
                </w:tcPr>
                <w:p w14:paraId="2F94150A" w14:textId="12E0A39E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479.91</w:t>
                  </w:r>
                </w:p>
              </w:tc>
              <w:tc>
                <w:tcPr>
                  <w:tcW w:w="834" w:type="dxa"/>
                  <w:vAlign w:val="bottom"/>
                </w:tcPr>
                <w:p w14:paraId="5EF7E4BE" w14:textId="25DAB85C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429.03</w:t>
                  </w:r>
                </w:p>
              </w:tc>
              <w:tc>
                <w:tcPr>
                  <w:tcW w:w="834" w:type="dxa"/>
                  <w:vAlign w:val="bottom"/>
                </w:tcPr>
                <w:p w14:paraId="66ED5887" w14:textId="5E49FBE5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534.05</w:t>
                  </w:r>
                </w:p>
              </w:tc>
              <w:tc>
                <w:tcPr>
                  <w:tcW w:w="834" w:type="dxa"/>
                  <w:vAlign w:val="bottom"/>
                </w:tcPr>
                <w:p w14:paraId="670F2B22" w14:textId="6A618F43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743.73</w:t>
                  </w:r>
                </w:p>
              </w:tc>
              <w:tc>
                <w:tcPr>
                  <w:tcW w:w="798" w:type="dxa"/>
                  <w:vAlign w:val="bottom"/>
                </w:tcPr>
                <w:p w14:paraId="4BF69696" w14:textId="18517B66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652.58</w:t>
                  </w:r>
                </w:p>
              </w:tc>
              <w:tc>
                <w:tcPr>
                  <w:tcW w:w="798" w:type="dxa"/>
                  <w:vAlign w:val="bottom"/>
                </w:tcPr>
                <w:p w14:paraId="4DFBCD29" w14:textId="24A9A1F9" w:rsidR="00EF5CB9" w:rsidRPr="00EF5CB9" w:rsidRDefault="00EF5CB9" w:rsidP="00EF5CB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F5CB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658.85</w:t>
                  </w:r>
                </w:p>
              </w:tc>
            </w:tr>
          </w:tbl>
          <w:p w14:paraId="6F98E45C" w14:textId="77777777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14:paraId="3276E349" w14:textId="77777777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7"/>
              <w:gridCol w:w="1123"/>
              <w:gridCol w:w="1074"/>
            </w:tblGrid>
            <w:tr w:rsidR="0060598F" w:rsidRPr="00D9079F" w14:paraId="4C54BF94" w14:textId="77777777" w:rsidTr="0060598F">
              <w:tc>
                <w:tcPr>
                  <w:tcW w:w="1908" w:type="dxa"/>
                  <w:shd w:val="clear" w:color="auto" w:fill="DBE5F1" w:themeFill="accent1" w:themeFillTint="33"/>
                </w:tcPr>
                <w:p w14:paraId="15FA463B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shd w:val="clear" w:color="auto" w:fill="DBE5F1" w:themeFill="accent1" w:themeFillTint="33"/>
                </w:tcPr>
                <w:p w14:paraId="3D650FB0" w14:textId="5CE3D8E6" w:rsidR="00830F06" w:rsidRPr="00D9079F" w:rsidRDefault="00830F06" w:rsidP="00E42CC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201</w:t>
                  </w:r>
                  <w:r w:rsidR="00F138F4">
                    <w:rPr>
                      <w:rFonts w:asciiTheme="majorHAnsi" w:hAnsiTheme="majorHAnsi"/>
                      <w:sz w:val="16"/>
                      <w:szCs w:val="16"/>
                    </w:rPr>
                    <w:t>2-16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6917AD00" w14:textId="1D2A951D" w:rsidR="00830F06" w:rsidRPr="00D9079F" w:rsidRDefault="00F138F4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2017</w:t>
                  </w:r>
                  <w:r w:rsidR="00E97631">
                    <w:rPr>
                      <w:rFonts w:asciiTheme="majorHAnsi" w:hAnsiTheme="majorHAnsi"/>
                      <w:sz w:val="16"/>
                      <w:szCs w:val="16"/>
                    </w:rPr>
                    <w:t>-21</w:t>
                  </w:r>
                </w:p>
              </w:tc>
            </w:tr>
            <w:tr w:rsidR="00BA5DC4" w:rsidRPr="00BA5DC4" w14:paraId="5A9DD5F4" w14:textId="77777777" w:rsidTr="00DA3564">
              <w:tc>
                <w:tcPr>
                  <w:tcW w:w="1908" w:type="dxa"/>
                </w:tcPr>
                <w:p w14:paraId="6A465DCA" w14:textId="77777777" w:rsidR="00830F06" w:rsidRPr="00BA5DC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  Revenue</w:t>
                  </w:r>
                  <w:proofErr w:type="gramEnd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 growth </w:t>
                  </w:r>
                </w:p>
              </w:tc>
              <w:tc>
                <w:tcPr>
                  <w:tcW w:w="1129" w:type="dxa"/>
                </w:tcPr>
                <w:p w14:paraId="28890419" w14:textId="1B850F74" w:rsidR="00830F06" w:rsidRPr="00BA5DC4" w:rsidRDefault="00EF5CB9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  <w:r w:rsidR="00B85A10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14:paraId="2B6EF445" w14:textId="2FD139A3" w:rsidR="00830F06" w:rsidRPr="00BA5DC4" w:rsidRDefault="00EF5CB9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5.6</w:t>
                  </w:r>
                  <w:r w:rsidR="00412895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BA5DC4" w:rsidRPr="00BA5DC4" w14:paraId="49A71F37" w14:textId="77777777" w:rsidTr="00DA3564">
              <w:tc>
                <w:tcPr>
                  <w:tcW w:w="1908" w:type="dxa"/>
                </w:tcPr>
                <w:p w14:paraId="7425D824" w14:textId="77777777" w:rsidR="00830F06" w:rsidRPr="00BA5DC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  EBITDA</w:t>
                  </w:r>
                  <w:proofErr w:type="gramEnd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 Margin </w:t>
                  </w:r>
                </w:p>
              </w:tc>
              <w:tc>
                <w:tcPr>
                  <w:tcW w:w="1129" w:type="dxa"/>
                </w:tcPr>
                <w:p w14:paraId="6AE1C97F" w14:textId="6074A18D" w:rsidR="00830F06" w:rsidRPr="00BA5DC4" w:rsidRDefault="00EF5CB9" w:rsidP="00FD026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17.9</w:t>
                  </w:r>
                  <w:r w:rsidR="009C2D5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14:paraId="72FC070B" w14:textId="22E9182E" w:rsidR="00E312E0" w:rsidRPr="00BA5DC4" w:rsidRDefault="00EF5CB9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16.8</w:t>
                  </w:r>
                  <w:r w:rsidR="00885EEF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BA5DC4" w:rsidRPr="00BA5DC4" w14:paraId="5B01660D" w14:textId="77777777" w:rsidTr="00DA3564">
              <w:tc>
                <w:tcPr>
                  <w:tcW w:w="1908" w:type="dxa"/>
                </w:tcPr>
                <w:p w14:paraId="2B656250" w14:textId="77777777" w:rsidR="00830F06" w:rsidRPr="00BA5DC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  Net</w:t>
                  </w:r>
                  <w:proofErr w:type="gramEnd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 Income Margin </w:t>
                  </w:r>
                </w:p>
              </w:tc>
              <w:tc>
                <w:tcPr>
                  <w:tcW w:w="1129" w:type="dxa"/>
                </w:tcPr>
                <w:p w14:paraId="6B796F07" w14:textId="2E04A60D" w:rsidR="00830F06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10.5</w:t>
                  </w:r>
                  <w:r w:rsidR="00412895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14:paraId="2CA542D3" w14:textId="4AC809F0" w:rsidR="00830F06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10.2</w:t>
                  </w:r>
                  <w:r w:rsidR="00412895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BA5DC4" w:rsidRPr="00BA5DC4" w14:paraId="1407D251" w14:textId="77777777" w:rsidTr="00DA3564">
              <w:tc>
                <w:tcPr>
                  <w:tcW w:w="1908" w:type="dxa"/>
                </w:tcPr>
                <w:p w14:paraId="5FB4F2E9" w14:textId="77777777" w:rsidR="00830F06" w:rsidRPr="00BA5DC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  Debt</w:t>
                  </w:r>
                  <w:proofErr w:type="gramEnd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/Equity </w:t>
                  </w:r>
                </w:p>
              </w:tc>
              <w:tc>
                <w:tcPr>
                  <w:tcW w:w="1129" w:type="dxa"/>
                </w:tcPr>
                <w:p w14:paraId="3BD7CDF4" w14:textId="3C5CEAF5" w:rsidR="00830F06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100</w:t>
                  </w:r>
                  <w:r w:rsidR="00D62AC8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14:paraId="6104E666" w14:textId="6EC1882E" w:rsidR="00E312E0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85</w:t>
                  </w:r>
                  <w:r w:rsidR="00D62AC8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BA5DC4" w:rsidRPr="00BA5DC4" w14:paraId="261F133B" w14:textId="77777777" w:rsidTr="00FD0265">
              <w:tc>
                <w:tcPr>
                  <w:tcW w:w="1908" w:type="dxa"/>
                </w:tcPr>
                <w:p w14:paraId="0B1C1930" w14:textId="5020BC3E" w:rsidR="00830F06" w:rsidRPr="00BA5DC4" w:rsidRDefault="00830F06" w:rsidP="00FD026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  <w:r w:rsidR="00FD0265" w:rsidRPr="00BA5DC4">
                    <w:rPr>
                      <w:rFonts w:asciiTheme="majorHAnsi" w:hAnsiTheme="majorHAnsi"/>
                      <w:sz w:val="16"/>
                      <w:szCs w:val="16"/>
                    </w:rPr>
                    <w:t>FCF</w:t>
                  </w: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 / </w:t>
                  </w:r>
                  <w:r w:rsidR="00FD0265" w:rsidRPr="00BA5DC4">
                    <w:rPr>
                      <w:rFonts w:asciiTheme="majorHAnsi" w:hAnsiTheme="majorHAnsi"/>
                      <w:sz w:val="16"/>
                      <w:szCs w:val="16"/>
                    </w:rPr>
                    <w:t>Margin</w:t>
                  </w: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4FFEFCE9" w14:textId="554A445D" w:rsidR="00830F06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11.5</w:t>
                  </w:r>
                  <w:r w:rsidR="00AC7C30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4395283" w14:textId="05DDBC7D" w:rsidR="00830F06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11.2</w:t>
                  </w:r>
                  <w:r w:rsidR="0043484A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BA5DC4" w:rsidRPr="00BA5DC4" w14:paraId="42F79EE5" w14:textId="77777777" w:rsidTr="00DA3564">
              <w:tc>
                <w:tcPr>
                  <w:tcW w:w="3037" w:type="dxa"/>
                  <w:gridSpan w:val="2"/>
                </w:tcPr>
                <w:p w14:paraId="11317549" w14:textId="77777777" w:rsidR="00830F06" w:rsidRPr="00BA5DC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Cost of Debt</w:t>
                  </w:r>
                </w:p>
              </w:tc>
              <w:tc>
                <w:tcPr>
                  <w:tcW w:w="1080" w:type="dxa"/>
                </w:tcPr>
                <w:p w14:paraId="316D237F" w14:textId="30D96AE9" w:rsidR="00830F06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4.3</w:t>
                  </w:r>
                  <w:r w:rsidR="00F4340F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BA5DC4" w:rsidRPr="00BA5DC4" w14:paraId="67214880" w14:textId="77777777" w:rsidTr="00DA3564">
              <w:tc>
                <w:tcPr>
                  <w:tcW w:w="3037" w:type="dxa"/>
                  <w:gridSpan w:val="2"/>
                </w:tcPr>
                <w:p w14:paraId="30979647" w14:textId="77777777" w:rsidR="00830F06" w:rsidRPr="00BA5DC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Tax Rate</w:t>
                  </w:r>
                </w:p>
              </w:tc>
              <w:tc>
                <w:tcPr>
                  <w:tcW w:w="1080" w:type="dxa"/>
                </w:tcPr>
                <w:p w14:paraId="426CE887" w14:textId="3017AAC7" w:rsidR="00830F06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  <w:r w:rsidR="009C2D5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BA5DC4" w:rsidRPr="00BA5DC4" w14:paraId="0F9564DE" w14:textId="77777777" w:rsidTr="00DA3564">
              <w:tc>
                <w:tcPr>
                  <w:tcW w:w="3037" w:type="dxa"/>
                  <w:gridSpan w:val="2"/>
                </w:tcPr>
                <w:p w14:paraId="02E73EF4" w14:textId="77777777" w:rsidR="00830F06" w:rsidRPr="00BA5DC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Cost of Equity </w:t>
                  </w:r>
                </w:p>
              </w:tc>
              <w:tc>
                <w:tcPr>
                  <w:tcW w:w="1080" w:type="dxa"/>
                </w:tcPr>
                <w:p w14:paraId="7C66D20E" w14:textId="28D1EE64" w:rsidR="00830F06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6.26</w:t>
                  </w:r>
                  <w:r w:rsidR="00F4340F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BA5DC4" w:rsidRPr="00BA5DC4" w14:paraId="19A1F6C8" w14:textId="77777777" w:rsidTr="00DA3564">
              <w:tc>
                <w:tcPr>
                  <w:tcW w:w="3037" w:type="dxa"/>
                  <w:gridSpan w:val="2"/>
                </w:tcPr>
                <w:p w14:paraId="714B53EA" w14:textId="77777777" w:rsidR="00830F06" w:rsidRPr="00BA5DC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WACC</w:t>
                  </w:r>
                </w:p>
              </w:tc>
              <w:tc>
                <w:tcPr>
                  <w:tcW w:w="1080" w:type="dxa"/>
                </w:tcPr>
                <w:p w14:paraId="71DF2BD8" w14:textId="31F65F62" w:rsidR="00830F06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7.44</w:t>
                  </w:r>
                  <w:r w:rsidR="00F4340F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BA5DC4" w:rsidRPr="00BA5DC4" w14:paraId="48232758" w14:textId="77777777" w:rsidTr="002D3CFC">
              <w:trPr>
                <w:trHeight w:val="197"/>
              </w:trPr>
              <w:tc>
                <w:tcPr>
                  <w:tcW w:w="3037" w:type="dxa"/>
                  <w:gridSpan w:val="2"/>
                </w:tcPr>
                <w:p w14:paraId="75850D20" w14:textId="77777777" w:rsidR="00830F06" w:rsidRPr="00BA5DC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Perpetuity growth rate </w:t>
                  </w:r>
                </w:p>
              </w:tc>
              <w:tc>
                <w:tcPr>
                  <w:tcW w:w="1080" w:type="dxa"/>
                </w:tcPr>
                <w:p w14:paraId="0C5586DB" w14:textId="19452A88" w:rsidR="00830F06" w:rsidRPr="00BA5DC4" w:rsidRDefault="0048703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2.63</w:t>
                  </w:r>
                  <w:r w:rsidR="009C2D5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</w:tbl>
          <w:p w14:paraId="4363BD08" w14:textId="77777777" w:rsidR="009F0D12" w:rsidRPr="00BA5DC4" w:rsidRDefault="009F0D12" w:rsidP="009F0D12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A5DC4">
              <w:rPr>
                <w:rFonts w:asciiTheme="majorHAnsi" w:hAnsiTheme="majorHAnsi"/>
                <w:b/>
                <w:sz w:val="16"/>
                <w:szCs w:val="16"/>
              </w:rPr>
              <w:t xml:space="preserve">Analyst Opinion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0"/>
              <w:gridCol w:w="1077"/>
              <w:gridCol w:w="1407"/>
            </w:tblGrid>
            <w:tr w:rsidR="00BA5DC4" w:rsidRPr="00BA5DC4" w14:paraId="2502AA66" w14:textId="77777777" w:rsidTr="00FB4741">
              <w:tc>
                <w:tcPr>
                  <w:tcW w:w="1610" w:type="dxa"/>
                  <w:shd w:val="clear" w:color="auto" w:fill="DBE5F1" w:themeFill="accent1" w:themeFillTint="33"/>
                </w:tcPr>
                <w:p w14:paraId="6457A1D0" w14:textId="2E180077" w:rsidR="009F0D12" w:rsidRPr="00BA5DC4" w:rsidRDefault="009F0D12" w:rsidP="00766C69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Buy</w:t>
                  </w:r>
                  <w:r w:rsidR="0043484A">
                    <w:rPr>
                      <w:rFonts w:asciiTheme="majorHAnsi" w:hAnsiTheme="majorHAnsi"/>
                      <w:sz w:val="16"/>
                      <w:szCs w:val="16"/>
                    </w:rPr>
                    <w:t>:</w:t>
                  </w:r>
                  <w:r w:rsidR="00487033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77" w:type="dxa"/>
                  <w:shd w:val="clear" w:color="auto" w:fill="DBE5F1" w:themeFill="accent1" w:themeFillTint="33"/>
                </w:tcPr>
                <w:p w14:paraId="10E79476" w14:textId="1DA31775" w:rsidR="009F0D12" w:rsidRPr="00BA5DC4" w:rsidRDefault="007B1B8F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Hold</w:t>
                  </w:r>
                  <w:r w:rsidR="009F0D12"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: </w:t>
                  </w:r>
                  <w:r w:rsidR="00487033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07" w:type="dxa"/>
                  <w:shd w:val="clear" w:color="auto" w:fill="DBE5F1" w:themeFill="accent1" w:themeFillTint="33"/>
                </w:tcPr>
                <w:p w14:paraId="1F373BED" w14:textId="15E6E9BD" w:rsidR="009F0D12" w:rsidRPr="00BA5DC4" w:rsidRDefault="00932CE0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Sell:0</w:t>
                  </w:r>
                </w:p>
              </w:tc>
            </w:tr>
            <w:tr w:rsidR="00BA5DC4" w:rsidRPr="00BA5DC4" w14:paraId="0A705346" w14:textId="77777777" w:rsidTr="00FB4741">
              <w:tc>
                <w:tcPr>
                  <w:tcW w:w="1610" w:type="dxa"/>
                  <w:shd w:val="clear" w:color="auto" w:fill="DBE5F1" w:themeFill="accent1" w:themeFillTint="33"/>
                </w:tcPr>
                <w:p w14:paraId="7897F5B6" w14:textId="4F317FB7" w:rsidR="00DF636E" w:rsidRPr="00BA5DC4" w:rsidRDefault="00DF636E" w:rsidP="00DF636E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Target Price Range</w:t>
                  </w:r>
                </w:p>
              </w:tc>
              <w:tc>
                <w:tcPr>
                  <w:tcW w:w="1077" w:type="dxa"/>
                  <w:shd w:val="clear" w:color="auto" w:fill="DBE5F1" w:themeFill="accent1" w:themeFillTint="33"/>
                </w:tcPr>
                <w:p w14:paraId="78BA4ECF" w14:textId="48F3791D" w:rsidR="00DF636E" w:rsidRPr="00BA5DC4" w:rsidRDefault="007A174B" w:rsidP="00DF636E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  <w:r w:rsidR="00487033">
                    <w:rPr>
                      <w:rFonts w:asciiTheme="majorHAnsi" w:hAnsiTheme="majorHAnsi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07" w:type="dxa"/>
                  <w:shd w:val="clear" w:color="auto" w:fill="DBE5F1" w:themeFill="accent1" w:themeFillTint="33"/>
                </w:tcPr>
                <w:p w14:paraId="1E6E599B" w14:textId="20858BA1" w:rsidR="00DF636E" w:rsidRPr="00BA5DC4" w:rsidRDefault="00DF636E" w:rsidP="00DF636E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BA5DC4" w:rsidRPr="00BA5DC4" w14:paraId="18B2C8FA" w14:textId="77777777" w:rsidTr="00FB4741">
              <w:tc>
                <w:tcPr>
                  <w:tcW w:w="1610" w:type="dxa"/>
                </w:tcPr>
                <w:p w14:paraId="12374E3E" w14:textId="54071C10" w:rsidR="00DF636E" w:rsidRPr="00BA5DC4" w:rsidRDefault="00DF636E" w:rsidP="00DF636E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</w:tcPr>
                <w:p w14:paraId="6EC161A2" w14:textId="6B87CE6D" w:rsidR="00DF636E" w:rsidRPr="00BA5DC4" w:rsidRDefault="00DF636E" w:rsidP="00DF636E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</w:tcPr>
                <w:p w14:paraId="0BCB7E23" w14:textId="3B9FA11D" w:rsidR="00DF636E" w:rsidRPr="00BA5DC4" w:rsidRDefault="00DF636E" w:rsidP="00DF636E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BA5DC4" w:rsidRPr="00BA5DC4" w14:paraId="35B4D85C" w14:textId="77777777" w:rsidTr="00FB4741">
              <w:trPr>
                <w:trHeight w:val="215"/>
              </w:trPr>
              <w:tc>
                <w:tcPr>
                  <w:tcW w:w="1610" w:type="dxa"/>
                </w:tcPr>
                <w:p w14:paraId="1DD4E482" w14:textId="7AF75D48" w:rsidR="00DF636E" w:rsidRPr="00BA5DC4" w:rsidRDefault="00DF636E" w:rsidP="00DF636E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</w:tcPr>
                <w:p w14:paraId="0B4EFFDC" w14:textId="6BA6D99D" w:rsidR="00DF636E" w:rsidRPr="00BA5DC4" w:rsidRDefault="00DF636E" w:rsidP="00DF636E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</w:tcPr>
                <w:p w14:paraId="70BA49F9" w14:textId="4D3E5745" w:rsidR="00DF636E" w:rsidRPr="00BA5DC4" w:rsidRDefault="00DF636E" w:rsidP="00DF636E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BA5DC4" w:rsidRPr="00BA5DC4" w14:paraId="0BBF9B66" w14:textId="77777777" w:rsidTr="00FE54D9">
              <w:trPr>
                <w:trHeight w:val="215"/>
              </w:trPr>
              <w:tc>
                <w:tcPr>
                  <w:tcW w:w="4094" w:type="dxa"/>
                  <w:gridSpan w:val="3"/>
                </w:tcPr>
                <w:p w14:paraId="22CC1EA0" w14:textId="7C491457" w:rsidR="007B1B8F" w:rsidRPr="00BA5DC4" w:rsidRDefault="00DB074A" w:rsidP="007A174B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Source: </w:t>
                  </w:r>
                  <w:r w:rsidR="00487033">
                    <w:rPr>
                      <w:rFonts w:asciiTheme="majorHAnsi" w:hAnsiTheme="majorHAnsi"/>
                      <w:sz w:val="16"/>
                      <w:szCs w:val="16"/>
                    </w:rPr>
                    <w:t>Bloomberg</w:t>
                  </w:r>
                </w:p>
              </w:tc>
            </w:tr>
          </w:tbl>
          <w:p w14:paraId="577D83D9" w14:textId="77777777" w:rsidR="002D3CFC" w:rsidRPr="00D9079F" w:rsidRDefault="002D3CFC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073CB6D9" w14:textId="3AE9A174" w:rsidR="001C1BC2" w:rsidRPr="00D9079F" w:rsidRDefault="001C1BC2" w:rsidP="00AE53EE">
      <w:pPr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1744" w:type="dxa"/>
        <w:tblInd w:w="-1440" w:type="dxa"/>
        <w:tblLayout w:type="fixed"/>
        <w:tblLook w:val="04A0" w:firstRow="1" w:lastRow="0" w:firstColumn="1" w:lastColumn="0" w:noHBand="0" w:noVBand="1"/>
      </w:tblPr>
      <w:tblGrid>
        <w:gridCol w:w="7488"/>
        <w:gridCol w:w="4256"/>
      </w:tblGrid>
      <w:tr w:rsidR="00766C69" w:rsidRPr="00D9079F" w14:paraId="660DEC2C" w14:textId="77777777" w:rsidTr="00D50F9B">
        <w:tc>
          <w:tcPr>
            <w:tcW w:w="7488" w:type="dxa"/>
            <w:shd w:val="clear" w:color="auto" w:fill="365F91" w:themeFill="accent1" w:themeFillShade="BF"/>
          </w:tcPr>
          <w:p w14:paraId="1BAF6900" w14:textId="27A2E398" w:rsidR="00766C69" w:rsidRPr="00D9079F" w:rsidRDefault="00766C69" w:rsidP="004F2EAA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Relative Valuation</w:t>
            </w:r>
          </w:p>
        </w:tc>
        <w:tc>
          <w:tcPr>
            <w:tcW w:w="4256" w:type="dxa"/>
            <w:shd w:val="clear" w:color="auto" w:fill="365F91" w:themeFill="accent1" w:themeFillShade="BF"/>
          </w:tcPr>
          <w:p w14:paraId="335BDBD9" w14:textId="109523C3" w:rsidR="00766C69" w:rsidRPr="00D9079F" w:rsidRDefault="00766C69" w:rsidP="00DA3564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Total Return</w:t>
            </w:r>
          </w:p>
        </w:tc>
      </w:tr>
      <w:tr w:rsidR="00766C69" w:rsidRPr="00D9079F" w14:paraId="2AA141CB" w14:textId="77777777" w:rsidTr="00AE53EE">
        <w:trPr>
          <w:trHeight w:val="2537"/>
        </w:trPr>
        <w:tc>
          <w:tcPr>
            <w:tcW w:w="7488" w:type="dxa"/>
          </w:tcPr>
          <w:tbl>
            <w:tblPr>
              <w:tblStyle w:val="TableGrid"/>
              <w:tblW w:w="7292" w:type="dxa"/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1440"/>
              <w:gridCol w:w="1350"/>
              <w:gridCol w:w="1351"/>
              <w:gridCol w:w="1170"/>
            </w:tblGrid>
            <w:tr w:rsidR="00B658BA" w:rsidRPr="00D9079F" w14:paraId="03A7F5D8" w14:textId="77777777" w:rsidTr="00EA1372">
              <w:tc>
                <w:tcPr>
                  <w:tcW w:w="1981" w:type="dxa"/>
                  <w:shd w:val="clear" w:color="auto" w:fill="DBE5F1" w:themeFill="accent1" w:themeFillTint="33"/>
                </w:tcPr>
                <w:p w14:paraId="18F981FE" w14:textId="10471A60" w:rsidR="00B658BA" w:rsidRPr="002B1DA1" w:rsidRDefault="00B658BA" w:rsidP="00AF0C8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shd w:val="clear" w:color="auto" w:fill="DBE5F1" w:themeFill="accent1" w:themeFillTint="33"/>
                </w:tcPr>
                <w:p w14:paraId="533159FD" w14:textId="48519DC9" w:rsidR="00B658BA" w:rsidRPr="00B658BA" w:rsidRDefault="00EF5CB9" w:rsidP="00AF0C8D">
                  <w:pPr>
                    <w:rPr>
                      <w:rFonts w:asciiTheme="majorHAnsi" w:eastAsia="Malgun Gothic" w:hAnsiTheme="majorHAnsi"/>
                      <w:sz w:val="16"/>
                      <w:szCs w:val="16"/>
                      <w:lang w:eastAsia="ko-KR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Mattel</w:t>
                  </w:r>
                </w:p>
              </w:tc>
              <w:tc>
                <w:tcPr>
                  <w:tcW w:w="1350" w:type="dxa"/>
                  <w:shd w:val="clear" w:color="auto" w:fill="DBE5F1" w:themeFill="accent1" w:themeFillTint="33"/>
                </w:tcPr>
                <w:p w14:paraId="488ED66B" w14:textId="6F8CCC31" w:rsidR="00B658BA" w:rsidRPr="002B1DA1" w:rsidRDefault="00037D92" w:rsidP="00AF0C8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hyperlink r:id="rId6" w:tgtFrame="_blank" w:history="1">
                    <w:r w:rsidR="00EA1372" w:rsidRPr="00EA1372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BANDAI </w:t>
                    </w:r>
                  </w:hyperlink>
                </w:p>
              </w:tc>
              <w:tc>
                <w:tcPr>
                  <w:tcW w:w="1351" w:type="dxa"/>
                  <w:shd w:val="clear" w:color="auto" w:fill="DBE5F1" w:themeFill="accent1" w:themeFillTint="33"/>
                </w:tcPr>
                <w:p w14:paraId="36FCBD39" w14:textId="7A96882B" w:rsidR="00B658BA" w:rsidRPr="002B1DA1" w:rsidRDefault="00EA1372" w:rsidP="00AF0C8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Hasbro</w:t>
                  </w:r>
                </w:p>
              </w:tc>
              <w:tc>
                <w:tcPr>
                  <w:tcW w:w="1170" w:type="dxa"/>
                  <w:shd w:val="clear" w:color="auto" w:fill="DBE5F1" w:themeFill="accent1" w:themeFillTint="33"/>
                </w:tcPr>
                <w:p w14:paraId="78007BAA" w14:textId="254843AB" w:rsidR="00B658BA" w:rsidRPr="002B1DA1" w:rsidRDefault="00B658BA" w:rsidP="00AF0C8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2B1DA1">
                    <w:rPr>
                      <w:rFonts w:asciiTheme="majorHAnsi" w:hAnsiTheme="majorHAnsi"/>
                      <w:sz w:val="16"/>
                      <w:szCs w:val="16"/>
                    </w:rPr>
                    <w:t>Industry Avg.*</w:t>
                  </w:r>
                </w:p>
              </w:tc>
            </w:tr>
            <w:tr w:rsidR="00B658BA" w:rsidRPr="00D9079F" w14:paraId="5DA42BF7" w14:textId="77777777" w:rsidTr="00EA1372">
              <w:tc>
                <w:tcPr>
                  <w:tcW w:w="1981" w:type="dxa"/>
                </w:tcPr>
                <w:p w14:paraId="5D8F0BAD" w14:textId="77777777" w:rsidR="00B658BA" w:rsidRPr="00D9079F" w:rsidRDefault="00B658BA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P/E</w:t>
                  </w:r>
                </w:p>
              </w:tc>
              <w:tc>
                <w:tcPr>
                  <w:tcW w:w="1440" w:type="dxa"/>
                  <w:vAlign w:val="center"/>
                </w:tcPr>
                <w:p w14:paraId="2D8D2916" w14:textId="550ECB9C" w:rsidR="00B658BA" w:rsidRPr="00BA5DC4" w:rsidRDefault="00890173" w:rsidP="001C1BC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50" w:type="dxa"/>
                  <w:vAlign w:val="center"/>
                </w:tcPr>
                <w:p w14:paraId="574D15A5" w14:textId="524D49F0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18.9</w:t>
                  </w:r>
                </w:p>
              </w:tc>
              <w:tc>
                <w:tcPr>
                  <w:tcW w:w="1351" w:type="dxa"/>
                  <w:vAlign w:val="center"/>
                </w:tcPr>
                <w:p w14:paraId="53BFCC21" w14:textId="4ABC9CB0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19.8</w:t>
                  </w:r>
                </w:p>
              </w:tc>
              <w:tc>
                <w:tcPr>
                  <w:tcW w:w="1170" w:type="dxa"/>
                  <w:vAlign w:val="center"/>
                </w:tcPr>
                <w:p w14:paraId="7076EAC1" w14:textId="30657EE6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29.1</w:t>
                  </w:r>
                </w:p>
              </w:tc>
            </w:tr>
            <w:tr w:rsidR="00B658BA" w:rsidRPr="00D9079F" w14:paraId="3CF28431" w14:textId="77777777" w:rsidTr="00EA1372">
              <w:tc>
                <w:tcPr>
                  <w:tcW w:w="1981" w:type="dxa"/>
                </w:tcPr>
                <w:p w14:paraId="7E3790DF" w14:textId="77777777" w:rsidR="00B658BA" w:rsidRPr="00D9079F" w:rsidRDefault="00B658BA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P/B</w:t>
                  </w:r>
                </w:p>
              </w:tc>
              <w:tc>
                <w:tcPr>
                  <w:tcW w:w="1440" w:type="dxa"/>
                  <w:vAlign w:val="center"/>
                </w:tcPr>
                <w:p w14:paraId="660D1149" w14:textId="028BE394" w:rsidR="00B658BA" w:rsidRPr="00BA5DC4" w:rsidRDefault="00890173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1350" w:type="dxa"/>
                  <w:vAlign w:val="center"/>
                </w:tcPr>
                <w:p w14:paraId="2E4744B0" w14:textId="72BF6419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351" w:type="dxa"/>
                  <w:vAlign w:val="center"/>
                </w:tcPr>
                <w:p w14:paraId="34BDBBAA" w14:textId="439AB0F5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5.8</w:t>
                  </w:r>
                </w:p>
              </w:tc>
              <w:tc>
                <w:tcPr>
                  <w:tcW w:w="1170" w:type="dxa"/>
                  <w:vAlign w:val="center"/>
                </w:tcPr>
                <w:p w14:paraId="5AFEA404" w14:textId="7A68B5CD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3.3</w:t>
                  </w:r>
                </w:p>
              </w:tc>
            </w:tr>
            <w:tr w:rsidR="00B658BA" w:rsidRPr="00D9079F" w14:paraId="0617F604" w14:textId="77777777" w:rsidTr="00EA1372">
              <w:tc>
                <w:tcPr>
                  <w:tcW w:w="1981" w:type="dxa"/>
                </w:tcPr>
                <w:p w14:paraId="3EC6238B" w14:textId="77777777" w:rsidR="00B658BA" w:rsidRPr="00D9079F" w:rsidRDefault="00B658BA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Dividend Yield </w:t>
                  </w:r>
                </w:p>
              </w:tc>
              <w:tc>
                <w:tcPr>
                  <w:tcW w:w="1440" w:type="dxa"/>
                  <w:vAlign w:val="center"/>
                </w:tcPr>
                <w:p w14:paraId="7050AD2B" w14:textId="2CDD5920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5.7%</w:t>
                  </w:r>
                </w:p>
              </w:tc>
              <w:tc>
                <w:tcPr>
                  <w:tcW w:w="1350" w:type="dxa"/>
                  <w:vAlign w:val="center"/>
                </w:tcPr>
                <w:p w14:paraId="769364CB" w14:textId="15FA63FB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1.4%</w:t>
                  </w:r>
                </w:p>
              </w:tc>
              <w:tc>
                <w:tcPr>
                  <w:tcW w:w="1351" w:type="dxa"/>
                  <w:vAlign w:val="center"/>
                </w:tcPr>
                <w:p w14:paraId="524E59DF" w14:textId="15DF6E72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2.4%</w:t>
                  </w:r>
                </w:p>
              </w:tc>
              <w:tc>
                <w:tcPr>
                  <w:tcW w:w="1170" w:type="dxa"/>
                  <w:vAlign w:val="center"/>
                </w:tcPr>
                <w:p w14:paraId="4CB9EC74" w14:textId="5F6E05DA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1.2</w:t>
                  </w:r>
                  <w:r w:rsidR="00B658BA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B658BA" w:rsidRPr="00D9079F" w14:paraId="777301C1" w14:textId="77777777" w:rsidTr="00EA1372">
              <w:tc>
                <w:tcPr>
                  <w:tcW w:w="1981" w:type="dxa"/>
                </w:tcPr>
                <w:p w14:paraId="0759BE0E" w14:textId="26D9A8BE" w:rsidR="00B658BA" w:rsidRPr="00E2549F" w:rsidRDefault="00B658BA" w:rsidP="0046268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>Revn</w:t>
                  </w:r>
                  <w:proofErr w:type="spellEnd"/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>Grth</w:t>
                  </w:r>
                  <w:proofErr w:type="spellEnd"/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14:paraId="3A612663" w14:textId="5BFF7FEF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-2.7%</w:t>
                  </w:r>
                </w:p>
              </w:tc>
              <w:tc>
                <w:tcPr>
                  <w:tcW w:w="1350" w:type="dxa"/>
                  <w:vAlign w:val="center"/>
                </w:tcPr>
                <w:p w14:paraId="76CC3C60" w14:textId="2F3A2A34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6.4%</w:t>
                  </w:r>
                </w:p>
              </w:tc>
              <w:tc>
                <w:tcPr>
                  <w:tcW w:w="1351" w:type="dxa"/>
                  <w:vAlign w:val="center"/>
                </w:tcPr>
                <w:p w14:paraId="18DCC7A0" w14:textId="557021C5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4%</w:t>
                  </w:r>
                </w:p>
              </w:tc>
              <w:tc>
                <w:tcPr>
                  <w:tcW w:w="1170" w:type="dxa"/>
                  <w:vAlign w:val="center"/>
                </w:tcPr>
                <w:p w14:paraId="17995264" w14:textId="26EF29C7" w:rsidR="00B658BA" w:rsidRPr="00BA5DC4" w:rsidRDefault="0089139F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N/A</w:t>
                  </w:r>
                </w:p>
              </w:tc>
            </w:tr>
            <w:tr w:rsidR="00B658BA" w:rsidRPr="00D9079F" w14:paraId="616F0554" w14:textId="77777777" w:rsidTr="00EA1372">
              <w:tc>
                <w:tcPr>
                  <w:tcW w:w="1981" w:type="dxa"/>
                </w:tcPr>
                <w:p w14:paraId="12174486" w14:textId="072B3A46" w:rsidR="00B658BA" w:rsidRPr="00E2549F" w:rsidRDefault="00B658BA" w:rsidP="00CE09D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 xml:space="preserve">NI </w:t>
                  </w:r>
                  <w:proofErr w:type="spellStart"/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>Grth</w:t>
                  </w:r>
                  <w:proofErr w:type="spellEnd"/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14:paraId="76BD59B5" w14:textId="6DB4E728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-3%</w:t>
                  </w:r>
                </w:p>
              </w:tc>
              <w:tc>
                <w:tcPr>
                  <w:tcW w:w="1350" w:type="dxa"/>
                  <w:vAlign w:val="center"/>
                </w:tcPr>
                <w:p w14:paraId="552B5D28" w14:textId="4BB115FB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6%</w:t>
                  </w:r>
                </w:p>
              </w:tc>
              <w:tc>
                <w:tcPr>
                  <w:tcW w:w="1351" w:type="dxa"/>
                  <w:vAlign w:val="center"/>
                </w:tcPr>
                <w:p w14:paraId="21AC8274" w14:textId="636DFCCE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3.8%</w:t>
                  </w:r>
                </w:p>
              </w:tc>
              <w:tc>
                <w:tcPr>
                  <w:tcW w:w="1170" w:type="dxa"/>
                  <w:vAlign w:val="center"/>
                </w:tcPr>
                <w:p w14:paraId="09E34E39" w14:textId="7FBA5130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6.7%</w:t>
                  </w:r>
                </w:p>
              </w:tc>
            </w:tr>
            <w:tr w:rsidR="00B658BA" w:rsidRPr="00D9079F" w14:paraId="339AECB6" w14:textId="77777777" w:rsidTr="00EA1372">
              <w:tc>
                <w:tcPr>
                  <w:tcW w:w="1981" w:type="dxa"/>
                </w:tcPr>
                <w:p w14:paraId="7B2C49BE" w14:textId="77777777" w:rsidR="00B658BA" w:rsidRPr="00E2549F" w:rsidRDefault="00B658BA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 xml:space="preserve">Operating Margin </w:t>
                  </w:r>
                </w:p>
              </w:tc>
              <w:tc>
                <w:tcPr>
                  <w:tcW w:w="1440" w:type="dxa"/>
                  <w:vAlign w:val="center"/>
                </w:tcPr>
                <w:p w14:paraId="583A9E22" w14:textId="3FC81222" w:rsidR="00B658BA" w:rsidRPr="00BA5DC4" w:rsidRDefault="00EA1372" w:rsidP="005117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9%</w:t>
                  </w:r>
                </w:p>
              </w:tc>
              <w:tc>
                <w:tcPr>
                  <w:tcW w:w="1350" w:type="dxa"/>
                  <w:vAlign w:val="center"/>
                </w:tcPr>
                <w:p w14:paraId="0259AF75" w14:textId="60973D8E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12%</w:t>
                  </w:r>
                </w:p>
              </w:tc>
              <w:tc>
                <w:tcPr>
                  <w:tcW w:w="1351" w:type="dxa"/>
                  <w:vAlign w:val="center"/>
                </w:tcPr>
                <w:p w14:paraId="6D16033E" w14:textId="1F53F77F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1170" w:type="dxa"/>
                  <w:vAlign w:val="center"/>
                </w:tcPr>
                <w:p w14:paraId="0DC9A589" w14:textId="7A63C5DE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6.8%</w:t>
                  </w:r>
                </w:p>
              </w:tc>
            </w:tr>
            <w:tr w:rsidR="00B658BA" w:rsidRPr="00D9079F" w14:paraId="064AA80D" w14:textId="77777777" w:rsidTr="00EA1372">
              <w:tc>
                <w:tcPr>
                  <w:tcW w:w="1981" w:type="dxa"/>
                </w:tcPr>
                <w:p w14:paraId="5977E240" w14:textId="77777777" w:rsidR="00B658BA" w:rsidRPr="00E2549F" w:rsidRDefault="00B658BA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 xml:space="preserve">Debt / Equity </w:t>
                  </w:r>
                </w:p>
              </w:tc>
              <w:tc>
                <w:tcPr>
                  <w:tcW w:w="1440" w:type="dxa"/>
                </w:tcPr>
                <w:p w14:paraId="0C02A104" w14:textId="54797FE2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1350" w:type="dxa"/>
                </w:tcPr>
                <w:p w14:paraId="0EE123A4" w14:textId="6FB23CDD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51" w:type="dxa"/>
                </w:tcPr>
                <w:p w14:paraId="672F8CCF" w14:textId="6A94FBC4" w:rsidR="00B658BA" w:rsidRPr="00BA5DC4" w:rsidRDefault="00EA1372" w:rsidP="0013254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0.9</w:t>
                  </w:r>
                </w:p>
              </w:tc>
              <w:tc>
                <w:tcPr>
                  <w:tcW w:w="1170" w:type="dxa"/>
                </w:tcPr>
                <w:p w14:paraId="2DEE76F7" w14:textId="1E1DCA03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0.6</w:t>
                  </w:r>
                </w:p>
              </w:tc>
            </w:tr>
            <w:tr w:rsidR="00B658BA" w:rsidRPr="00D9079F" w14:paraId="36B329ED" w14:textId="77777777" w:rsidTr="00EA1372">
              <w:tc>
                <w:tcPr>
                  <w:tcW w:w="1981" w:type="dxa"/>
                </w:tcPr>
                <w:p w14:paraId="791DB0D1" w14:textId="77777777" w:rsidR="00B658BA" w:rsidRPr="00E2549F" w:rsidRDefault="00B658BA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>Market Cap</w:t>
                  </w:r>
                </w:p>
              </w:tc>
              <w:tc>
                <w:tcPr>
                  <w:tcW w:w="1440" w:type="dxa"/>
                </w:tcPr>
                <w:p w14:paraId="665FDF73" w14:textId="70A413E6" w:rsidR="00B658BA" w:rsidRPr="00BA5DC4" w:rsidRDefault="00EA1372" w:rsidP="00AD34B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5.5B</w:t>
                  </w:r>
                </w:p>
              </w:tc>
              <w:tc>
                <w:tcPr>
                  <w:tcW w:w="1350" w:type="dxa"/>
                </w:tcPr>
                <w:p w14:paraId="03A2468C" w14:textId="12C98598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7.3B</w:t>
                  </w:r>
                </w:p>
              </w:tc>
              <w:tc>
                <w:tcPr>
                  <w:tcW w:w="1351" w:type="dxa"/>
                  <w:vAlign w:val="center"/>
                </w:tcPr>
                <w:p w14:paraId="031547AD" w14:textId="139BF7E5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11.5B</w:t>
                  </w:r>
                </w:p>
              </w:tc>
              <w:tc>
                <w:tcPr>
                  <w:tcW w:w="1170" w:type="dxa"/>
                  <w:vAlign w:val="center"/>
                </w:tcPr>
                <w:p w14:paraId="10279C73" w14:textId="0E383922" w:rsidR="00B658BA" w:rsidRPr="00BA5DC4" w:rsidRDefault="00EA1372" w:rsidP="004F2EA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4.8B</w:t>
                  </w:r>
                </w:p>
              </w:tc>
            </w:tr>
            <w:tr w:rsidR="00B658BA" w:rsidRPr="00D9079F" w14:paraId="2803AFFF" w14:textId="77777777" w:rsidTr="00EA1372">
              <w:tc>
                <w:tcPr>
                  <w:tcW w:w="1981" w:type="dxa"/>
                  <w:shd w:val="clear" w:color="auto" w:fill="auto"/>
                </w:tcPr>
                <w:p w14:paraId="125C35C1" w14:textId="52D6D69D" w:rsidR="00B658BA" w:rsidRPr="00E2549F" w:rsidRDefault="00B658BA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>Revenue TTM</w:t>
                  </w:r>
                  <w:r w:rsidR="00EA1372">
                    <w:rPr>
                      <w:rFonts w:asciiTheme="majorHAnsi" w:hAnsiTheme="majorHAnsi"/>
                      <w:sz w:val="16"/>
                      <w:szCs w:val="16"/>
                    </w:rPr>
                    <w:t>($mm)</w:t>
                  </w:r>
                </w:p>
              </w:tc>
              <w:tc>
                <w:tcPr>
                  <w:tcW w:w="1440" w:type="dxa"/>
                </w:tcPr>
                <w:p w14:paraId="79802FE2" w14:textId="39604F9D" w:rsidR="00B658BA" w:rsidRPr="00BA5DC4" w:rsidRDefault="00EA1372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5105</w:t>
                  </w:r>
                </w:p>
              </w:tc>
              <w:tc>
                <w:tcPr>
                  <w:tcW w:w="1350" w:type="dxa"/>
                </w:tcPr>
                <w:p w14:paraId="5566C1C3" w14:textId="2600FB04" w:rsidR="00B658BA" w:rsidRPr="00BA5DC4" w:rsidRDefault="00FA747A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5766</w:t>
                  </w:r>
                </w:p>
              </w:tc>
              <w:tc>
                <w:tcPr>
                  <w:tcW w:w="1351" w:type="dxa"/>
                </w:tcPr>
                <w:p w14:paraId="7686D99E" w14:textId="1FE93EE3" w:rsidR="00B658BA" w:rsidRPr="00BA5DC4" w:rsidRDefault="00BE3F8B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5731</w:t>
                  </w:r>
                </w:p>
              </w:tc>
              <w:tc>
                <w:tcPr>
                  <w:tcW w:w="1170" w:type="dxa"/>
                </w:tcPr>
                <w:p w14:paraId="3506978D" w14:textId="292D60F2" w:rsidR="00B658BA" w:rsidRPr="00BA5DC4" w:rsidRDefault="00FA747A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</w:t>
                  </w:r>
                </w:p>
              </w:tc>
            </w:tr>
            <w:tr w:rsidR="00B658BA" w:rsidRPr="00D9079F" w14:paraId="2874C7E1" w14:textId="77777777" w:rsidTr="00EA1372">
              <w:tc>
                <w:tcPr>
                  <w:tcW w:w="1981" w:type="dxa"/>
                  <w:shd w:val="clear" w:color="auto" w:fill="auto"/>
                </w:tcPr>
                <w:p w14:paraId="4E9FD878" w14:textId="412C12B7" w:rsidR="00B658BA" w:rsidRPr="00E2549F" w:rsidRDefault="00B658BA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2549F">
                    <w:rPr>
                      <w:rFonts w:asciiTheme="majorHAnsi" w:hAnsiTheme="majorHAnsi"/>
                      <w:sz w:val="16"/>
                      <w:szCs w:val="16"/>
                    </w:rPr>
                    <w:t>Net Income TTM</w:t>
                  </w:r>
                  <w:r w:rsidR="00EA1372">
                    <w:rPr>
                      <w:rFonts w:asciiTheme="majorHAnsi" w:hAnsiTheme="majorHAnsi"/>
                      <w:sz w:val="16"/>
                      <w:szCs w:val="16"/>
                    </w:rPr>
                    <w:t>($mm)</w:t>
                  </w:r>
                </w:p>
              </w:tc>
              <w:tc>
                <w:tcPr>
                  <w:tcW w:w="1440" w:type="dxa"/>
                </w:tcPr>
                <w:p w14:paraId="06321421" w14:textId="71F01413" w:rsidR="00B658BA" w:rsidRPr="00BA5DC4" w:rsidRDefault="00EA1372" w:rsidP="00AD34B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-559</w:t>
                  </w:r>
                </w:p>
              </w:tc>
              <w:tc>
                <w:tcPr>
                  <w:tcW w:w="1350" w:type="dxa"/>
                </w:tcPr>
                <w:p w14:paraId="22D865C7" w14:textId="73A49A67" w:rsidR="00B658BA" w:rsidRPr="00BA5DC4" w:rsidRDefault="00FA747A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383</w:t>
                  </w:r>
                </w:p>
              </w:tc>
              <w:tc>
                <w:tcPr>
                  <w:tcW w:w="1351" w:type="dxa"/>
                </w:tcPr>
                <w:p w14:paraId="654053BA" w14:textId="443D72EC" w:rsidR="00B658BA" w:rsidRPr="00BA5DC4" w:rsidRDefault="00FA747A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574</w:t>
                  </w:r>
                </w:p>
              </w:tc>
              <w:tc>
                <w:tcPr>
                  <w:tcW w:w="1170" w:type="dxa"/>
                </w:tcPr>
                <w:p w14:paraId="6E680AD7" w14:textId="3DBDC9FF" w:rsidR="00B658BA" w:rsidRPr="00BA5DC4" w:rsidRDefault="00FA747A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2245</w:t>
                  </w:r>
                </w:p>
              </w:tc>
            </w:tr>
            <w:tr w:rsidR="00B658BA" w:rsidRPr="00D9079F" w14:paraId="615DDE40" w14:textId="77777777" w:rsidTr="00EA1372">
              <w:tc>
                <w:tcPr>
                  <w:tcW w:w="1981" w:type="dxa"/>
                  <w:shd w:val="clear" w:color="auto" w:fill="auto"/>
                </w:tcPr>
                <w:p w14:paraId="19171590" w14:textId="692435BC" w:rsidR="00B658BA" w:rsidRPr="00CD38CC" w:rsidRDefault="00B658BA" w:rsidP="001C5C89">
                  <w:pPr>
                    <w:rPr>
                      <w:rFonts w:asciiTheme="majorHAnsi" w:hAnsiTheme="majorHAnsi"/>
                      <w:color w:val="FF0000"/>
                      <w:sz w:val="16"/>
                      <w:szCs w:val="16"/>
                    </w:rPr>
                  </w:pPr>
                  <w:r w:rsidRPr="00887281">
                    <w:rPr>
                      <w:rFonts w:asciiTheme="majorHAnsi" w:hAnsiTheme="majorHAnsi"/>
                      <w:sz w:val="16"/>
                      <w:szCs w:val="16"/>
                    </w:rPr>
                    <w:t>FCF TTM</w:t>
                  </w:r>
                </w:p>
              </w:tc>
              <w:tc>
                <w:tcPr>
                  <w:tcW w:w="1440" w:type="dxa"/>
                </w:tcPr>
                <w:p w14:paraId="25A2F168" w14:textId="0459C39D" w:rsidR="00B658BA" w:rsidRPr="00BA5DC4" w:rsidRDefault="00EA1372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-133</w:t>
                  </w:r>
                </w:p>
              </w:tc>
              <w:tc>
                <w:tcPr>
                  <w:tcW w:w="1350" w:type="dxa"/>
                </w:tcPr>
                <w:p w14:paraId="7713F02E" w14:textId="280C7CCD" w:rsidR="00B658BA" w:rsidRPr="00BA5DC4" w:rsidRDefault="00FA747A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-66.2</w:t>
                  </w:r>
                </w:p>
              </w:tc>
              <w:tc>
                <w:tcPr>
                  <w:tcW w:w="1351" w:type="dxa"/>
                </w:tcPr>
                <w:p w14:paraId="52F206E7" w14:textId="5DC2237B" w:rsidR="00B658BA" w:rsidRPr="00BA5DC4" w:rsidRDefault="00FA747A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652</w:t>
                  </w:r>
                </w:p>
              </w:tc>
              <w:tc>
                <w:tcPr>
                  <w:tcW w:w="1170" w:type="dxa"/>
                </w:tcPr>
                <w:p w14:paraId="4E7E610C" w14:textId="3C51392E" w:rsidR="00B658BA" w:rsidRPr="00BA5DC4" w:rsidRDefault="00FA747A" w:rsidP="001C5C8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67108435" w14:textId="5748BCCE" w:rsidR="00766C69" w:rsidRPr="00934A2F" w:rsidRDefault="00F974E7" w:rsidP="00934A2F">
            <w:pPr>
              <w:pStyle w:val="ListParagraph"/>
              <w:ind w:left="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4256" w:type="dxa"/>
          </w:tcPr>
          <w:tbl>
            <w:tblPr>
              <w:tblStyle w:val="TableGrid"/>
              <w:tblW w:w="4094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720"/>
              <w:gridCol w:w="1350"/>
              <w:gridCol w:w="964"/>
            </w:tblGrid>
            <w:tr w:rsidR="00766C69" w:rsidRPr="00D9079F" w14:paraId="39927E41" w14:textId="77777777" w:rsidTr="00852BB9">
              <w:trPr>
                <w:trHeight w:val="152"/>
              </w:trPr>
              <w:tc>
                <w:tcPr>
                  <w:tcW w:w="1060" w:type="dxa"/>
                  <w:shd w:val="clear" w:color="auto" w:fill="DBE5F1" w:themeFill="accent1" w:themeFillTint="33"/>
                </w:tcPr>
                <w:p w14:paraId="405B542F" w14:textId="06E80B37" w:rsidR="00766C69" w:rsidRPr="00BA5DC4" w:rsidRDefault="00766C69" w:rsidP="00766C69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DBE5F1" w:themeFill="accent1" w:themeFillTint="33"/>
                </w:tcPr>
                <w:p w14:paraId="0AB96B2A" w14:textId="518EF618" w:rsidR="00766C69" w:rsidRPr="00BA5DC4" w:rsidRDefault="00487033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HAS</w:t>
                  </w:r>
                </w:p>
              </w:tc>
              <w:tc>
                <w:tcPr>
                  <w:tcW w:w="1350" w:type="dxa"/>
                  <w:shd w:val="clear" w:color="auto" w:fill="DBE5F1" w:themeFill="accent1" w:themeFillTint="33"/>
                </w:tcPr>
                <w:p w14:paraId="0650E6CE" w14:textId="36A7572A" w:rsidR="00766C69" w:rsidRPr="00BA5DC4" w:rsidRDefault="00013A7B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51772">
                    <w:rPr>
                      <w:rFonts w:asciiTheme="majorHAnsi" w:hAnsiTheme="majorHAnsi"/>
                      <w:sz w:val="16"/>
                      <w:szCs w:val="16"/>
                    </w:rPr>
                    <w:t>Consumer Discretionary</w:t>
                  </w:r>
                </w:p>
              </w:tc>
              <w:tc>
                <w:tcPr>
                  <w:tcW w:w="964" w:type="dxa"/>
                  <w:shd w:val="clear" w:color="auto" w:fill="DBE5F1" w:themeFill="accent1" w:themeFillTint="33"/>
                </w:tcPr>
                <w:p w14:paraId="68B31751" w14:textId="77777777" w:rsidR="00766C69" w:rsidRPr="00BA5DC4" w:rsidRDefault="00766C69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S&amp;P 500</w:t>
                  </w:r>
                </w:p>
              </w:tc>
            </w:tr>
            <w:tr w:rsidR="006D1C6F" w:rsidRPr="00D9079F" w14:paraId="47681D86" w14:textId="77777777" w:rsidTr="00852BB9">
              <w:tc>
                <w:tcPr>
                  <w:tcW w:w="1060" w:type="dxa"/>
                </w:tcPr>
                <w:p w14:paraId="440258CF" w14:textId="77777777" w:rsidR="006D1C6F" w:rsidRPr="00BA5DC4" w:rsidRDefault="006D1C6F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YTD</w:t>
                  </w:r>
                </w:p>
              </w:tc>
              <w:tc>
                <w:tcPr>
                  <w:tcW w:w="720" w:type="dxa"/>
                </w:tcPr>
                <w:p w14:paraId="2915C4D5" w14:textId="782F6AA0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2.7%</w:t>
                  </w:r>
                </w:p>
              </w:tc>
              <w:tc>
                <w:tcPr>
                  <w:tcW w:w="1350" w:type="dxa"/>
                </w:tcPr>
                <w:p w14:paraId="432CEBBB" w14:textId="231653CE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64" w:type="dxa"/>
                </w:tcPr>
                <w:p w14:paraId="2D5C424C" w14:textId="656EB0D4" w:rsidR="006D1C6F" w:rsidRPr="00B658BA" w:rsidRDefault="00851772" w:rsidP="006D1C6F">
                  <w:pPr>
                    <w:rPr>
                      <w:rFonts w:asciiTheme="majorHAnsi" w:eastAsia="SimSun" w:hAnsiTheme="majorHAnsi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5.96</w:t>
                  </w:r>
                </w:p>
              </w:tc>
            </w:tr>
            <w:tr w:rsidR="006D1C6F" w:rsidRPr="00D9079F" w14:paraId="0CAB3804" w14:textId="77777777" w:rsidTr="00852BB9">
              <w:tc>
                <w:tcPr>
                  <w:tcW w:w="1060" w:type="dxa"/>
                </w:tcPr>
                <w:p w14:paraId="00417533" w14:textId="7C6DF43E" w:rsidR="006D1C6F" w:rsidRPr="00BA5DC4" w:rsidRDefault="006D1C6F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20" w:type="dxa"/>
                </w:tcPr>
                <w:p w14:paraId="6A39DEFF" w14:textId="32B4B1D5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14.4%</w:t>
                  </w:r>
                </w:p>
              </w:tc>
              <w:tc>
                <w:tcPr>
                  <w:tcW w:w="1350" w:type="dxa"/>
                </w:tcPr>
                <w:p w14:paraId="492CC2B1" w14:textId="317814CD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27.2%</w:t>
                  </w:r>
                </w:p>
              </w:tc>
              <w:tc>
                <w:tcPr>
                  <w:tcW w:w="964" w:type="dxa"/>
                </w:tcPr>
                <w:p w14:paraId="5535D14C" w14:textId="286F0CFC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24.7</w:t>
                  </w:r>
                  <w:r w:rsidR="006D1C6F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6D1C6F" w:rsidRPr="00D9079F" w14:paraId="0876038A" w14:textId="77777777" w:rsidTr="00852BB9">
              <w:tc>
                <w:tcPr>
                  <w:tcW w:w="1060" w:type="dxa"/>
                </w:tcPr>
                <w:p w14:paraId="1F90980B" w14:textId="77777777" w:rsidR="006D1C6F" w:rsidRPr="00BA5DC4" w:rsidRDefault="006D1C6F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Last 3 Years </w:t>
                  </w:r>
                </w:p>
              </w:tc>
              <w:tc>
                <w:tcPr>
                  <w:tcW w:w="720" w:type="dxa"/>
                </w:tcPr>
                <w:p w14:paraId="0925A661" w14:textId="79F25191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71.8%</w:t>
                  </w:r>
                </w:p>
              </w:tc>
              <w:tc>
                <w:tcPr>
                  <w:tcW w:w="1350" w:type="dxa"/>
                </w:tcPr>
                <w:p w14:paraId="046C9C8D" w14:textId="4FDDE981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34%</w:t>
                  </w:r>
                </w:p>
              </w:tc>
              <w:tc>
                <w:tcPr>
                  <w:tcW w:w="964" w:type="dxa"/>
                </w:tcPr>
                <w:p w14:paraId="55BE815F" w14:textId="4B165C6B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38</w:t>
                  </w:r>
                  <w:r w:rsidR="006D1C6F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6D1C6F" w:rsidRPr="00D9079F" w14:paraId="28B8CB1E" w14:textId="77777777" w:rsidTr="00852BB9">
              <w:tc>
                <w:tcPr>
                  <w:tcW w:w="1060" w:type="dxa"/>
                </w:tcPr>
                <w:p w14:paraId="3272796F" w14:textId="77777777" w:rsidR="006D1C6F" w:rsidRPr="00BA5DC4" w:rsidRDefault="006D1C6F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 xml:space="preserve">Last 5 Years </w:t>
                  </w:r>
                </w:p>
              </w:tc>
              <w:tc>
                <w:tcPr>
                  <w:tcW w:w="720" w:type="dxa"/>
                </w:tcPr>
                <w:p w14:paraId="6CA968EB" w14:textId="7D0D17E0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136%</w:t>
                  </w:r>
                </w:p>
              </w:tc>
              <w:tc>
                <w:tcPr>
                  <w:tcW w:w="1350" w:type="dxa"/>
                </w:tcPr>
                <w:p w14:paraId="3A2AF828" w14:textId="66C2C9DF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113.7%</w:t>
                  </w:r>
                </w:p>
              </w:tc>
              <w:tc>
                <w:tcPr>
                  <w:tcW w:w="964" w:type="dxa"/>
                </w:tcPr>
                <w:p w14:paraId="1D7EE8E1" w14:textId="42D07F6B" w:rsidR="006D1C6F" w:rsidRPr="00BA5DC4" w:rsidRDefault="00851772" w:rsidP="006D1C6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89.8</w:t>
                  </w:r>
                  <w:r w:rsidR="006D1C6F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</w:tbl>
          <w:p w14:paraId="221910A7" w14:textId="368D2A1A" w:rsidR="00766C69" w:rsidRPr="00D9079F" w:rsidRDefault="00766C69" w:rsidP="00DA356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sz w:val="16"/>
                <w:szCs w:val="16"/>
              </w:rPr>
              <w:t>CSR Characteristics</w:t>
            </w:r>
          </w:p>
          <w:tbl>
            <w:tblPr>
              <w:tblStyle w:val="TableGrid"/>
              <w:tblW w:w="4027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630"/>
              <w:gridCol w:w="810"/>
            </w:tblGrid>
            <w:tr w:rsidR="00766C69" w:rsidRPr="00D9079F" w14:paraId="45EE1C47" w14:textId="77777777" w:rsidTr="003B46E6">
              <w:tc>
                <w:tcPr>
                  <w:tcW w:w="2587" w:type="dxa"/>
                  <w:shd w:val="clear" w:color="auto" w:fill="DBE5F1" w:themeFill="accent1" w:themeFillTint="33"/>
                </w:tcPr>
                <w:p w14:paraId="48F472B3" w14:textId="77777777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shd w:val="clear" w:color="auto" w:fill="DBE5F1" w:themeFill="accent1" w:themeFillTint="33"/>
                </w:tcPr>
                <w:p w14:paraId="64E10A6D" w14:textId="1B4E7FB5" w:rsidR="00766C69" w:rsidRPr="002F5F7B" w:rsidRDefault="00851772" w:rsidP="009F0D12">
                  <w:pPr>
                    <w:rPr>
                      <w:rFonts w:asciiTheme="majorHAnsi" w:eastAsia="Malgun Gothic" w:hAnsiTheme="majorHAnsi"/>
                      <w:sz w:val="16"/>
                      <w:szCs w:val="16"/>
                      <w:lang w:eastAsia="ko-KR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HAS</w:t>
                  </w:r>
                </w:p>
              </w:tc>
              <w:tc>
                <w:tcPr>
                  <w:tcW w:w="810" w:type="dxa"/>
                  <w:shd w:val="clear" w:color="auto" w:fill="DBE5F1" w:themeFill="accent1" w:themeFillTint="33"/>
                </w:tcPr>
                <w:p w14:paraId="2859E9CA" w14:textId="46E55C19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Industry  </w:t>
                  </w:r>
                </w:p>
              </w:tc>
            </w:tr>
            <w:tr w:rsidR="00766C69" w:rsidRPr="00D9079F" w14:paraId="2137A167" w14:textId="77777777" w:rsidTr="003B46E6">
              <w:tc>
                <w:tcPr>
                  <w:tcW w:w="2587" w:type="dxa"/>
                  <w:shd w:val="clear" w:color="auto" w:fill="auto"/>
                </w:tcPr>
                <w:p w14:paraId="651DB827" w14:textId="18F286D9" w:rsidR="00766C69" w:rsidRPr="00D9079F" w:rsidRDefault="00766C69" w:rsidP="00803484">
                  <w:pPr>
                    <w:tabs>
                      <w:tab w:val="right" w:pos="1741"/>
                    </w:tabs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Governance Disclosure Score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402EAEDF" w14:textId="7D6252F4" w:rsidR="00A47A61" w:rsidRPr="00BA5DC4" w:rsidRDefault="00D902ED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B2598">
                    <w:rPr>
                      <w:rFonts w:asciiTheme="majorHAnsi" w:hAnsiTheme="majorHAnsi"/>
                      <w:sz w:val="16"/>
                      <w:szCs w:val="16"/>
                    </w:rPr>
                    <w:t>71.43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59F780C5" w14:textId="2D4D93DC" w:rsidR="00766C69" w:rsidRPr="00BA5DC4" w:rsidRDefault="00EB2598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B2598">
                    <w:rPr>
                      <w:rFonts w:asciiTheme="majorHAnsi" w:hAnsiTheme="majorHAnsi"/>
                      <w:sz w:val="16"/>
                      <w:szCs w:val="16"/>
                    </w:rPr>
                    <w:t>47.32</w:t>
                  </w:r>
                </w:p>
              </w:tc>
            </w:tr>
            <w:tr w:rsidR="00766C69" w:rsidRPr="00D9079F" w14:paraId="7789B7FE" w14:textId="77777777" w:rsidTr="003B46E6">
              <w:tc>
                <w:tcPr>
                  <w:tcW w:w="2587" w:type="dxa"/>
                  <w:shd w:val="clear" w:color="auto" w:fill="auto"/>
                </w:tcPr>
                <w:p w14:paraId="6E37B1E0" w14:textId="110DD1E4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ESG Disclosure: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9AFC6D3" w14:textId="5E316506" w:rsidR="00766C69" w:rsidRPr="00BA5DC4" w:rsidRDefault="00EB2598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B2598">
                    <w:rPr>
                      <w:rFonts w:asciiTheme="majorHAnsi" w:hAnsiTheme="majorHAnsi"/>
                      <w:sz w:val="16"/>
                      <w:szCs w:val="16"/>
                    </w:rPr>
                    <w:t>54.55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76B6E96" w14:textId="56D494EF" w:rsidR="00766C69" w:rsidRPr="00BA5DC4" w:rsidRDefault="00EB2598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B2598">
                    <w:rPr>
                      <w:rFonts w:asciiTheme="majorHAnsi" w:hAnsiTheme="majorHAnsi"/>
                      <w:sz w:val="16"/>
                      <w:szCs w:val="16"/>
                    </w:rPr>
                    <w:t>22.31</w:t>
                  </w:r>
                </w:p>
              </w:tc>
            </w:tr>
            <w:tr w:rsidR="00766C69" w:rsidRPr="00D9079F" w14:paraId="7043D553" w14:textId="77777777" w:rsidTr="003B46E6">
              <w:tc>
                <w:tcPr>
                  <w:tcW w:w="2587" w:type="dxa"/>
                  <w:shd w:val="clear" w:color="auto" w:fill="auto"/>
                </w:tcPr>
                <w:p w14:paraId="796481F5" w14:textId="7E540616" w:rsidR="00766C69" w:rsidRPr="00D9079F" w:rsidRDefault="00766C69" w:rsidP="00803484">
                  <w:pPr>
                    <w:tabs>
                      <w:tab w:val="right" w:pos="1741"/>
                    </w:tabs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Social Disclosure Score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1FDA896B" w14:textId="0D9DC046" w:rsidR="00766C69" w:rsidRPr="00BA5DC4" w:rsidRDefault="00EB2598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B2598">
                    <w:rPr>
                      <w:rFonts w:asciiTheme="majorHAnsi" w:hAnsiTheme="majorHAnsi"/>
                      <w:sz w:val="16"/>
                      <w:szCs w:val="16"/>
                    </w:rPr>
                    <w:t>43.86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DD699A0" w14:textId="15DF8418" w:rsidR="00766C69" w:rsidRPr="00BA5DC4" w:rsidRDefault="00EB2598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B2598">
                    <w:rPr>
                      <w:rFonts w:asciiTheme="majorHAnsi" w:hAnsiTheme="majorHAnsi"/>
                      <w:sz w:val="16"/>
                      <w:szCs w:val="16"/>
                    </w:rPr>
                    <w:t>22.81</w:t>
                  </w:r>
                </w:p>
              </w:tc>
            </w:tr>
            <w:tr w:rsidR="00766C69" w:rsidRPr="00D9079F" w14:paraId="2AED786D" w14:textId="77777777" w:rsidTr="003B46E6">
              <w:tc>
                <w:tcPr>
                  <w:tcW w:w="2587" w:type="dxa"/>
                </w:tcPr>
                <w:p w14:paraId="1512DF1C" w14:textId="7331C975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Environmental Disclosure Score</w:t>
                  </w:r>
                </w:p>
              </w:tc>
              <w:tc>
                <w:tcPr>
                  <w:tcW w:w="630" w:type="dxa"/>
                </w:tcPr>
                <w:p w14:paraId="1005E3B5" w14:textId="59FCEC19" w:rsidR="00766C69" w:rsidRPr="00BA5DC4" w:rsidRDefault="00EB2598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B2598">
                    <w:rPr>
                      <w:rFonts w:asciiTheme="majorHAnsi" w:hAnsiTheme="majorHAnsi"/>
                      <w:sz w:val="16"/>
                      <w:szCs w:val="16"/>
                    </w:rPr>
                    <w:t>51.94</w:t>
                  </w:r>
                </w:p>
              </w:tc>
              <w:tc>
                <w:tcPr>
                  <w:tcW w:w="810" w:type="dxa"/>
                </w:tcPr>
                <w:p w14:paraId="4CFD4283" w14:textId="2DFF6271" w:rsidR="00766C69" w:rsidRPr="00BA5DC4" w:rsidRDefault="00EB2598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B2598">
                    <w:rPr>
                      <w:rFonts w:asciiTheme="majorHAnsi" w:hAnsiTheme="majorHAnsi"/>
                      <w:sz w:val="16"/>
                      <w:szCs w:val="16"/>
                    </w:rPr>
                    <w:t>14.73</w:t>
                  </w:r>
                </w:p>
              </w:tc>
            </w:tr>
          </w:tbl>
          <w:p w14:paraId="62EFF545" w14:textId="2685A67E" w:rsidR="00766C69" w:rsidRPr="003B46E6" w:rsidRDefault="009F40A5" w:rsidP="002B1DA1">
            <w:pPr>
              <w:ind w:hanging="18"/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Data: </w:t>
            </w:r>
            <w:r w:rsidR="00C33EC2">
              <w:rPr>
                <w:rFonts w:asciiTheme="majorHAnsi" w:hAnsiTheme="majorHAnsi"/>
                <w:sz w:val="16"/>
                <w:szCs w:val="16"/>
              </w:rPr>
              <w:t>Bloomberg</w:t>
            </w:r>
          </w:p>
        </w:tc>
      </w:tr>
    </w:tbl>
    <w:p w14:paraId="5C1E381E" w14:textId="6DBC318F" w:rsidR="00830F06" w:rsidRPr="00960020" w:rsidRDefault="00830F06" w:rsidP="00DB7E3D">
      <w:pPr>
        <w:rPr>
          <w:rFonts w:asciiTheme="majorHAnsi" w:hAnsiTheme="majorHAnsi"/>
          <w:sz w:val="14"/>
          <w:szCs w:val="16"/>
        </w:rPr>
      </w:pPr>
    </w:p>
    <w:sectPr w:rsidR="00830F06" w:rsidRPr="00960020" w:rsidSect="00920D13"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Bold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0D3B"/>
    <w:multiLevelType w:val="multilevel"/>
    <w:tmpl w:val="95A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60C80"/>
    <w:multiLevelType w:val="hybridMultilevel"/>
    <w:tmpl w:val="85126C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127F"/>
    <w:multiLevelType w:val="hybridMultilevel"/>
    <w:tmpl w:val="7320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4303"/>
    <w:multiLevelType w:val="hybridMultilevel"/>
    <w:tmpl w:val="4BB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3FE0"/>
    <w:multiLevelType w:val="hybridMultilevel"/>
    <w:tmpl w:val="5F6C1E10"/>
    <w:lvl w:ilvl="0" w:tplc="D2AE1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86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2E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E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6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EE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8B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4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EC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CD5D23"/>
    <w:multiLevelType w:val="hybridMultilevel"/>
    <w:tmpl w:val="C4EC0CF0"/>
    <w:lvl w:ilvl="0" w:tplc="D45EA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8A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E4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0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3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8D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0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E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007448"/>
    <w:multiLevelType w:val="multilevel"/>
    <w:tmpl w:val="81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0554A"/>
    <w:multiLevelType w:val="multilevel"/>
    <w:tmpl w:val="95A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647A60"/>
    <w:multiLevelType w:val="hybridMultilevel"/>
    <w:tmpl w:val="EBF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D4605"/>
    <w:multiLevelType w:val="hybridMultilevel"/>
    <w:tmpl w:val="12D00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D5905"/>
    <w:multiLevelType w:val="hybridMultilevel"/>
    <w:tmpl w:val="D3223E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E1D61"/>
    <w:multiLevelType w:val="hybridMultilevel"/>
    <w:tmpl w:val="7D6A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B8"/>
    <w:rsid w:val="00003785"/>
    <w:rsid w:val="00007761"/>
    <w:rsid w:val="00013A7B"/>
    <w:rsid w:val="000145A7"/>
    <w:rsid w:val="00022508"/>
    <w:rsid w:val="00026F5E"/>
    <w:rsid w:val="00034A52"/>
    <w:rsid w:val="00037D92"/>
    <w:rsid w:val="00053989"/>
    <w:rsid w:val="00056CE9"/>
    <w:rsid w:val="00057DE4"/>
    <w:rsid w:val="00066CC4"/>
    <w:rsid w:val="00066DA4"/>
    <w:rsid w:val="000716CD"/>
    <w:rsid w:val="00071F4F"/>
    <w:rsid w:val="00075777"/>
    <w:rsid w:val="00096901"/>
    <w:rsid w:val="00096AF5"/>
    <w:rsid w:val="0009757B"/>
    <w:rsid w:val="000B7D53"/>
    <w:rsid w:val="000C1392"/>
    <w:rsid w:val="000D0A42"/>
    <w:rsid w:val="000D59C5"/>
    <w:rsid w:val="000E0407"/>
    <w:rsid w:val="000E0C3A"/>
    <w:rsid w:val="000E4636"/>
    <w:rsid w:val="000F7555"/>
    <w:rsid w:val="00107539"/>
    <w:rsid w:val="0011203C"/>
    <w:rsid w:val="00126058"/>
    <w:rsid w:val="00132543"/>
    <w:rsid w:val="0013332F"/>
    <w:rsid w:val="001366A3"/>
    <w:rsid w:val="0014778C"/>
    <w:rsid w:val="00161001"/>
    <w:rsid w:val="00171317"/>
    <w:rsid w:val="00185F91"/>
    <w:rsid w:val="00186B60"/>
    <w:rsid w:val="0019096B"/>
    <w:rsid w:val="00192B6F"/>
    <w:rsid w:val="00192B79"/>
    <w:rsid w:val="00195CE9"/>
    <w:rsid w:val="00197A37"/>
    <w:rsid w:val="001A0951"/>
    <w:rsid w:val="001A1781"/>
    <w:rsid w:val="001A4CD7"/>
    <w:rsid w:val="001A54DB"/>
    <w:rsid w:val="001B63F4"/>
    <w:rsid w:val="001C1BC2"/>
    <w:rsid w:val="001C5982"/>
    <w:rsid w:val="001C5C89"/>
    <w:rsid w:val="001F411C"/>
    <w:rsid w:val="001F4C8C"/>
    <w:rsid w:val="001F4E83"/>
    <w:rsid w:val="002061FB"/>
    <w:rsid w:val="00206EB6"/>
    <w:rsid w:val="002231A8"/>
    <w:rsid w:val="00231ED5"/>
    <w:rsid w:val="00245DD4"/>
    <w:rsid w:val="002467B7"/>
    <w:rsid w:val="002535D2"/>
    <w:rsid w:val="00254164"/>
    <w:rsid w:val="00254456"/>
    <w:rsid w:val="00274740"/>
    <w:rsid w:val="00280465"/>
    <w:rsid w:val="00287B28"/>
    <w:rsid w:val="00290830"/>
    <w:rsid w:val="00291662"/>
    <w:rsid w:val="002918E2"/>
    <w:rsid w:val="0029559F"/>
    <w:rsid w:val="002B04FE"/>
    <w:rsid w:val="002B1DA1"/>
    <w:rsid w:val="002B34C6"/>
    <w:rsid w:val="002B4E5C"/>
    <w:rsid w:val="002C6C95"/>
    <w:rsid w:val="002C75DD"/>
    <w:rsid w:val="002D307D"/>
    <w:rsid w:val="002D3CFC"/>
    <w:rsid w:val="002D7A1F"/>
    <w:rsid w:val="002F2342"/>
    <w:rsid w:val="002F3570"/>
    <w:rsid w:val="002F5F7B"/>
    <w:rsid w:val="002F7B9D"/>
    <w:rsid w:val="003005C3"/>
    <w:rsid w:val="003073EA"/>
    <w:rsid w:val="0031059A"/>
    <w:rsid w:val="003173DA"/>
    <w:rsid w:val="0033512A"/>
    <w:rsid w:val="00335AA7"/>
    <w:rsid w:val="00335CFC"/>
    <w:rsid w:val="00353A36"/>
    <w:rsid w:val="00371C05"/>
    <w:rsid w:val="00375DB5"/>
    <w:rsid w:val="00384388"/>
    <w:rsid w:val="00392411"/>
    <w:rsid w:val="00392719"/>
    <w:rsid w:val="003B3070"/>
    <w:rsid w:val="003B46E6"/>
    <w:rsid w:val="003D049E"/>
    <w:rsid w:val="003D34A3"/>
    <w:rsid w:val="003D721D"/>
    <w:rsid w:val="003E5DB4"/>
    <w:rsid w:val="003E7A90"/>
    <w:rsid w:val="003E7CA1"/>
    <w:rsid w:val="003F0760"/>
    <w:rsid w:val="00401063"/>
    <w:rsid w:val="00412895"/>
    <w:rsid w:val="0042162B"/>
    <w:rsid w:val="00425DFC"/>
    <w:rsid w:val="0043484A"/>
    <w:rsid w:val="004436C7"/>
    <w:rsid w:val="00443ED9"/>
    <w:rsid w:val="00445594"/>
    <w:rsid w:val="00455F5A"/>
    <w:rsid w:val="00462682"/>
    <w:rsid w:val="00487033"/>
    <w:rsid w:val="00496391"/>
    <w:rsid w:val="004A62E8"/>
    <w:rsid w:val="004C0465"/>
    <w:rsid w:val="004D1418"/>
    <w:rsid w:val="004D1BFA"/>
    <w:rsid w:val="004D3729"/>
    <w:rsid w:val="004E6DB4"/>
    <w:rsid w:val="004E710D"/>
    <w:rsid w:val="004F0571"/>
    <w:rsid w:val="004F2468"/>
    <w:rsid w:val="004F2EAA"/>
    <w:rsid w:val="0050052A"/>
    <w:rsid w:val="0051170E"/>
    <w:rsid w:val="00547B13"/>
    <w:rsid w:val="0056019E"/>
    <w:rsid w:val="00560DAF"/>
    <w:rsid w:val="0057087E"/>
    <w:rsid w:val="00575123"/>
    <w:rsid w:val="00583D9F"/>
    <w:rsid w:val="00584A64"/>
    <w:rsid w:val="00585C89"/>
    <w:rsid w:val="005B6B5B"/>
    <w:rsid w:val="005D0B21"/>
    <w:rsid w:val="005D28BD"/>
    <w:rsid w:val="005E114B"/>
    <w:rsid w:val="0060598F"/>
    <w:rsid w:val="0060647E"/>
    <w:rsid w:val="006109DF"/>
    <w:rsid w:val="00643200"/>
    <w:rsid w:val="00664D64"/>
    <w:rsid w:val="006704F5"/>
    <w:rsid w:val="00672AB0"/>
    <w:rsid w:val="00674795"/>
    <w:rsid w:val="006760ED"/>
    <w:rsid w:val="00684D35"/>
    <w:rsid w:val="00690115"/>
    <w:rsid w:val="006953F0"/>
    <w:rsid w:val="006A37B5"/>
    <w:rsid w:val="006A61A4"/>
    <w:rsid w:val="006C1408"/>
    <w:rsid w:val="006D1C6F"/>
    <w:rsid w:val="006E2939"/>
    <w:rsid w:val="006E44B8"/>
    <w:rsid w:val="006E5EA1"/>
    <w:rsid w:val="00702EFF"/>
    <w:rsid w:val="00706035"/>
    <w:rsid w:val="00710028"/>
    <w:rsid w:val="00717DFB"/>
    <w:rsid w:val="007236B2"/>
    <w:rsid w:val="00732285"/>
    <w:rsid w:val="00743904"/>
    <w:rsid w:val="00743A2F"/>
    <w:rsid w:val="0076327C"/>
    <w:rsid w:val="00765618"/>
    <w:rsid w:val="00766C69"/>
    <w:rsid w:val="00767EA9"/>
    <w:rsid w:val="00770F8B"/>
    <w:rsid w:val="00793865"/>
    <w:rsid w:val="00796063"/>
    <w:rsid w:val="007A174B"/>
    <w:rsid w:val="007B1B21"/>
    <w:rsid w:val="007B1B8F"/>
    <w:rsid w:val="007B1DF2"/>
    <w:rsid w:val="007B2A6D"/>
    <w:rsid w:val="007B6409"/>
    <w:rsid w:val="007C11B4"/>
    <w:rsid w:val="007C31F9"/>
    <w:rsid w:val="007E1D8C"/>
    <w:rsid w:val="007E682D"/>
    <w:rsid w:val="007F4659"/>
    <w:rsid w:val="00803138"/>
    <w:rsid w:val="00803484"/>
    <w:rsid w:val="00804E00"/>
    <w:rsid w:val="00815FF3"/>
    <w:rsid w:val="00830F06"/>
    <w:rsid w:val="008318A9"/>
    <w:rsid w:val="00832142"/>
    <w:rsid w:val="00835134"/>
    <w:rsid w:val="00846714"/>
    <w:rsid w:val="00851772"/>
    <w:rsid w:val="00852BB9"/>
    <w:rsid w:val="00857BC1"/>
    <w:rsid w:val="008615D5"/>
    <w:rsid w:val="00874223"/>
    <w:rsid w:val="00875430"/>
    <w:rsid w:val="0088131B"/>
    <w:rsid w:val="00881885"/>
    <w:rsid w:val="00885EEF"/>
    <w:rsid w:val="00887281"/>
    <w:rsid w:val="00890173"/>
    <w:rsid w:val="0089139F"/>
    <w:rsid w:val="00894D86"/>
    <w:rsid w:val="008A2B63"/>
    <w:rsid w:val="008B72AE"/>
    <w:rsid w:val="008C05DB"/>
    <w:rsid w:val="008C1D4F"/>
    <w:rsid w:val="008C45A2"/>
    <w:rsid w:val="008D04A0"/>
    <w:rsid w:val="008D09EA"/>
    <w:rsid w:val="008D49EF"/>
    <w:rsid w:val="008D61D2"/>
    <w:rsid w:val="008E7103"/>
    <w:rsid w:val="008E7A82"/>
    <w:rsid w:val="00900789"/>
    <w:rsid w:val="009007A6"/>
    <w:rsid w:val="00911AF8"/>
    <w:rsid w:val="00915605"/>
    <w:rsid w:val="00920D13"/>
    <w:rsid w:val="00923CAB"/>
    <w:rsid w:val="00932CE0"/>
    <w:rsid w:val="00934A2F"/>
    <w:rsid w:val="00936574"/>
    <w:rsid w:val="009405D6"/>
    <w:rsid w:val="00951D7A"/>
    <w:rsid w:val="009543B3"/>
    <w:rsid w:val="00960020"/>
    <w:rsid w:val="009614FD"/>
    <w:rsid w:val="00970D52"/>
    <w:rsid w:val="00981EDF"/>
    <w:rsid w:val="009944FC"/>
    <w:rsid w:val="009966C0"/>
    <w:rsid w:val="009B1413"/>
    <w:rsid w:val="009B48B9"/>
    <w:rsid w:val="009C2716"/>
    <w:rsid w:val="009C2D53"/>
    <w:rsid w:val="009C57C6"/>
    <w:rsid w:val="009D45EB"/>
    <w:rsid w:val="009D5A45"/>
    <w:rsid w:val="009D7A72"/>
    <w:rsid w:val="009E3EC3"/>
    <w:rsid w:val="009E5AAF"/>
    <w:rsid w:val="009F0D12"/>
    <w:rsid w:val="009F2E51"/>
    <w:rsid w:val="009F33CD"/>
    <w:rsid w:val="009F40A5"/>
    <w:rsid w:val="009F6CD6"/>
    <w:rsid w:val="00A01206"/>
    <w:rsid w:val="00A17156"/>
    <w:rsid w:val="00A21885"/>
    <w:rsid w:val="00A26E56"/>
    <w:rsid w:val="00A30926"/>
    <w:rsid w:val="00A47A61"/>
    <w:rsid w:val="00A5275E"/>
    <w:rsid w:val="00A54335"/>
    <w:rsid w:val="00A5442D"/>
    <w:rsid w:val="00A56542"/>
    <w:rsid w:val="00A603A6"/>
    <w:rsid w:val="00A63E9D"/>
    <w:rsid w:val="00A7682E"/>
    <w:rsid w:val="00A8460D"/>
    <w:rsid w:val="00A85575"/>
    <w:rsid w:val="00AA0C48"/>
    <w:rsid w:val="00AA5ED5"/>
    <w:rsid w:val="00AA7E5B"/>
    <w:rsid w:val="00AB003F"/>
    <w:rsid w:val="00AB0C68"/>
    <w:rsid w:val="00AB1054"/>
    <w:rsid w:val="00AC6A2C"/>
    <w:rsid w:val="00AC7C30"/>
    <w:rsid w:val="00AD34BA"/>
    <w:rsid w:val="00AD7852"/>
    <w:rsid w:val="00AE0A9F"/>
    <w:rsid w:val="00AE53EE"/>
    <w:rsid w:val="00AF0C8D"/>
    <w:rsid w:val="00AF4A21"/>
    <w:rsid w:val="00B15A12"/>
    <w:rsid w:val="00B22327"/>
    <w:rsid w:val="00B4446E"/>
    <w:rsid w:val="00B502EC"/>
    <w:rsid w:val="00B54A74"/>
    <w:rsid w:val="00B658BA"/>
    <w:rsid w:val="00B67290"/>
    <w:rsid w:val="00B736EF"/>
    <w:rsid w:val="00B7642F"/>
    <w:rsid w:val="00B85A10"/>
    <w:rsid w:val="00B93703"/>
    <w:rsid w:val="00B94DBA"/>
    <w:rsid w:val="00BA5DC4"/>
    <w:rsid w:val="00BA6F89"/>
    <w:rsid w:val="00BB0C4E"/>
    <w:rsid w:val="00BB3908"/>
    <w:rsid w:val="00BB543E"/>
    <w:rsid w:val="00BB61F8"/>
    <w:rsid w:val="00BC5E50"/>
    <w:rsid w:val="00BD1995"/>
    <w:rsid w:val="00BD441D"/>
    <w:rsid w:val="00BE3F8B"/>
    <w:rsid w:val="00BF02C6"/>
    <w:rsid w:val="00BF2DE5"/>
    <w:rsid w:val="00C038F1"/>
    <w:rsid w:val="00C15E83"/>
    <w:rsid w:val="00C161B3"/>
    <w:rsid w:val="00C2195E"/>
    <w:rsid w:val="00C33EC2"/>
    <w:rsid w:val="00C352F3"/>
    <w:rsid w:val="00C37AB2"/>
    <w:rsid w:val="00C441B3"/>
    <w:rsid w:val="00C50CD1"/>
    <w:rsid w:val="00C615D8"/>
    <w:rsid w:val="00C8095F"/>
    <w:rsid w:val="00C8649B"/>
    <w:rsid w:val="00C9117C"/>
    <w:rsid w:val="00CA3542"/>
    <w:rsid w:val="00CC03B8"/>
    <w:rsid w:val="00CC5418"/>
    <w:rsid w:val="00CD38CC"/>
    <w:rsid w:val="00CE09D2"/>
    <w:rsid w:val="00CE4435"/>
    <w:rsid w:val="00CF27D4"/>
    <w:rsid w:val="00CF2F28"/>
    <w:rsid w:val="00CF4655"/>
    <w:rsid w:val="00CF7161"/>
    <w:rsid w:val="00D052C8"/>
    <w:rsid w:val="00D16B81"/>
    <w:rsid w:val="00D3322B"/>
    <w:rsid w:val="00D34C44"/>
    <w:rsid w:val="00D363A8"/>
    <w:rsid w:val="00D42F7D"/>
    <w:rsid w:val="00D438CB"/>
    <w:rsid w:val="00D50F9B"/>
    <w:rsid w:val="00D54D75"/>
    <w:rsid w:val="00D570FE"/>
    <w:rsid w:val="00D62AC8"/>
    <w:rsid w:val="00D636EF"/>
    <w:rsid w:val="00D77037"/>
    <w:rsid w:val="00D77826"/>
    <w:rsid w:val="00D902ED"/>
    <w:rsid w:val="00D9079F"/>
    <w:rsid w:val="00D92C96"/>
    <w:rsid w:val="00D92D08"/>
    <w:rsid w:val="00DA3564"/>
    <w:rsid w:val="00DA56AC"/>
    <w:rsid w:val="00DB074A"/>
    <w:rsid w:val="00DB5A10"/>
    <w:rsid w:val="00DB7E3D"/>
    <w:rsid w:val="00DC2690"/>
    <w:rsid w:val="00DF636E"/>
    <w:rsid w:val="00E079C5"/>
    <w:rsid w:val="00E14AC6"/>
    <w:rsid w:val="00E20C55"/>
    <w:rsid w:val="00E2549F"/>
    <w:rsid w:val="00E262A9"/>
    <w:rsid w:val="00E312E0"/>
    <w:rsid w:val="00E349B1"/>
    <w:rsid w:val="00E3542E"/>
    <w:rsid w:val="00E36D26"/>
    <w:rsid w:val="00E42CC2"/>
    <w:rsid w:val="00E51FAC"/>
    <w:rsid w:val="00E5675C"/>
    <w:rsid w:val="00E60A49"/>
    <w:rsid w:val="00E652BF"/>
    <w:rsid w:val="00E826A4"/>
    <w:rsid w:val="00E8555E"/>
    <w:rsid w:val="00E86F96"/>
    <w:rsid w:val="00E90970"/>
    <w:rsid w:val="00E96739"/>
    <w:rsid w:val="00E97631"/>
    <w:rsid w:val="00EA1372"/>
    <w:rsid w:val="00EA31B0"/>
    <w:rsid w:val="00EA4297"/>
    <w:rsid w:val="00EA42A4"/>
    <w:rsid w:val="00EA5213"/>
    <w:rsid w:val="00EB2598"/>
    <w:rsid w:val="00EB5D05"/>
    <w:rsid w:val="00EC2755"/>
    <w:rsid w:val="00EC75B4"/>
    <w:rsid w:val="00ED6EC7"/>
    <w:rsid w:val="00EF5CB9"/>
    <w:rsid w:val="00F008CC"/>
    <w:rsid w:val="00F04E1E"/>
    <w:rsid w:val="00F130CB"/>
    <w:rsid w:val="00F138F4"/>
    <w:rsid w:val="00F224A9"/>
    <w:rsid w:val="00F40CE5"/>
    <w:rsid w:val="00F4340F"/>
    <w:rsid w:val="00F50DB9"/>
    <w:rsid w:val="00F56067"/>
    <w:rsid w:val="00F65A7F"/>
    <w:rsid w:val="00F734B0"/>
    <w:rsid w:val="00F75073"/>
    <w:rsid w:val="00F77D0C"/>
    <w:rsid w:val="00F801DB"/>
    <w:rsid w:val="00F856C9"/>
    <w:rsid w:val="00F8710F"/>
    <w:rsid w:val="00F91DF9"/>
    <w:rsid w:val="00F92EDE"/>
    <w:rsid w:val="00F9622B"/>
    <w:rsid w:val="00F96F5E"/>
    <w:rsid w:val="00F974E7"/>
    <w:rsid w:val="00FA747A"/>
    <w:rsid w:val="00FB2F4C"/>
    <w:rsid w:val="00FB4741"/>
    <w:rsid w:val="00FB4875"/>
    <w:rsid w:val="00FC20D0"/>
    <w:rsid w:val="00FC33EF"/>
    <w:rsid w:val="00FC4084"/>
    <w:rsid w:val="00FC7627"/>
    <w:rsid w:val="00FD0265"/>
    <w:rsid w:val="00FE54D9"/>
    <w:rsid w:val="00FF2C25"/>
    <w:rsid w:val="00FF5210"/>
    <w:rsid w:val="00FF62EA"/>
    <w:rsid w:val="00FF7743"/>
    <w:rsid w:val="1F3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A890F"/>
  <w14:defaultImageDpi w14:val="300"/>
  <w15:docId w15:val="{10EC7958-3BDB-4855-80B2-0D9C4286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3904"/>
  </w:style>
  <w:style w:type="character" w:styleId="Emphasis">
    <w:name w:val="Emphasis"/>
    <w:basedOn w:val="DefaultParagraphFont"/>
    <w:uiPriority w:val="20"/>
    <w:qFormat/>
    <w:rsid w:val="000B7D53"/>
    <w:rPr>
      <w:i/>
      <w:iCs/>
    </w:rPr>
  </w:style>
  <w:style w:type="paragraph" w:customStyle="1" w:styleId="Default">
    <w:name w:val="Default"/>
    <w:rsid w:val="0007577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95CE9"/>
    <w:rPr>
      <w:strike w:val="0"/>
      <w:dstrike w:val="0"/>
      <w:color w:val="E9060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E652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9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30">
          <w:marLeft w:val="293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891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otes.morningstar.com/stock/s?t=0P0000JJUV&amp;culture=en-US&amp;productcode=DIRECT&amp;ops=clear&amp;cur=USD&amp;nav=y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25F14-AD47-4B3D-919B-4481AC21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KBRA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Harris</dc:creator>
  <cp:lastModifiedBy>Timothy Garaffa</cp:lastModifiedBy>
  <cp:revision>2</cp:revision>
  <cp:lastPrinted>2015-11-11T18:57:00Z</cp:lastPrinted>
  <dcterms:created xsi:type="dcterms:W3CDTF">2018-01-26T00:02:00Z</dcterms:created>
  <dcterms:modified xsi:type="dcterms:W3CDTF">2018-01-26T00:02:00Z</dcterms:modified>
</cp:coreProperties>
</file>