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69" w:tblpY="361"/>
        <w:tblW w:w="7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5"/>
      </w:tblGrid>
      <w:tr w:rsidR="00685D13" w:rsidRPr="00FF572C" w14:paraId="569870B9" w14:textId="77777777" w:rsidTr="00803EDD">
        <w:trPr>
          <w:trHeight w:val="720"/>
        </w:trPr>
        <w:tc>
          <w:tcPr>
            <w:tcW w:w="7155" w:type="dxa"/>
          </w:tcPr>
          <w:p w14:paraId="17F7D911" w14:textId="77777777" w:rsidR="00685D13" w:rsidRDefault="00685D13" w:rsidP="00803EDD">
            <w:pPr>
              <w:rPr>
                <w:rFonts w:ascii="Garamond" w:hAnsi="Garamond"/>
                <w:b/>
                <w:sz w:val="30"/>
                <w:szCs w:val="30"/>
              </w:rPr>
            </w:pPr>
            <w:r>
              <w:rPr>
                <w:rFonts w:ascii="Garamond" w:hAnsi="Garamond"/>
                <w:b/>
                <w:sz w:val="30"/>
                <w:szCs w:val="30"/>
              </w:rPr>
              <w:t>Laboratory Corporation of America</w:t>
            </w:r>
          </w:p>
          <w:p w14:paraId="1A4F10E8" w14:textId="77777777" w:rsidR="00685D13" w:rsidRPr="00470E72" w:rsidRDefault="00685D13" w:rsidP="00803EDD">
            <w:pPr>
              <w:rPr>
                <w:rFonts w:ascii="Garamond" w:hAnsi="Garamond"/>
                <w:b/>
                <w:sz w:val="30"/>
                <w:szCs w:val="30"/>
              </w:rPr>
            </w:pPr>
            <w:r>
              <w:rPr>
                <w:rFonts w:ascii="Garamond" w:hAnsi="Garamond"/>
                <w:b/>
                <w:sz w:val="30"/>
                <w:szCs w:val="30"/>
              </w:rPr>
              <w:t>(NYSE: LH)</w:t>
            </w:r>
          </w:p>
          <w:p w14:paraId="664862CE" w14:textId="381E404F" w:rsidR="00685D13" w:rsidRDefault="00685D13" w:rsidP="00803EDD">
            <w:pPr>
              <w:rPr>
                <w:rFonts w:ascii="Garamond" w:hAnsi="Garamond"/>
                <w:b/>
              </w:rPr>
            </w:pPr>
            <w:r w:rsidRPr="00864168">
              <w:rPr>
                <w:rFonts w:ascii="Garamond" w:hAnsi="Garamond"/>
                <w:b/>
              </w:rPr>
              <w:t xml:space="preserve">Sector: </w:t>
            </w:r>
            <w:r w:rsidR="00EF5227">
              <w:rPr>
                <w:rFonts w:ascii="Garamond" w:hAnsi="Garamond"/>
                <w:b/>
              </w:rPr>
              <w:t>Healthcare</w:t>
            </w:r>
          </w:p>
          <w:p w14:paraId="02036077" w14:textId="77777777" w:rsidR="00685D13" w:rsidRPr="00F64D88" w:rsidRDefault="00685D13" w:rsidP="00803EDD">
            <w:pPr>
              <w:rPr>
                <w:rFonts w:ascii="Garamond" w:hAnsi="Garamond"/>
                <w:sz w:val="16"/>
                <w:szCs w:val="16"/>
              </w:rPr>
            </w:pPr>
          </w:p>
        </w:tc>
      </w:tr>
    </w:tbl>
    <w:tbl>
      <w:tblPr>
        <w:tblStyle w:val="TableGrid"/>
        <w:tblW w:w="114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1513"/>
        <w:gridCol w:w="1783"/>
        <w:gridCol w:w="1827"/>
        <w:gridCol w:w="890"/>
        <w:gridCol w:w="1513"/>
        <w:gridCol w:w="1691"/>
        <w:gridCol w:w="789"/>
      </w:tblGrid>
      <w:tr w:rsidR="00685D13" w14:paraId="1D0C26D3" w14:textId="77777777" w:rsidTr="00803EDD">
        <w:trPr>
          <w:trHeight w:val="506"/>
        </w:trPr>
        <w:tc>
          <w:tcPr>
            <w:tcW w:w="1424" w:type="dxa"/>
          </w:tcPr>
          <w:p w14:paraId="31294B97" w14:textId="77777777" w:rsidR="00685D13" w:rsidRDefault="00685D13" w:rsidP="00803EDD">
            <w:pPr>
              <w:jc w:val="center"/>
              <w:rPr>
                <w:rFonts w:ascii="Garamond" w:hAnsi="Garamond"/>
                <w:b/>
                <w:sz w:val="22"/>
                <w:szCs w:val="22"/>
              </w:rPr>
            </w:pPr>
            <w:r>
              <w:rPr>
                <w:rFonts w:ascii="Garamond" w:hAnsi="Garamond"/>
                <w:b/>
                <w:sz w:val="22"/>
                <w:szCs w:val="22"/>
              </w:rPr>
              <w:t>Target Price</w:t>
            </w:r>
          </w:p>
          <w:p w14:paraId="1845BD4B" w14:textId="48995FB4" w:rsidR="00685D13" w:rsidRDefault="00685D13" w:rsidP="00803EDD">
            <w:pPr>
              <w:jc w:val="center"/>
              <w:rPr>
                <w:rFonts w:ascii="Garamond" w:hAnsi="Garamond"/>
                <w:sz w:val="22"/>
                <w:szCs w:val="22"/>
              </w:rPr>
            </w:pPr>
            <w:r>
              <w:rPr>
                <w:rFonts w:ascii="Garamond" w:hAnsi="Garamond"/>
                <w:sz w:val="22"/>
                <w:szCs w:val="22"/>
              </w:rPr>
              <w:t>$</w:t>
            </w:r>
            <w:r w:rsidR="00EF5227">
              <w:rPr>
                <w:rFonts w:ascii="Garamond" w:hAnsi="Garamond"/>
                <w:sz w:val="22"/>
                <w:szCs w:val="22"/>
              </w:rPr>
              <w:t>161.35</w:t>
            </w:r>
          </w:p>
          <w:p w14:paraId="467BAD21" w14:textId="77777777" w:rsidR="00685D13" w:rsidRPr="00A23FA7" w:rsidRDefault="00685D13" w:rsidP="00803EDD">
            <w:pPr>
              <w:jc w:val="center"/>
              <w:rPr>
                <w:rFonts w:ascii="Garamond" w:hAnsi="Garamond"/>
                <w:sz w:val="20"/>
                <w:szCs w:val="20"/>
              </w:rPr>
            </w:pPr>
          </w:p>
        </w:tc>
        <w:tc>
          <w:tcPr>
            <w:tcW w:w="1513" w:type="dxa"/>
          </w:tcPr>
          <w:p w14:paraId="11AD9E63" w14:textId="77777777" w:rsidR="00685D13" w:rsidRPr="00280E12" w:rsidRDefault="00685D13" w:rsidP="00803EDD">
            <w:pPr>
              <w:jc w:val="center"/>
              <w:rPr>
                <w:rFonts w:ascii="Garamond" w:hAnsi="Garamond"/>
                <w:b/>
                <w:sz w:val="22"/>
                <w:szCs w:val="22"/>
              </w:rPr>
            </w:pPr>
            <w:r w:rsidRPr="00280E12">
              <w:rPr>
                <w:rFonts w:ascii="Garamond" w:hAnsi="Garamond"/>
                <w:b/>
                <w:sz w:val="22"/>
                <w:szCs w:val="22"/>
              </w:rPr>
              <w:t>Current Price</w:t>
            </w:r>
          </w:p>
          <w:p w14:paraId="4CA1F5CF" w14:textId="58358766" w:rsidR="00685D13" w:rsidRPr="00280E12" w:rsidRDefault="00685D13" w:rsidP="00803EDD">
            <w:pPr>
              <w:jc w:val="center"/>
              <w:rPr>
                <w:rFonts w:ascii="Garamond" w:hAnsi="Garamond"/>
                <w:sz w:val="22"/>
                <w:szCs w:val="22"/>
              </w:rPr>
            </w:pPr>
            <w:r w:rsidRPr="00280E12">
              <w:rPr>
                <w:rFonts w:ascii="Garamond" w:hAnsi="Garamond"/>
                <w:sz w:val="22"/>
                <w:szCs w:val="22"/>
              </w:rPr>
              <w:t>$</w:t>
            </w:r>
            <w:r w:rsidR="00EF5227">
              <w:rPr>
                <w:rFonts w:ascii="Garamond" w:hAnsi="Garamond"/>
                <w:sz w:val="22"/>
                <w:szCs w:val="22"/>
              </w:rPr>
              <w:t>133.04</w:t>
            </w:r>
          </w:p>
        </w:tc>
        <w:tc>
          <w:tcPr>
            <w:tcW w:w="1783" w:type="dxa"/>
          </w:tcPr>
          <w:p w14:paraId="7C5FE8BA" w14:textId="77777777" w:rsidR="00685D13" w:rsidRPr="00280E12" w:rsidRDefault="00685D13" w:rsidP="00803EDD">
            <w:pPr>
              <w:jc w:val="center"/>
              <w:rPr>
                <w:rFonts w:ascii="Garamond" w:hAnsi="Garamond"/>
                <w:b/>
                <w:sz w:val="22"/>
                <w:szCs w:val="22"/>
              </w:rPr>
            </w:pPr>
            <w:r w:rsidRPr="00280E12">
              <w:rPr>
                <w:rFonts w:ascii="Garamond" w:hAnsi="Garamond"/>
                <w:b/>
                <w:sz w:val="22"/>
                <w:szCs w:val="22"/>
              </w:rPr>
              <w:t>52 Week High</w:t>
            </w:r>
          </w:p>
          <w:p w14:paraId="0670224F" w14:textId="2333D97E" w:rsidR="00685D13" w:rsidRPr="00280E12" w:rsidRDefault="00685D13" w:rsidP="00803EDD">
            <w:pPr>
              <w:jc w:val="center"/>
              <w:rPr>
                <w:rFonts w:ascii="Garamond" w:hAnsi="Garamond"/>
                <w:sz w:val="22"/>
                <w:szCs w:val="22"/>
              </w:rPr>
            </w:pPr>
            <w:r w:rsidRPr="00280E12">
              <w:rPr>
                <w:rFonts w:ascii="Garamond" w:hAnsi="Garamond"/>
                <w:sz w:val="22"/>
                <w:szCs w:val="22"/>
              </w:rPr>
              <w:t>$</w:t>
            </w:r>
            <w:r w:rsidR="00EF5227">
              <w:rPr>
                <w:rFonts w:ascii="Garamond" w:hAnsi="Garamond"/>
                <w:sz w:val="22"/>
                <w:szCs w:val="22"/>
              </w:rPr>
              <w:t>141.32</w:t>
            </w:r>
          </w:p>
        </w:tc>
        <w:tc>
          <w:tcPr>
            <w:tcW w:w="1827" w:type="dxa"/>
          </w:tcPr>
          <w:p w14:paraId="16E0D232" w14:textId="783F8E15" w:rsidR="00685D13" w:rsidRPr="00280E12" w:rsidRDefault="00685D13" w:rsidP="00803EDD">
            <w:pPr>
              <w:jc w:val="center"/>
              <w:rPr>
                <w:rFonts w:ascii="Garamond" w:hAnsi="Garamond"/>
                <w:b/>
                <w:sz w:val="22"/>
                <w:szCs w:val="22"/>
              </w:rPr>
            </w:pPr>
            <w:r w:rsidRPr="00280E12">
              <w:rPr>
                <w:rFonts w:ascii="Garamond" w:hAnsi="Garamond"/>
                <w:b/>
                <w:sz w:val="22"/>
                <w:szCs w:val="22"/>
              </w:rPr>
              <w:t>52 Week Low</w:t>
            </w:r>
          </w:p>
          <w:p w14:paraId="49EC830F" w14:textId="75607FF5" w:rsidR="00685D13" w:rsidRPr="00280E12" w:rsidRDefault="00685D13" w:rsidP="00803EDD">
            <w:pPr>
              <w:jc w:val="center"/>
              <w:rPr>
                <w:rFonts w:ascii="Garamond" w:hAnsi="Garamond"/>
                <w:sz w:val="22"/>
                <w:szCs w:val="22"/>
              </w:rPr>
            </w:pPr>
            <w:r w:rsidRPr="00280E12">
              <w:rPr>
                <w:rFonts w:ascii="Garamond" w:hAnsi="Garamond"/>
                <w:sz w:val="22"/>
                <w:szCs w:val="22"/>
              </w:rPr>
              <w:t>$</w:t>
            </w:r>
            <w:r w:rsidR="00EF5227">
              <w:rPr>
                <w:rFonts w:ascii="Garamond" w:hAnsi="Garamond"/>
                <w:sz w:val="22"/>
                <w:szCs w:val="22"/>
              </w:rPr>
              <w:t>97.79</w:t>
            </w:r>
          </w:p>
        </w:tc>
        <w:tc>
          <w:tcPr>
            <w:tcW w:w="890" w:type="dxa"/>
          </w:tcPr>
          <w:p w14:paraId="116CA773" w14:textId="77777777" w:rsidR="00685D13" w:rsidRPr="00280E12" w:rsidRDefault="00685D13" w:rsidP="00803EDD">
            <w:pPr>
              <w:jc w:val="center"/>
              <w:rPr>
                <w:rFonts w:ascii="Garamond" w:hAnsi="Garamond"/>
                <w:b/>
                <w:sz w:val="22"/>
                <w:szCs w:val="22"/>
              </w:rPr>
            </w:pPr>
            <w:r w:rsidRPr="00280E12">
              <w:rPr>
                <w:rFonts w:ascii="Garamond" w:hAnsi="Garamond"/>
                <w:b/>
                <w:sz w:val="22"/>
                <w:szCs w:val="22"/>
              </w:rPr>
              <w:t>P/E</w:t>
            </w:r>
          </w:p>
          <w:p w14:paraId="1060A7D1" w14:textId="6B34E43F" w:rsidR="00685D13" w:rsidRPr="00280E12" w:rsidRDefault="00EF5227" w:rsidP="00803EDD">
            <w:pPr>
              <w:jc w:val="center"/>
              <w:rPr>
                <w:rFonts w:ascii="Garamond" w:hAnsi="Garamond"/>
                <w:sz w:val="22"/>
                <w:szCs w:val="22"/>
              </w:rPr>
            </w:pPr>
            <w:r>
              <w:rPr>
                <w:rFonts w:ascii="Garamond" w:hAnsi="Garamond"/>
                <w:sz w:val="22"/>
                <w:szCs w:val="22"/>
              </w:rPr>
              <w:t>17.94</w:t>
            </w:r>
          </w:p>
        </w:tc>
        <w:tc>
          <w:tcPr>
            <w:tcW w:w="1513" w:type="dxa"/>
          </w:tcPr>
          <w:p w14:paraId="6712C9E0" w14:textId="393ABA1C" w:rsidR="00685D13" w:rsidRPr="00280E12" w:rsidRDefault="00C64790" w:rsidP="00803EDD">
            <w:pPr>
              <w:jc w:val="center"/>
              <w:rPr>
                <w:rFonts w:ascii="Garamond" w:hAnsi="Garamond"/>
                <w:b/>
                <w:sz w:val="22"/>
                <w:szCs w:val="22"/>
              </w:rPr>
            </w:pPr>
            <w:r>
              <w:rPr>
                <w:rFonts w:eastAsia="Times New Roman" w:cs="Times New Roman"/>
                <w:noProof/>
              </w:rPr>
              <w:drawing>
                <wp:anchor distT="0" distB="0" distL="114300" distR="114300" simplePos="0" relativeHeight="251658240" behindDoc="0" locked="0" layoutInCell="1" allowOverlap="1" wp14:anchorId="1BBA9845" wp14:editId="59E0850F">
                  <wp:simplePos x="0" y="0"/>
                  <wp:positionH relativeFrom="column">
                    <wp:posOffset>425661</wp:posOffset>
                  </wp:positionH>
                  <wp:positionV relativeFrom="paragraph">
                    <wp:posOffset>-782955</wp:posOffset>
                  </wp:positionV>
                  <wp:extent cx="2080683" cy="571500"/>
                  <wp:effectExtent l="0" t="0" r="2540" b="0"/>
                  <wp:wrapNone/>
                  <wp:docPr id="3" name="Picture 1" descr="mage result for lab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labco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683"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13" w:rsidRPr="00280E12">
              <w:rPr>
                <w:rFonts w:ascii="Garamond" w:hAnsi="Garamond"/>
                <w:b/>
                <w:sz w:val="22"/>
                <w:szCs w:val="22"/>
              </w:rPr>
              <w:t>Market Cap.</w:t>
            </w:r>
          </w:p>
          <w:p w14:paraId="56D7851E" w14:textId="06DC4D81" w:rsidR="00685D13" w:rsidRPr="00280E12" w:rsidRDefault="00685D13" w:rsidP="00803EDD">
            <w:pPr>
              <w:jc w:val="center"/>
              <w:rPr>
                <w:rFonts w:ascii="Garamond" w:hAnsi="Garamond"/>
                <w:sz w:val="22"/>
                <w:szCs w:val="22"/>
              </w:rPr>
            </w:pPr>
            <w:r>
              <w:rPr>
                <w:rFonts w:ascii="Garamond" w:hAnsi="Garamond"/>
                <w:sz w:val="22"/>
                <w:szCs w:val="22"/>
              </w:rPr>
              <w:t>$</w:t>
            </w:r>
            <w:r w:rsidR="00EF5227">
              <w:rPr>
                <w:rFonts w:ascii="Garamond" w:hAnsi="Garamond"/>
                <w:sz w:val="22"/>
                <w:szCs w:val="22"/>
              </w:rPr>
              <w:t>13.65</w:t>
            </w:r>
          </w:p>
        </w:tc>
        <w:tc>
          <w:tcPr>
            <w:tcW w:w="1691" w:type="dxa"/>
          </w:tcPr>
          <w:p w14:paraId="251ABB93" w14:textId="77777777" w:rsidR="00685D13" w:rsidRPr="00280E12" w:rsidRDefault="00685D13" w:rsidP="00803EDD">
            <w:pPr>
              <w:jc w:val="center"/>
              <w:rPr>
                <w:rFonts w:ascii="Garamond" w:hAnsi="Garamond"/>
                <w:b/>
                <w:sz w:val="22"/>
                <w:szCs w:val="22"/>
              </w:rPr>
            </w:pPr>
            <w:r w:rsidRPr="00280E12">
              <w:rPr>
                <w:rFonts w:ascii="Garamond" w:hAnsi="Garamond"/>
                <w:b/>
                <w:sz w:val="22"/>
                <w:szCs w:val="22"/>
              </w:rPr>
              <w:t>Dividend Yield</w:t>
            </w:r>
          </w:p>
          <w:p w14:paraId="0D9AAA8E" w14:textId="63FEB141" w:rsidR="00685D13" w:rsidRPr="00280E12" w:rsidRDefault="00EF5227" w:rsidP="00803EDD">
            <w:pPr>
              <w:jc w:val="center"/>
              <w:rPr>
                <w:rFonts w:ascii="Garamond" w:hAnsi="Garamond"/>
                <w:sz w:val="22"/>
                <w:szCs w:val="22"/>
              </w:rPr>
            </w:pPr>
            <w:r>
              <w:rPr>
                <w:rFonts w:ascii="Garamond" w:hAnsi="Garamond"/>
                <w:sz w:val="22"/>
                <w:szCs w:val="22"/>
              </w:rPr>
              <w:t>N/A</w:t>
            </w:r>
          </w:p>
        </w:tc>
        <w:tc>
          <w:tcPr>
            <w:tcW w:w="789" w:type="dxa"/>
          </w:tcPr>
          <w:p w14:paraId="018DCD40" w14:textId="77777777" w:rsidR="00685D13" w:rsidRDefault="00685D13" w:rsidP="00803EDD">
            <w:pPr>
              <w:jc w:val="center"/>
              <w:rPr>
                <w:rFonts w:ascii="Garamond" w:hAnsi="Garamond"/>
                <w:b/>
                <w:sz w:val="22"/>
                <w:szCs w:val="22"/>
              </w:rPr>
            </w:pPr>
            <w:r>
              <w:rPr>
                <w:rFonts w:ascii="Garamond" w:hAnsi="Garamond"/>
                <w:b/>
                <w:sz w:val="22"/>
                <w:szCs w:val="22"/>
              </w:rPr>
              <w:t>Beta</w:t>
            </w:r>
          </w:p>
          <w:p w14:paraId="3807C48D" w14:textId="055289C7" w:rsidR="00685D13" w:rsidRPr="005B396F" w:rsidRDefault="00EF5227" w:rsidP="00803EDD">
            <w:pPr>
              <w:jc w:val="center"/>
              <w:rPr>
                <w:rFonts w:ascii="Garamond" w:hAnsi="Garamond"/>
                <w:sz w:val="22"/>
                <w:szCs w:val="22"/>
              </w:rPr>
            </w:pPr>
            <w:r>
              <w:rPr>
                <w:rFonts w:ascii="Garamond" w:hAnsi="Garamond"/>
                <w:sz w:val="22"/>
                <w:szCs w:val="22"/>
              </w:rPr>
              <w:t>1.1</w:t>
            </w:r>
          </w:p>
        </w:tc>
      </w:tr>
    </w:tbl>
    <w:p w14:paraId="763A242C" w14:textId="77777777" w:rsidR="00685D13" w:rsidRDefault="00685D13" w:rsidP="00685D13">
      <w:pPr>
        <w:rPr>
          <w:sz w:val="10"/>
          <w:szCs w:val="10"/>
        </w:rPr>
        <w:sectPr w:rsidR="00685D13" w:rsidSect="00803EDD">
          <w:headerReference w:type="even" r:id="rId9"/>
          <w:headerReference w:type="default" r:id="rId10"/>
          <w:footerReference w:type="default" r:id="rId11"/>
          <w:headerReference w:type="first" r:id="rId12"/>
          <w:pgSz w:w="12240" w:h="15840"/>
          <w:pgMar w:top="1152" w:right="1800" w:bottom="720" w:left="1080" w:header="720" w:footer="432" w:gutter="0"/>
          <w:cols w:space="720"/>
          <w:docGrid w:linePitch="360"/>
        </w:sectPr>
      </w:pPr>
    </w:p>
    <w:p w14:paraId="2F8A9CAE" w14:textId="77777777" w:rsidR="00685D13" w:rsidRPr="00280E12" w:rsidRDefault="00685D13" w:rsidP="00685D13">
      <w:pPr>
        <w:rPr>
          <w:rFonts w:ascii="Garamond" w:hAnsi="Garamond"/>
          <w:b/>
          <w:sz w:val="22"/>
          <w:szCs w:val="22"/>
        </w:rPr>
      </w:pPr>
      <w:r w:rsidRPr="00280E12">
        <w:rPr>
          <w:rFonts w:ascii="Garamond" w:hAnsi="Garamond"/>
          <w:b/>
          <w:sz w:val="22"/>
          <w:szCs w:val="22"/>
        </w:rPr>
        <w:lastRenderedPageBreak/>
        <w:t>Business Description</w:t>
      </w:r>
      <w:r>
        <w:rPr>
          <w:rFonts w:ascii="Garamond" w:hAnsi="Garamond"/>
          <w:b/>
          <w:sz w:val="22"/>
          <w:szCs w:val="22"/>
        </w:rPr>
        <w:t xml:space="preserve"> </w:t>
      </w:r>
    </w:p>
    <w:p w14:paraId="73A979E1" w14:textId="61EB016B" w:rsidR="00685D13" w:rsidRDefault="00685D13" w:rsidP="00685D13">
      <w:pPr>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Laboratory Corporation of America (LabCorp) is the world’s leading healthcare diagnostics company. </w:t>
      </w:r>
      <w:proofErr w:type="gramStart"/>
      <w:r w:rsidR="008E51FD">
        <w:rPr>
          <w:rFonts w:ascii="Garamond" w:eastAsia="Times New Roman" w:hAnsi="Garamond" w:cs="Times New Roman"/>
          <w:color w:val="000000"/>
          <w:sz w:val="20"/>
          <w:szCs w:val="20"/>
        </w:rPr>
        <w:t xml:space="preserve">LabCorp </w:t>
      </w:r>
      <w:proofErr w:type="spellStart"/>
      <w:r w:rsidR="00041EED">
        <w:rPr>
          <w:rFonts w:ascii="Garamond" w:eastAsia="Times New Roman" w:hAnsi="Garamond" w:cs="Times New Roman"/>
          <w:color w:val="000000"/>
          <w:sz w:val="20"/>
          <w:szCs w:val="20"/>
        </w:rPr>
        <w:t>pr</w:t>
      </w:r>
      <w:proofErr w:type="spellEnd"/>
      <w:r w:rsidR="00C64790" w:rsidRPr="00C64790">
        <w:rPr>
          <w:rFonts w:eastAsia="Times New Roman" w:cs="Times New Roman"/>
        </w:rPr>
        <w:t xml:space="preserve"> </w:t>
      </w:r>
      <w:proofErr w:type="spellStart"/>
      <w:r w:rsidR="00041EED">
        <w:rPr>
          <w:rFonts w:ascii="Garamond" w:eastAsia="Times New Roman" w:hAnsi="Garamond" w:cs="Times New Roman"/>
          <w:color w:val="000000"/>
          <w:sz w:val="20"/>
          <w:szCs w:val="20"/>
        </w:rPr>
        <w:t>ovides</w:t>
      </w:r>
      <w:proofErr w:type="spellEnd"/>
      <w:r w:rsidR="00041EED">
        <w:rPr>
          <w:rFonts w:ascii="Garamond" w:eastAsia="Times New Roman" w:hAnsi="Garamond" w:cs="Times New Roman"/>
          <w:color w:val="000000"/>
          <w:sz w:val="20"/>
          <w:szCs w:val="20"/>
        </w:rPr>
        <w:t xml:space="preserve"> comprehensive clinical laboratory services and end-to-end drug development support.</w:t>
      </w:r>
      <w:proofErr w:type="gramEnd"/>
      <w:r w:rsidR="00041EED">
        <w:rPr>
          <w:rFonts w:ascii="Garamond" w:eastAsia="Times New Roman" w:hAnsi="Garamond" w:cs="Times New Roman"/>
          <w:color w:val="000000"/>
          <w:sz w:val="20"/>
          <w:szCs w:val="20"/>
        </w:rPr>
        <w:t xml:space="preserve"> </w:t>
      </w:r>
      <w:r w:rsidR="00FA5C8E">
        <w:rPr>
          <w:rFonts w:ascii="Garamond" w:eastAsia="Times New Roman" w:hAnsi="Garamond" w:cs="Times New Roman"/>
          <w:color w:val="000000"/>
          <w:sz w:val="20"/>
          <w:szCs w:val="20"/>
        </w:rPr>
        <w:t>LabCorp operates in two distinct segments: LabCorp Diagnostics (LCD) and Covance Drug Development (CDD)</w:t>
      </w:r>
      <w:r w:rsidR="00434DA8">
        <w:rPr>
          <w:rFonts w:ascii="Garamond" w:eastAsia="Times New Roman" w:hAnsi="Garamond" w:cs="Times New Roman"/>
          <w:color w:val="000000"/>
          <w:sz w:val="20"/>
          <w:szCs w:val="20"/>
        </w:rPr>
        <w:t xml:space="preserve">. </w:t>
      </w:r>
      <w:r w:rsidR="00F83572">
        <w:rPr>
          <w:rFonts w:ascii="Garamond" w:eastAsia="Times New Roman" w:hAnsi="Garamond" w:cs="Times New Roman"/>
          <w:color w:val="000000"/>
          <w:sz w:val="20"/>
          <w:szCs w:val="20"/>
        </w:rPr>
        <w:t xml:space="preserve">LCD assists clients in diagnosis, monitoring, and treatment of diseases and medical conditions through testing in their independent clinical laboratories. LCD offers over 4700 tests within their 39 primary laboratories and 1700 patient service centers. LCD tests on average 500,000 patient specimens daily. CDD provides a range of drug development solutions as a contract research organization (CRO). </w:t>
      </w:r>
      <w:r w:rsidR="006415F3">
        <w:rPr>
          <w:rFonts w:ascii="Garamond" w:eastAsia="Times New Roman" w:hAnsi="Garamond" w:cs="Times New Roman"/>
          <w:color w:val="000000"/>
          <w:sz w:val="20"/>
          <w:szCs w:val="20"/>
        </w:rPr>
        <w:t xml:space="preserve">Clients, </w:t>
      </w:r>
      <w:r w:rsidR="002177DB">
        <w:rPr>
          <w:rFonts w:ascii="Garamond" w:eastAsia="Times New Roman" w:hAnsi="Garamond" w:cs="Times New Roman"/>
          <w:color w:val="000000"/>
          <w:sz w:val="20"/>
          <w:szCs w:val="20"/>
        </w:rPr>
        <w:t>mostly</w:t>
      </w:r>
      <w:r w:rsidR="006415F3">
        <w:rPr>
          <w:rFonts w:ascii="Garamond" w:eastAsia="Times New Roman" w:hAnsi="Garamond" w:cs="Times New Roman"/>
          <w:color w:val="000000"/>
          <w:sz w:val="20"/>
          <w:szCs w:val="20"/>
        </w:rPr>
        <w:t xml:space="preserve"> pharmaceutical companies, contract LabCorp’s CDD department </w:t>
      </w:r>
      <w:r w:rsidR="002177DB">
        <w:rPr>
          <w:rFonts w:ascii="Garamond" w:eastAsia="Times New Roman" w:hAnsi="Garamond" w:cs="Times New Roman"/>
          <w:color w:val="000000"/>
          <w:sz w:val="20"/>
          <w:szCs w:val="20"/>
        </w:rPr>
        <w:t xml:space="preserve">services </w:t>
      </w:r>
      <w:r w:rsidR="006415F3">
        <w:rPr>
          <w:rFonts w:ascii="Garamond" w:eastAsia="Times New Roman" w:hAnsi="Garamond" w:cs="Times New Roman"/>
          <w:color w:val="000000"/>
          <w:sz w:val="20"/>
          <w:szCs w:val="20"/>
        </w:rPr>
        <w:t>to c</w:t>
      </w:r>
      <w:r w:rsidR="00FC7404">
        <w:rPr>
          <w:rFonts w:ascii="Garamond" w:eastAsia="Times New Roman" w:hAnsi="Garamond" w:cs="Times New Roman"/>
          <w:color w:val="000000"/>
          <w:sz w:val="20"/>
          <w:szCs w:val="20"/>
        </w:rPr>
        <w:t>onduct preclinical research</w:t>
      </w:r>
      <w:r w:rsidR="00F459A3">
        <w:rPr>
          <w:rFonts w:ascii="Garamond" w:eastAsia="Times New Roman" w:hAnsi="Garamond" w:cs="Times New Roman"/>
          <w:color w:val="000000"/>
          <w:sz w:val="20"/>
          <w:szCs w:val="20"/>
        </w:rPr>
        <w:t xml:space="preserve"> through stages of clinical development and into commercialization. </w:t>
      </w:r>
      <w:r w:rsidR="00FF5054">
        <w:rPr>
          <w:rFonts w:ascii="Garamond" w:eastAsia="Times New Roman" w:hAnsi="Garamond" w:cs="Times New Roman"/>
          <w:color w:val="000000"/>
          <w:sz w:val="20"/>
          <w:szCs w:val="20"/>
        </w:rPr>
        <w:t>LabCorp reported $8.68 billion of revenue during the 2015 fiscal year. The breakdown based o</w:t>
      </w:r>
      <w:r w:rsidR="00F307C6">
        <w:rPr>
          <w:rFonts w:ascii="Garamond" w:eastAsia="Times New Roman" w:hAnsi="Garamond" w:cs="Times New Roman"/>
          <w:color w:val="000000"/>
          <w:sz w:val="20"/>
          <w:szCs w:val="20"/>
        </w:rPr>
        <w:t xml:space="preserve">n percent of revenue in 2015 was 73% LCD and 27% CDD. </w:t>
      </w:r>
    </w:p>
    <w:p w14:paraId="41AD5797" w14:textId="77777777" w:rsidR="00685D13" w:rsidRPr="00A23FA7" w:rsidRDefault="00685D13" w:rsidP="00685D13">
      <w:pPr>
        <w:jc w:val="both"/>
        <w:rPr>
          <w:rFonts w:ascii="Garamond" w:hAnsi="Garamond"/>
          <w:sz w:val="20"/>
          <w:szCs w:val="20"/>
        </w:rPr>
      </w:pPr>
    </w:p>
    <w:p w14:paraId="32061971" w14:textId="77777777" w:rsidR="00685D13" w:rsidRDefault="00685D13" w:rsidP="00685D13">
      <w:pPr>
        <w:jc w:val="both"/>
        <w:rPr>
          <w:rFonts w:ascii="Garamond" w:hAnsi="Garamond"/>
          <w:b/>
          <w:sz w:val="22"/>
          <w:szCs w:val="22"/>
        </w:rPr>
      </w:pPr>
      <w:r w:rsidRPr="005B396F">
        <w:rPr>
          <w:rFonts w:ascii="Garamond" w:hAnsi="Garamond"/>
          <w:b/>
          <w:sz w:val="22"/>
          <w:szCs w:val="22"/>
        </w:rPr>
        <w:t>Industry Trends</w:t>
      </w:r>
      <w:r>
        <w:rPr>
          <w:rFonts w:ascii="Garamond" w:hAnsi="Garamond"/>
          <w:b/>
          <w:sz w:val="22"/>
          <w:szCs w:val="22"/>
        </w:rPr>
        <w:t xml:space="preserve"> </w:t>
      </w:r>
    </w:p>
    <w:p w14:paraId="126D48A3" w14:textId="2C0B8B50" w:rsidR="00077BA7" w:rsidRPr="00077BA7" w:rsidRDefault="00292066" w:rsidP="00077BA7">
      <w:pPr>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LCD: </w:t>
      </w:r>
      <w:r w:rsidR="00C70CFB">
        <w:rPr>
          <w:rFonts w:ascii="Garamond" w:eastAsia="Times New Roman" w:hAnsi="Garamond" w:cs="Times New Roman"/>
          <w:color w:val="000000"/>
          <w:sz w:val="20"/>
          <w:szCs w:val="20"/>
        </w:rPr>
        <w:t xml:space="preserve">The US clinical laboratory testing industry reported $75 billion in revenue in 2015. </w:t>
      </w:r>
      <w:r w:rsidR="008263DE">
        <w:rPr>
          <w:rFonts w:ascii="Garamond" w:eastAsia="Times New Roman" w:hAnsi="Garamond" w:cs="Times New Roman"/>
          <w:color w:val="000000"/>
          <w:sz w:val="20"/>
          <w:szCs w:val="20"/>
        </w:rPr>
        <w:t>The LCD industry is h</w:t>
      </w:r>
      <w:r w:rsidR="004C1339">
        <w:rPr>
          <w:rFonts w:ascii="Garamond" w:eastAsia="Times New Roman" w:hAnsi="Garamond" w:cs="Times New Roman"/>
          <w:color w:val="000000"/>
          <w:sz w:val="20"/>
          <w:szCs w:val="20"/>
        </w:rPr>
        <w:t>ighly saturated and competitive. There are 3 types of providers</w:t>
      </w:r>
      <w:r w:rsidR="00F45BE3">
        <w:rPr>
          <w:rFonts w:ascii="Garamond" w:eastAsia="Times New Roman" w:hAnsi="Garamond" w:cs="Times New Roman"/>
          <w:color w:val="000000"/>
          <w:sz w:val="20"/>
          <w:szCs w:val="20"/>
        </w:rPr>
        <w:t>: Hospital-based labs (9,000), Physician-office Labs (122,000), and In</w:t>
      </w:r>
      <w:r w:rsidR="00F346D9">
        <w:rPr>
          <w:rFonts w:ascii="Garamond" w:eastAsia="Times New Roman" w:hAnsi="Garamond" w:cs="Times New Roman"/>
          <w:color w:val="000000"/>
          <w:sz w:val="20"/>
          <w:szCs w:val="20"/>
        </w:rPr>
        <w:t xml:space="preserve">dependent Labs (6,000). LSD competes with </w:t>
      </w:r>
      <w:r w:rsidR="00C24984">
        <w:rPr>
          <w:rFonts w:ascii="Garamond" w:eastAsia="Times New Roman" w:hAnsi="Garamond" w:cs="Times New Roman"/>
          <w:color w:val="000000"/>
          <w:sz w:val="20"/>
          <w:szCs w:val="20"/>
        </w:rPr>
        <w:t xml:space="preserve">all of these providers. </w:t>
      </w:r>
      <w:r w:rsidR="00883861">
        <w:rPr>
          <w:rFonts w:ascii="Garamond" w:eastAsia="Times New Roman" w:hAnsi="Garamond" w:cs="Times New Roman"/>
          <w:color w:val="000000"/>
          <w:sz w:val="20"/>
          <w:szCs w:val="20"/>
        </w:rPr>
        <w:t xml:space="preserve">Additionally, there is a trend of consolidation </w:t>
      </w:r>
      <w:r w:rsidR="00077BA7">
        <w:rPr>
          <w:rFonts w:ascii="Garamond" w:eastAsia="Times New Roman" w:hAnsi="Garamond" w:cs="Times New Roman"/>
          <w:color w:val="000000"/>
          <w:sz w:val="20"/>
          <w:szCs w:val="20"/>
        </w:rPr>
        <w:t xml:space="preserve">within the industry. Larger </w:t>
      </w:r>
      <w:r w:rsidR="00077BA7" w:rsidRPr="00077BA7">
        <w:rPr>
          <w:rFonts w:ascii="Garamond" w:eastAsia="Times New Roman" w:hAnsi="Garamond" w:cs="Times New Roman"/>
          <w:color w:val="000000"/>
          <w:sz w:val="20"/>
          <w:szCs w:val="20"/>
        </w:rPr>
        <w:t>companies will continue to outperform smaller labs due to economies of scale and this trend will only continue as LabCorp and other large independent clinical lab testing companies continue to actively acquire.</w:t>
      </w:r>
      <w:r w:rsidR="006E7726">
        <w:rPr>
          <w:rFonts w:ascii="Garamond" w:eastAsia="Times New Roman" w:hAnsi="Garamond" w:cs="Times New Roman"/>
          <w:color w:val="000000"/>
          <w:sz w:val="20"/>
          <w:szCs w:val="20"/>
        </w:rPr>
        <w:t xml:space="preserve"> </w:t>
      </w:r>
      <w:r w:rsidR="007A0D5F">
        <w:rPr>
          <w:rFonts w:ascii="Garamond" w:eastAsia="Times New Roman" w:hAnsi="Garamond" w:cs="Times New Roman"/>
          <w:color w:val="000000"/>
          <w:sz w:val="20"/>
          <w:szCs w:val="20"/>
        </w:rPr>
        <w:t xml:space="preserve">Furthermore, only large diagnostic companies like LabCorp can meet the demands of testing facilities from health plans. </w:t>
      </w:r>
    </w:p>
    <w:p w14:paraId="18755B6A" w14:textId="10B1A2FB" w:rsidR="00C24984" w:rsidRDefault="00927DA5" w:rsidP="00685D13">
      <w:pPr>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CDD: </w:t>
      </w:r>
      <w:r w:rsidR="00C50266">
        <w:rPr>
          <w:rFonts w:ascii="Garamond" w:eastAsia="Times New Roman" w:hAnsi="Garamond" w:cs="Times New Roman"/>
          <w:color w:val="000000"/>
          <w:sz w:val="20"/>
          <w:szCs w:val="20"/>
        </w:rPr>
        <w:t xml:space="preserve">This industry comprises of outsourcing R&amp;D services from pharmaceutical companies. </w:t>
      </w:r>
      <w:r w:rsidR="00FD16D9">
        <w:rPr>
          <w:rFonts w:ascii="Garamond" w:eastAsia="Times New Roman" w:hAnsi="Garamond" w:cs="Times New Roman"/>
          <w:color w:val="000000"/>
          <w:sz w:val="20"/>
          <w:szCs w:val="20"/>
        </w:rPr>
        <w:t>The industry drivers inc</w:t>
      </w:r>
      <w:r w:rsidR="00806323">
        <w:rPr>
          <w:rFonts w:ascii="Garamond" w:eastAsia="Times New Roman" w:hAnsi="Garamond" w:cs="Times New Roman"/>
          <w:color w:val="000000"/>
          <w:sz w:val="20"/>
          <w:szCs w:val="20"/>
        </w:rPr>
        <w:t>lude</w:t>
      </w:r>
      <w:r w:rsidR="00C45806">
        <w:rPr>
          <w:rFonts w:ascii="Garamond" w:eastAsia="Times New Roman" w:hAnsi="Garamond" w:cs="Times New Roman"/>
          <w:color w:val="000000"/>
          <w:sz w:val="20"/>
          <w:szCs w:val="20"/>
        </w:rPr>
        <w:t>:</w:t>
      </w:r>
      <w:r w:rsidR="00806323">
        <w:rPr>
          <w:rFonts w:ascii="Garamond" w:eastAsia="Times New Roman" w:hAnsi="Garamond" w:cs="Times New Roman"/>
          <w:color w:val="000000"/>
          <w:sz w:val="20"/>
          <w:szCs w:val="20"/>
        </w:rPr>
        <w:t xml:space="preserve"> cost savings for pharmaceu</w:t>
      </w:r>
      <w:r w:rsidR="00FD16D9">
        <w:rPr>
          <w:rFonts w:ascii="Garamond" w:eastAsia="Times New Roman" w:hAnsi="Garamond" w:cs="Times New Roman"/>
          <w:color w:val="000000"/>
          <w:sz w:val="20"/>
          <w:szCs w:val="20"/>
        </w:rPr>
        <w:t>tical companies, which are increasing because of regulation an</w:t>
      </w:r>
      <w:r w:rsidR="00FB475F">
        <w:rPr>
          <w:rFonts w:ascii="Garamond" w:eastAsia="Times New Roman" w:hAnsi="Garamond" w:cs="Times New Roman"/>
          <w:color w:val="000000"/>
          <w:sz w:val="20"/>
          <w:szCs w:val="20"/>
        </w:rPr>
        <w:t>d increased efficiency by CROs, the prolonged timeline of drug development</w:t>
      </w:r>
      <w:r w:rsidR="00DB7484">
        <w:rPr>
          <w:rFonts w:ascii="Garamond" w:eastAsia="Times New Roman" w:hAnsi="Garamond" w:cs="Times New Roman"/>
          <w:color w:val="000000"/>
          <w:sz w:val="20"/>
          <w:szCs w:val="20"/>
        </w:rPr>
        <w:t xml:space="preserve"> </w:t>
      </w:r>
      <w:r w:rsidR="00CE06D1">
        <w:rPr>
          <w:rFonts w:ascii="Garamond" w:eastAsia="Times New Roman" w:hAnsi="Garamond" w:cs="Times New Roman"/>
          <w:color w:val="000000"/>
          <w:sz w:val="20"/>
          <w:szCs w:val="20"/>
        </w:rPr>
        <w:t>so clients can f</w:t>
      </w:r>
      <w:r w:rsidR="00B8393C">
        <w:rPr>
          <w:rFonts w:ascii="Garamond" w:eastAsia="Times New Roman" w:hAnsi="Garamond" w:cs="Times New Roman"/>
          <w:color w:val="000000"/>
          <w:sz w:val="20"/>
          <w:szCs w:val="20"/>
        </w:rPr>
        <w:t xml:space="preserve">ocus on more lucrative efforts rather than drug development and testing, </w:t>
      </w:r>
      <w:r w:rsidR="00776620">
        <w:rPr>
          <w:rFonts w:ascii="Garamond" w:eastAsia="Times New Roman" w:hAnsi="Garamond" w:cs="Times New Roman"/>
          <w:color w:val="000000"/>
          <w:sz w:val="20"/>
          <w:szCs w:val="20"/>
        </w:rPr>
        <w:t>and the pat</w:t>
      </w:r>
      <w:r w:rsidR="00BD0331">
        <w:rPr>
          <w:rFonts w:ascii="Garamond" w:eastAsia="Times New Roman" w:hAnsi="Garamond" w:cs="Times New Roman"/>
          <w:color w:val="000000"/>
          <w:sz w:val="20"/>
          <w:szCs w:val="20"/>
        </w:rPr>
        <w:t>ent cliff that started in 2011</w:t>
      </w:r>
      <w:r w:rsidR="00F84258">
        <w:rPr>
          <w:rFonts w:ascii="Garamond" w:eastAsia="Times New Roman" w:hAnsi="Garamond" w:cs="Times New Roman"/>
          <w:color w:val="000000"/>
          <w:sz w:val="20"/>
          <w:szCs w:val="20"/>
        </w:rPr>
        <w:t xml:space="preserve"> marking the patent expiration of more than 300 drugs. </w:t>
      </w:r>
      <w:r w:rsidR="00FA7AB8">
        <w:rPr>
          <w:rFonts w:ascii="Garamond" w:eastAsia="Times New Roman" w:hAnsi="Garamond" w:cs="Times New Roman"/>
          <w:color w:val="000000"/>
          <w:sz w:val="20"/>
          <w:szCs w:val="20"/>
        </w:rPr>
        <w:t>CROs are currently in high demand</w:t>
      </w:r>
      <w:r w:rsidR="00F33125">
        <w:rPr>
          <w:rFonts w:ascii="Garamond" w:eastAsia="Times New Roman" w:hAnsi="Garamond" w:cs="Times New Roman"/>
          <w:color w:val="000000"/>
          <w:sz w:val="20"/>
          <w:szCs w:val="20"/>
        </w:rPr>
        <w:t xml:space="preserve"> and CDD looks to take advantage of these industry trends. </w:t>
      </w:r>
    </w:p>
    <w:p w14:paraId="39E1D431" w14:textId="77777777" w:rsidR="00685D13" w:rsidRPr="00A23FA7" w:rsidRDefault="00685D13" w:rsidP="00685D13">
      <w:pPr>
        <w:jc w:val="both"/>
        <w:rPr>
          <w:rFonts w:ascii="Garamond" w:hAnsi="Garamond"/>
          <w:b/>
          <w:sz w:val="20"/>
          <w:szCs w:val="20"/>
        </w:rPr>
      </w:pPr>
    </w:p>
    <w:p w14:paraId="27962E4C" w14:textId="77777777" w:rsidR="00685D13" w:rsidRPr="007046C4" w:rsidRDefault="00685D13" w:rsidP="00685D13">
      <w:pPr>
        <w:jc w:val="both"/>
        <w:rPr>
          <w:rFonts w:ascii="Garamond" w:hAnsi="Garamond"/>
          <w:b/>
          <w:sz w:val="22"/>
          <w:szCs w:val="22"/>
        </w:rPr>
      </w:pPr>
      <w:r w:rsidRPr="007046C4">
        <w:rPr>
          <w:rFonts w:ascii="Garamond" w:hAnsi="Garamond"/>
          <w:b/>
          <w:sz w:val="22"/>
          <w:szCs w:val="22"/>
        </w:rPr>
        <w:t>Investment Thesis</w:t>
      </w:r>
      <w:r>
        <w:rPr>
          <w:rFonts w:ascii="Garamond" w:hAnsi="Garamond"/>
          <w:b/>
          <w:sz w:val="22"/>
          <w:szCs w:val="22"/>
        </w:rPr>
        <w:t xml:space="preserve"> </w:t>
      </w:r>
    </w:p>
    <w:p w14:paraId="059398BF" w14:textId="6EF75DD8" w:rsidR="00DB5F39" w:rsidRDefault="00DB5F39" w:rsidP="00685D13">
      <w:pPr>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LabCorp</w:t>
      </w:r>
      <w:r w:rsidR="00EE36A4">
        <w:rPr>
          <w:rFonts w:ascii="Garamond" w:eastAsia="Times New Roman" w:hAnsi="Garamond" w:cs="Times New Roman"/>
          <w:color w:val="000000"/>
          <w:sz w:val="20"/>
          <w:szCs w:val="20"/>
        </w:rPr>
        <w:t xml:space="preserve"> is undervalued and well positioned for future success for the following reasons</w:t>
      </w:r>
      <w:r w:rsidR="00631691">
        <w:rPr>
          <w:rFonts w:ascii="Garamond" w:eastAsia="Times New Roman" w:hAnsi="Garamond" w:cs="Times New Roman"/>
          <w:color w:val="000000"/>
          <w:sz w:val="20"/>
          <w:szCs w:val="20"/>
        </w:rPr>
        <w:t>:</w:t>
      </w:r>
    </w:p>
    <w:p w14:paraId="70C844F8" w14:textId="63C837F8" w:rsidR="00803EDD" w:rsidRDefault="00803EDD" w:rsidP="003816B2">
      <w:pPr>
        <w:pStyle w:val="ListParagraph"/>
        <w:numPr>
          <w:ilvl w:val="0"/>
          <w:numId w:val="1"/>
        </w:numPr>
        <w:jc w:val="both"/>
        <w:rPr>
          <w:rFonts w:ascii="Garamond" w:eastAsia="Times New Roman" w:hAnsi="Garamond" w:cs="Times New Roman"/>
          <w:color w:val="000000"/>
          <w:sz w:val="20"/>
          <w:szCs w:val="20"/>
        </w:rPr>
      </w:pPr>
      <w:r w:rsidRPr="003816B2">
        <w:rPr>
          <w:rFonts w:ascii="Garamond" w:eastAsia="Times New Roman" w:hAnsi="Garamond" w:cs="Times New Roman"/>
          <w:color w:val="000000"/>
          <w:sz w:val="20"/>
          <w:szCs w:val="20"/>
        </w:rPr>
        <w:t>LabCorp is a low cost provider of medical services that are beginning to face increasing price transparency</w:t>
      </w:r>
      <w:r w:rsidR="00881E09">
        <w:rPr>
          <w:rFonts w:ascii="Garamond" w:eastAsia="Times New Roman" w:hAnsi="Garamond" w:cs="Times New Roman"/>
          <w:color w:val="000000"/>
          <w:sz w:val="20"/>
          <w:szCs w:val="20"/>
        </w:rPr>
        <w:t>.</w:t>
      </w:r>
    </w:p>
    <w:p w14:paraId="2721F965" w14:textId="271BB34C" w:rsidR="003816B2" w:rsidRPr="003816B2" w:rsidRDefault="003816B2" w:rsidP="003816B2">
      <w:pPr>
        <w:pStyle w:val="ListParagraph"/>
        <w:numPr>
          <w:ilvl w:val="0"/>
          <w:numId w:val="1"/>
        </w:numPr>
        <w:jc w:val="both"/>
        <w:rPr>
          <w:rFonts w:ascii="Garamond" w:eastAsia="Times New Roman" w:hAnsi="Garamond" w:cs="Times New Roman"/>
          <w:color w:val="000000"/>
          <w:sz w:val="20"/>
          <w:szCs w:val="20"/>
        </w:rPr>
      </w:pPr>
      <w:r w:rsidRPr="003816B2">
        <w:rPr>
          <w:rFonts w:ascii="Garamond" w:eastAsia="Times New Roman" w:hAnsi="Garamond" w:cs="Times New Roman"/>
          <w:color w:val="000000"/>
          <w:sz w:val="20"/>
          <w:szCs w:val="20"/>
        </w:rPr>
        <w:t>Healthcare spending has significantly outpaced GD</w:t>
      </w:r>
      <w:r>
        <w:rPr>
          <w:rFonts w:ascii="Garamond" w:eastAsia="Times New Roman" w:hAnsi="Garamond" w:cs="Times New Roman"/>
          <w:color w:val="000000"/>
          <w:sz w:val="20"/>
          <w:szCs w:val="20"/>
        </w:rPr>
        <w:t xml:space="preserve">P over the past several decades. </w:t>
      </w:r>
      <w:r w:rsidRPr="003816B2">
        <w:rPr>
          <w:rFonts w:ascii="Garamond" w:eastAsia="Times New Roman" w:hAnsi="Garamond" w:cs="Times New Roman"/>
          <w:color w:val="000000"/>
          <w:sz w:val="20"/>
          <w:szCs w:val="20"/>
        </w:rPr>
        <w:t>LabCorp is</w:t>
      </w:r>
      <w:r>
        <w:rPr>
          <w:rFonts w:ascii="Garamond" w:eastAsia="Times New Roman" w:hAnsi="Garamond" w:cs="Times New Roman"/>
          <w:color w:val="000000"/>
          <w:sz w:val="20"/>
          <w:szCs w:val="20"/>
        </w:rPr>
        <w:t xml:space="preserve"> well</w:t>
      </w:r>
      <w:r w:rsidRPr="003816B2">
        <w:rPr>
          <w:rFonts w:ascii="Garamond" w:eastAsia="Times New Roman" w:hAnsi="Garamond" w:cs="Times New Roman"/>
          <w:color w:val="000000"/>
          <w:sz w:val="20"/>
          <w:szCs w:val="20"/>
        </w:rPr>
        <w:t xml:space="preserve"> positioned to capitalize in many a</w:t>
      </w:r>
      <w:r w:rsidR="000F1E4C">
        <w:rPr>
          <w:rFonts w:ascii="Garamond" w:eastAsia="Times New Roman" w:hAnsi="Garamond" w:cs="Times New Roman"/>
          <w:color w:val="000000"/>
          <w:sz w:val="20"/>
          <w:szCs w:val="20"/>
        </w:rPr>
        <w:t xml:space="preserve">reas of the healthcare industry as a diagnostics and drug development company. </w:t>
      </w:r>
    </w:p>
    <w:p w14:paraId="3929F022" w14:textId="5B7FACED" w:rsidR="00A23FA7" w:rsidRPr="00A23FA7" w:rsidRDefault="003816B2" w:rsidP="00A23FA7">
      <w:pPr>
        <w:pStyle w:val="ListParagraph"/>
        <w:numPr>
          <w:ilvl w:val="0"/>
          <w:numId w:val="1"/>
        </w:numPr>
        <w:jc w:val="both"/>
        <w:rPr>
          <w:rFonts w:ascii="Garamond" w:eastAsia="Times New Roman" w:hAnsi="Garamond" w:cs="Times New Roman"/>
          <w:color w:val="000000"/>
          <w:sz w:val="20"/>
          <w:szCs w:val="20"/>
        </w:rPr>
      </w:pPr>
      <w:r w:rsidRPr="003816B2">
        <w:rPr>
          <w:rFonts w:ascii="Garamond" w:eastAsia="Times New Roman" w:hAnsi="Garamond" w:cs="Times New Roman"/>
          <w:color w:val="000000"/>
          <w:sz w:val="20"/>
          <w:szCs w:val="20"/>
        </w:rPr>
        <w:t>LabCorp’s acquisition of Covance allows them to better serve pharmaceutical companies and diversi</w:t>
      </w:r>
      <w:r w:rsidR="000F1E4C">
        <w:rPr>
          <w:rFonts w:ascii="Garamond" w:eastAsia="Times New Roman" w:hAnsi="Garamond" w:cs="Times New Roman"/>
          <w:color w:val="000000"/>
          <w:sz w:val="20"/>
          <w:szCs w:val="20"/>
        </w:rPr>
        <w:t xml:space="preserve">fy their client base. With </w:t>
      </w:r>
      <w:r w:rsidR="00A0513C">
        <w:rPr>
          <w:rFonts w:ascii="Garamond" w:eastAsia="Times New Roman" w:hAnsi="Garamond" w:cs="Times New Roman"/>
          <w:color w:val="000000"/>
          <w:sz w:val="20"/>
          <w:szCs w:val="20"/>
        </w:rPr>
        <w:t>LCD</w:t>
      </w:r>
      <w:r w:rsidR="000F1E4C">
        <w:rPr>
          <w:rFonts w:ascii="Garamond" w:eastAsia="Times New Roman" w:hAnsi="Garamond" w:cs="Times New Roman"/>
          <w:color w:val="000000"/>
          <w:sz w:val="20"/>
          <w:szCs w:val="20"/>
        </w:rPr>
        <w:t xml:space="preserve"> and</w:t>
      </w:r>
      <w:r w:rsidR="00A0513C">
        <w:rPr>
          <w:rFonts w:ascii="Garamond" w:eastAsia="Times New Roman" w:hAnsi="Garamond" w:cs="Times New Roman"/>
          <w:color w:val="000000"/>
          <w:sz w:val="20"/>
          <w:szCs w:val="20"/>
        </w:rPr>
        <w:t xml:space="preserve"> CD</w:t>
      </w:r>
      <w:r w:rsidRPr="003816B2">
        <w:rPr>
          <w:rFonts w:ascii="Garamond" w:eastAsia="Times New Roman" w:hAnsi="Garamond" w:cs="Times New Roman"/>
          <w:color w:val="000000"/>
          <w:sz w:val="20"/>
          <w:szCs w:val="20"/>
        </w:rPr>
        <w:t>D,</w:t>
      </w:r>
      <w:r w:rsidR="000F1E4C">
        <w:rPr>
          <w:rFonts w:ascii="Garamond" w:eastAsia="Times New Roman" w:hAnsi="Garamond" w:cs="Times New Roman"/>
          <w:color w:val="000000"/>
          <w:sz w:val="20"/>
          <w:szCs w:val="20"/>
        </w:rPr>
        <w:t xml:space="preserve"> LabCorp is the</w:t>
      </w:r>
      <w:r w:rsidRPr="003816B2">
        <w:rPr>
          <w:rFonts w:ascii="Garamond" w:eastAsia="Times New Roman" w:hAnsi="Garamond" w:cs="Times New Roman"/>
          <w:color w:val="000000"/>
          <w:sz w:val="20"/>
          <w:szCs w:val="20"/>
        </w:rPr>
        <w:t xml:space="preserve"> only company that offers preclinical research into commercialization.</w:t>
      </w:r>
    </w:p>
    <w:p w14:paraId="61B5AF8F" w14:textId="77777777" w:rsidR="003816B2" w:rsidRPr="000F1E4C" w:rsidRDefault="003816B2" w:rsidP="000F1E4C">
      <w:pPr>
        <w:jc w:val="both"/>
        <w:rPr>
          <w:rFonts w:ascii="Garamond" w:eastAsia="Times New Roman" w:hAnsi="Garamond" w:cs="Times New Roman"/>
          <w:color w:val="000000"/>
          <w:sz w:val="20"/>
          <w:szCs w:val="20"/>
        </w:rPr>
      </w:pPr>
    </w:p>
    <w:p w14:paraId="52C6355B" w14:textId="77777777" w:rsidR="00685D13" w:rsidRPr="00EA701E" w:rsidRDefault="00685D13" w:rsidP="00685D13">
      <w:pPr>
        <w:rPr>
          <w:rFonts w:ascii="Garamond" w:eastAsia="Times New Roman" w:hAnsi="Garamond" w:cs="Times New Roman"/>
          <w:sz w:val="10"/>
          <w:szCs w:val="10"/>
        </w:rPr>
      </w:pPr>
    </w:p>
    <w:tbl>
      <w:tblPr>
        <w:tblStyle w:val="TableGrid"/>
        <w:tblW w:w="5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2717"/>
      </w:tblGrid>
      <w:tr w:rsidR="00685D13" w14:paraId="7736425A" w14:textId="77777777" w:rsidTr="00803EDD">
        <w:trPr>
          <w:trHeight w:val="964"/>
        </w:trPr>
        <w:tc>
          <w:tcPr>
            <w:tcW w:w="3124" w:type="dxa"/>
          </w:tcPr>
          <w:p w14:paraId="18F9B3EF" w14:textId="77777777" w:rsidR="00685D13" w:rsidRPr="00D920E6" w:rsidRDefault="00685D13" w:rsidP="00803EDD">
            <w:pPr>
              <w:rPr>
                <w:rFonts w:ascii="Garamond" w:hAnsi="Garamond"/>
                <w:b/>
                <w:sz w:val="22"/>
                <w:szCs w:val="22"/>
              </w:rPr>
            </w:pPr>
            <w:r w:rsidRPr="00D920E6">
              <w:rPr>
                <w:rFonts w:ascii="Garamond" w:hAnsi="Garamond"/>
                <w:b/>
                <w:sz w:val="22"/>
                <w:szCs w:val="22"/>
              </w:rPr>
              <w:lastRenderedPageBreak/>
              <w:t>Valuation Assumptions</w:t>
            </w:r>
          </w:p>
          <w:p w14:paraId="3E78A36D" w14:textId="5806DD99" w:rsidR="00685D13" w:rsidRPr="00D920E6" w:rsidRDefault="00685D13" w:rsidP="00803EDD">
            <w:pPr>
              <w:rPr>
                <w:rFonts w:ascii="Garamond" w:hAnsi="Garamond"/>
                <w:sz w:val="18"/>
                <w:szCs w:val="18"/>
              </w:rPr>
            </w:pPr>
            <w:r w:rsidRPr="00D920E6">
              <w:rPr>
                <w:rFonts w:ascii="Garamond" w:hAnsi="Garamond"/>
                <w:sz w:val="18"/>
                <w:szCs w:val="18"/>
              </w:rPr>
              <w:t xml:space="preserve">WACC: </w:t>
            </w:r>
            <w:r w:rsidR="00EF5227">
              <w:rPr>
                <w:rFonts w:ascii="Garamond" w:hAnsi="Garamond"/>
                <w:sz w:val="18"/>
                <w:szCs w:val="18"/>
              </w:rPr>
              <w:t>10</w:t>
            </w:r>
            <w:r w:rsidRPr="00D920E6">
              <w:rPr>
                <w:rFonts w:ascii="Garamond" w:hAnsi="Garamond"/>
                <w:sz w:val="18"/>
                <w:szCs w:val="18"/>
              </w:rPr>
              <w:t>%</w:t>
            </w:r>
          </w:p>
          <w:p w14:paraId="35227101" w14:textId="3028EA83" w:rsidR="00685D13" w:rsidRPr="00D920E6" w:rsidRDefault="00685D13" w:rsidP="00803EDD">
            <w:pPr>
              <w:rPr>
                <w:rFonts w:ascii="Garamond" w:hAnsi="Garamond"/>
                <w:sz w:val="18"/>
                <w:szCs w:val="18"/>
              </w:rPr>
            </w:pPr>
            <w:r w:rsidRPr="00D920E6">
              <w:rPr>
                <w:rFonts w:ascii="Garamond" w:hAnsi="Garamond"/>
                <w:sz w:val="18"/>
                <w:szCs w:val="18"/>
              </w:rPr>
              <w:t xml:space="preserve">Terminal FCF Growth Rate: </w:t>
            </w:r>
            <w:r>
              <w:rPr>
                <w:rFonts w:ascii="Garamond" w:hAnsi="Garamond"/>
                <w:sz w:val="18"/>
                <w:szCs w:val="18"/>
              </w:rPr>
              <w:t>2.</w:t>
            </w:r>
            <w:r w:rsidR="00EF5227">
              <w:rPr>
                <w:rFonts w:ascii="Garamond" w:hAnsi="Garamond"/>
                <w:sz w:val="18"/>
                <w:szCs w:val="18"/>
              </w:rPr>
              <w:t>2</w:t>
            </w:r>
            <w:r w:rsidRPr="00D920E6">
              <w:rPr>
                <w:rFonts w:ascii="Garamond" w:hAnsi="Garamond"/>
                <w:sz w:val="18"/>
                <w:szCs w:val="18"/>
              </w:rPr>
              <w:t>%</w:t>
            </w:r>
          </w:p>
          <w:p w14:paraId="0555F621" w14:textId="3F20DEEF" w:rsidR="00685D13" w:rsidRDefault="00685D13" w:rsidP="00803EDD">
            <w:pPr>
              <w:rPr>
                <w:rFonts w:ascii="Garamond" w:hAnsi="Garamond"/>
                <w:sz w:val="18"/>
                <w:szCs w:val="18"/>
              </w:rPr>
            </w:pPr>
            <w:r>
              <w:rPr>
                <w:rFonts w:ascii="Garamond" w:hAnsi="Garamond"/>
                <w:sz w:val="18"/>
                <w:szCs w:val="18"/>
              </w:rPr>
              <w:t xml:space="preserve">Estimated EPS: </w:t>
            </w:r>
            <w:r w:rsidR="00EF5227">
              <w:rPr>
                <w:rFonts w:ascii="Garamond" w:hAnsi="Garamond"/>
                <w:sz w:val="18"/>
                <w:szCs w:val="18"/>
              </w:rPr>
              <w:t>7.53</w:t>
            </w:r>
            <w:r>
              <w:rPr>
                <w:rFonts w:ascii="Garamond" w:hAnsi="Garamond"/>
                <w:sz w:val="18"/>
                <w:szCs w:val="18"/>
              </w:rPr>
              <w:t xml:space="preserve">; EST P/E: </w:t>
            </w:r>
            <w:r w:rsidR="00080705">
              <w:rPr>
                <w:rFonts w:ascii="Garamond" w:hAnsi="Garamond"/>
                <w:sz w:val="18"/>
                <w:szCs w:val="18"/>
              </w:rPr>
              <w:t>15.19</w:t>
            </w:r>
            <w:r>
              <w:rPr>
                <w:rFonts w:ascii="Garamond" w:hAnsi="Garamond"/>
                <w:sz w:val="18"/>
                <w:szCs w:val="18"/>
              </w:rPr>
              <w:t>x</w:t>
            </w:r>
          </w:p>
          <w:p w14:paraId="4DCFFD65" w14:textId="066467AD" w:rsidR="00685D13" w:rsidRPr="007B6BCD" w:rsidRDefault="00685D13" w:rsidP="00803EDD">
            <w:pPr>
              <w:rPr>
                <w:rFonts w:ascii="Garamond" w:hAnsi="Garamond"/>
                <w:sz w:val="18"/>
                <w:szCs w:val="18"/>
              </w:rPr>
            </w:pPr>
            <w:r>
              <w:rPr>
                <w:rFonts w:ascii="Garamond" w:hAnsi="Garamond"/>
                <w:sz w:val="18"/>
                <w:szCs w:val="18"/>
              </w:rPr>
              <w:t xml:space="preserve">Estimated BVPS: </w:t>
            </w:r>
            <w:r w:rsidR="00EF5227">
              <w:rPr>
                <w:rFonts w:ascii="Garamond" w:hAnsi="Garamond"/>
                <w:sz w:val="18"/>
                <w:szCs w:val="18"/>
              </w:rPr>
              <w:t>48</w:t>
            </w:r>
            <w:r>
              <w:rPr>
                <w:rFonts w:ascii="Garamond" w:hAnsi="Garamond"/>
                <w:sz w:val="18"/>
                <w:szCs w:val="18"/>
              </w:rPr>
              <w:t xml:space="preserve">; P/B: </w:t>
            </w:r>
            <w:r w:rsidR="00EF5227">
              <w:rPr>
                <w:rFonts w:ascii="Garamond" w:hAnsi="Garamond"/>
                <w:sz w:val="18"/>
                <w:szCs w:val="18"/>
              </w:rPr>
              <w:t>3.34</w:t>
            </w:r>
            <w:r>
              <w:rPr>
                <w:rFonts w:ascii="Garamond" w:hAnsi="Garamond"/>
                <w:sz w:val="18"/>
                <w:szCs w:val="18"/>
              </w:rPr>
              <w:t>x</w:t>
            </w:r>
            <w:bookmarkStart w:id="0" w:name="_GoBack"/>
            <w:bookmarkEnd w:id="0"/>
          </w:p>
        </w:tc>
        <w:tc>
          <w:tcPr>
            <w:tcW w:w="2717" w:type="dxa"/>
          </w:tcPr>
          <w:p w14:paraId="3F38E861" w14:textId="77777777" w:rsidR="00685D13" w:rsidRPr="00E050E1" w:rsidRDefault="00685D13" w:rsidP="00803EDD">
            <w:pPr>
              <w:rPr>
                <w:rFonts w:ascii="Garamond" w:hAnsi="Garamond"/>
                <w:b/>
                <w:sz w:val="22"/>
                <w:szCs w:val="22"/>
              </w:rPr>
            </w:pPr>
            <w:r w:rsidRPr="00E050E1">
              <w:rPr>
                <w:rFonts w:ascii="Garamond" w:hAnsi="Garamond"/>
                <w:b/>
                <w:sz w:val="22"/>
                <w:szCs w:val="22"/>
              </w:rPr>
              <w:t>Key Financials</w:t>
            </w:r>
          </w:p>
          <w:p w14:paraId="05379F2B" w14:textId="1516F1CC" w:rsidR="00685D13" w:rsidRPr="00D920E6" w:rsidRDefault="00685D13" w:rsidP="00803EDD">
            <w:pPr>
              <w:rPr>
                <w:rFonts w:ascii="Garamond" w:hAnsi="Garamond"/>
                <w:sz w:val="18"/>
                <w:szCs w:val="18"/>
              </w:rPr>
            </w:pPr>
            <w:r w:rsidRPr="00D920E6">
              <w:rPr>
                <w:rFonts w:ascii="Garamond" w:hAnsi="Garamond"/>
                <w:sz w:val="18"/>
                <w:szCs w:val="18"/>
              </w:rPr>
              <w:t xml:space="preserve">ROA: </w:t>
            </w:r>
            <w:r w:rsidR="00EF5227">
              <w:rPr>
                <w:rFonts w:ascii="Garamond" w:hAnsi="Garamond"/>
                <w:sz w:val="18"/>
                <w:szCs w:val="18"/>
              </w:rPr>
              <w:t>5.92</w:t>
            </w:r>
            <w:r w:rsidRPr="00D920E6">
              <w:rPr>
                <w:rFonts w:ascii="Garamond" w:hAnsi="Garamond"/>
                <w:sz w:val="18"/>
                <w:szCs w:val="18"/>
              </w:rPr>
              <w:t>%</w:t>
            </w:r>
          </w:p>
          <w:p w14:paraId="41E1E480" w14:textId="71D5C2DF" w:rsidR="00685D13" w:rsidRPr="00D920E6" w:rsidRDefault="00685D13" w:rsidP="00803EDD">
            <w:pPr>
              <w:rPr>
                <w:rFonts w:ascii="Garamond" w:hAnsi="Garamond"/>
                <w:sz w:val="18"/>
                <w:szCs w:val="18"/>
              </w:rPr>
            </w:pPr>
            <w:r w:rsidRPr="00D920E6">
              <w:rPr>
                <w:rFonts w:ascii="Garamond" w:hAnsi="Garamond"/>
                <w:sz w:val="18"/>
                <w:szCs w:val="18"/>
              </w:rPr>
              <w:t xml:space="preserve">ROE: </w:t>
            </w:r>
            <w:r w:rsidR="00EF5227">
              <w:rPr>
                <w:rFonts w:ascii="Garamond" w:hAnsi="Garamond"/>
                <w:sz w:val="18"/>
                <w:szCs w:val="18"/>
              </w:rPr>
              <w:t>12.57</w:t>
            </w:r>
            <w:r w:rsidRPr="00D920E6">
              <w:rPr>
                <w:rFonts w:ascii="Garamond" w:hAnsi="Garamond"/>
                <w:sz w:val="18"/>
                <w:szCs w:val="18"/>
              </w:rPr>
              <w:t>%</w:t>
            </w:r>
          </w:p>
          <w:p w14:paraId="1207DEF7" w14:textId="7712B5B3" w:rsidR="00685D13" w:rsidRPr="00D920E6" w:rsidRDefault="00685D13" w:rsidP="00803EDD">
            <w:pPr>
              <w:rPr>
                <w:rFonts w:ascii="Garamond" w:hAnsi="Garamond"/>
                <w:sz w:val="18"/>
                <w:szCs w:val="18"/>
              </w:rPr>
            </w:pPr>
            <w:r w:rsidRPr="00D920E6">
              <w:rPr>
                <w:rFonts w:ascii="Garamond" w:hAnsi="Garamond"/>
                <w:sz w:val="18"/>
                <w:szCs w:val="18"/>
              </w:rPr>
              <w:t xml:space="preserve">Margin: </w:t>
            </w:r>
            <w:r w:rsidR="00EF5227">
              <w:rPr>
                <w:rFonts w:ascii="Garamond" w:hAnsi="Garamond"/>
                <w:sz w:val="18"/>
                <w:szCs w:val="18"/>
              </w:rPr>
              <w:t>14.74</w:t>
            </w:r>
            <w:r w:rsidRPr="00D920E6">
              <w:rPr>
                <w:rFonts w:ascii="Garamond" w:hAnsi="Garamond"/>
                <w:sz w:val="18"/>
                <w:szCs w:val="18"/>
              </w:rPr>
              <w:t>%</w:t>
            </w:r>
          </w:p>
          <w:p w14:paraId="530162C0" w14:textId="7384CFC0" w:rsidR="00685D13" w:rsidRPr="002A76FD" w:rsidRDefault="00685D13" w:rsidP="00803EDD">
            <w:pPr>
              <w:rPr>
                <w:rFonts w:ascii="Garamond" w:hAnsi="Garamond"/>
                <w:sz w:val="18"/>
                <w:szCs w:val="18"/>
              </w:rPr>
            </w:pPr>
            <w:r>
              <w:rPr>
                <w:rFonts w:ascii="Garamond" w:hAnsi="Garamond"/>
                <w:sz w:val="18"/>
                <w:szCs w:val="18"/>
              </w:rPr>
              <w:t>Net Income 2015: $</w:t>
            </w:r>
            <w:r w:rsidR="00EF5227">
              <w:rPr>
                <w:rFonts w:ascii="Garamond" w:hAnsi="Garamond"/>
                <w:sz w:val="18"/>
                <w:szCs w:val="18"/>
              </w:rPr>
              <w:t>436.9M</w:t>
            </w:r>
          </w:p>
        </w:tc>
      </w:tr>
      <w:tr w:rsidR="00685D13" w14:paraId="1492DB39" w14:textId="77777777" w:rsidTr="00803EDD">
        <w:trPr>
          <w:trHeight w:val="156"/>
        </w:trPr>
        <w:tc>
          <w:tcPr>
            <w:tcW w:w="3124" w:type="dxa"/>
          </w:tcPr>
          <w:p w14:paraId="779C7865" w14:textId="77777777" w:rsidR="00685D13" w:rsidRPr="0009674E" w:rsidRDefault="00685D13" w:rsidP="00803EDD">
            <w:pPr>
              <w:rPr>
                <w:rFonts w:ascii="Garamond" w:hAnsi="Garamond"/>
                <w:b/>
                <w:sz w:val="2"/>
                <w:szCs w:val="2"/>
              </w:rPr>
            </w:pPr>
          </w:p>
        </w:tc>
        <w:tc>
          <w:tcPr>
            <w:tcW w:w="2717" w:type="dxa"/>
          </w:tcPr>
          <w:p w14:paraId="48C3A4B7" w14:textId="77777777" w:rsidR="00685D13" w:rsidRPr="0009674E" w:rsidRDefault="00685D13" w:rsidP="00803EDD">
            <w:pPr>
              <w:rPr>
                <w:rFonts w:ascii="Garamond" w:hAnsi="Garamond"/>
                <w:b/>
                <w:sz w:val="2"/>
                <w:szCs w:val="2"/>
              </w:rPr>
            </w:pPr>
          </w:p>
        </w:tc>
      </w:tr>
    </w:tbl>
    <w:p w14:paraId="60F0CBE8" w14:textId="77777777" w:rsidR="00685D13" w:rsidRDefault="00685D13" w:rsidP="00685D13">
      <w:pPr>
        <w:rPr>
          <w:rFonts w:ascii="Garamond" w:hAnsi="Garamond"/>
          <w:b/>
          <w:sz w:val="22"/>
          <w:szCs w:val="22"/>
        </w:rPr>
      </w:pPr>
      <w:r w:rsidRPr="00D604B1">
        <w:rPr>
          <w:rFonts w:ascii="Garamond" w:hAnsi="Garamond"/>
          <w:b/>
          <w:sz w:val="22"/>
          <w:szCs w:val="22"/>
        </w:rPr>
        <w:t>Corporate Social Responsibility</w:t>
      </w:r>
    </w:p>
    <w:p w14:paraId="58446C22" w14:textId="77777777" w:rsidR="00D604B1" w:rsidRDefault="00D604B1" w:rsidP="00D604B1">
      <w:pPr>
        <w:rPr>
          <w:rFonts w:ascii="Garamond" w:hAnsi="Garamond" w:cs="Arial"/>
          <w:color w:val="000000"/>
          <w:sz w:val="18"/>
          <w:szCs w:val="18"/>
        </w:rPr>
      </w:pPr>
      <w:proofErr w:type="spellStart"/>
      <w:r>
        <w:rPr>
          <w:rFonts w:ascii="Garamond" w:hAnsi="Garamond" w:cs="Arial"/>
          <w:color w:val="000000"/>
          <w:sz w:val="18"/>
          <w:szCs w:val="18"/>
        </w:rPr>
        <w:t>Sustainalytics</w:t>
      </w:r>
      <w:proofErr w:type="spellEnd"/>
      <w:r>
        <w:rPr>
          <w:rFonts w:ascii="Garamond" w:hAnsi="Garamond" w:cs="Arial"/>
          <w:color w:val="000000"/>
          <w:sz w:val="18"/>
          <w:szCs w:val="18"/>
        </w:rPr>
        <w:t xml:space="preserve"> Rank: 29.3 (100 is better) </w:t>
      </w:r>
    </w:p>
    <w:p w14:paraId="53F52A71" w14:textId="77777777" w:rsidR="00D604B1" w:rsidRPr="00D920E6" w:rsidRDefault="00D604B1" w:rsidP="00D604B1">
      <w:pPr>
        <w:rPr>
          <w:rFonts w:ascii="Garamond" w:hAnsi="Garamond" w:cs="Times New Roman"/>
          <w:sz w:val="18"/>
          <w:szCs w:val="18"/>
        </w:rPr>
      </w:pPr>
      <w:r>
        <w:rPr>
          <w:rFonts w:ascii="Garamond" w:hAnsi="Garamond" w:cs="Arial"/>
          <w:color w:val="000000"/>
          <w:sz w:val="18"/>
          <w:szCs w:val="18"/>
        </w:rPr>
        <w:t>Institutional Shareholder Services Quality Score: 2 (1-10, 10 is higher risk)</w:t>
      </w:r>
    </w:p>
    <w:p w14:paraId="7F6A25EF" w14:textId="77777777" w:rsidR="00D604B1" w:rsidRDefault="00D604B1" w:rsidP="00D604B1">
      <w:pPr>
        <w:rPr>
          <w:rFonts w:ascii="Garamond" w:hAnsi="Garamond" w:cs="Arial"/>
          <w:color w:val="000000"/>
          <w:sz w:val="18"/>
          <w:szCs w:val="18"/>
        </w:rPr>
      </w:pPr>
      <w:r>
        <w:rPr>
          <w:rFonts w:ascii="Garamond" w:hAnsi="Garamond" w:cs="Arial"/>
          <w:color w:val="000000"/>
          <w:sz w:val="18"/>
          <w:szCs w:val="18"/>
        </w:rPr>
        <w:t>Women Directors %</w:t>
      </w:r>
      <w:r w:rsidRPr="00D920E6">
        <w:rPr>
          <w:rFonts w:ascii="Garamond" w:hAnsi="Garamond" w:cs="Arial"/>
          <w:color w:val="000000"/>
          <w:sz w:val="18"/>
          <w:szCs w:val="18"/>
        </w:rPr>
        <w:t>:</w:t>
      </w:r>
      <w:r>
        <w:rPr>
          <w:rFonts w:ascii="Garamond" w:hAnsi="Garamond" w:cs="Arial"/>
          <w:color w:val="000000"/>
          <w:sz w:val="18"/>
          <w:szCs w:val="18"/>
        </w:rPr>
        <w:t xml:space="preserve"> 11.1%</w:t>
      </w:r>
      <w:r w:rsidRPr="00D920E6">
        <w:rPr>
          <w:rFonts w:ascii="Garamond" w:hAnsi="Garamond" w:cs="Arial"/>
          <w:color w:val="000000"/>
          <w:sz w:val="18"/>
          <w:szCs w:val="18"/>
        </w:rPr>
        <w:t xml:space="preserve"> (Industry average: </w:t>
      </w:r>
      <w:r>
        <w:rPr>
          <w:rFonts w:ascii="Garamond" w:hAnsi="Garamond" w:cs="Arial"/>
          <w:color w:val="000000"/>
          <w:sz w:val="18"/>
          <w:szCs w:val="18"/>
        </w:rPr>
        <w:t>11.8%</w:t>
      </w:r>
      <w:r w:rsidRPr="00D920E6">
        <w:rPr>
          <w:rFonts w:ascii="Garamond" w:hAnsi="Garamond" w:cs="Arial"/>
          <w:color w:val="000000"/>
          <w:sz w:val="18"/>
          <w:szCs w:val="18"/>
        </w:rPr>
        <w:t>)</w:t>
      </w:r>
    </w:p>
    <w:p w14:paraId="263E4FD1" w14:textId="77777777" w:rsidR="00D604B1" w:rsidRDefault="00D604B1" w:rsidP="00D604B1">
      <w:pPr>
        <w:rPr>
          <w:rFonts w:ascii="Garamond" w:hAnsi="Garamond" w:cs="Arial"/>
          <w:color w:val="000000"/>
          <w:sz w:val="18"/>
          <w:szCs w:val="18"/>
        </w:rPr>
      </w:pPr>
      <w:r>
        <w:rPr>
          <w:rFonts w:ascii="Garamond" w:hAnsi="Garamond" w:cs="Arial"/>
          <w:color w:val="000000"/>
          <w:sz w:val="18"/>
          <w:szCs w:val="18"/>
        </w:rPr>
        <w:t>Average Exec. Compensation</w:t>
      </w:r>
      <w:r w:rsidRPr="00D920E6">
        <w:rPr>
          <w:rFonts w:ascii="Garamond" w:hAnsi="Garamond" w:cs="Arial"/>
          <w:color w:val="000000"/>
          <w:sz w:val="18"/>
          <w:szCs w:val="18"/>
        </w:rPr>
        <w:t xml:space="preserve">: </w:t>
      </w:r>
      <w:r>
        <w:rPr>
          <w:rFonts w:ascii="Garamond" w:hAnsi="Garamond" w:cs="Arial"/>
          <w:color w:val="000000"/>
          <w:sz w:val="18"/>
          <w:szCs w:val="18"/>
        </w:rPr>
        <w:t>$4.4 million</w:t>
      </w:r>
      <w:r w:rsidRPr="00D920E6">
        <w:rPr>
          <w:rFonts w:ascii="Garamond" w:hAnsi="Garamond" w:cs="Arial"/>
          <w:color w:val="000000"/>
          <w:sz w:val="18"/>
          <w:szCs w:val="18"/>
        </w:rPr>
        <w:t xml:space="preserve"> (Industry average: </w:t>
      </w:r>
      <w:r>
        <w:rPr>
          <w:rFonts w:ascii="Garamond" w:hAnsi="Garamond" w:cs="Arial"/>
          <w:color w:val="000000"/>
          <w:sz w:val="18"/>
          <w:szCs w:val="18"/>
        </w:rPr>
        <w:t>$1.8 million</w:t>
      </w:r>
      <w:r w:rsidRPr="00D920E6">
        <w:rPr>
          <w:rFonts w:ascii="Garamond" w:hAnsi="Garamond" w:cs="Arial"/>
          <w:color w:val="000000"/>
          <w:sz w:val="18"/>
          <w:szCs w:val="18"/>
        </w:rPr>
        <w:t>)</w:t>
      </w:r>
    </w:p>
    <w:p w14:paraId="2B1D3EF4" w14:textId="77777777" w:rsidR="00685D13" w:rsidRPr="0009674E" w:rsidRDefault="00685D13" w:rsidP="00685D13">
      <w:pPr>
        <w:rPr>
          <w:rFonts w:ascii="Garamond" w:hAnsi="Garamond"/>
          <w:b/>
          <w:sz w:val="10"/>
          <w:szCs w:val="10"/>
        </w:rPr>
      </w:pPr>
    </w:p>
    <w:p w14:paraId="1C04DB5A" w14:textId="77777777" w:rsidR="00685D13" w:rsidRDefault="00685D13" w:rsidP="00685D13">
      <w:pPr>
        <w:rPr>
          <w:rFonts w:ascii="Garamond" w:hAnsi="Garamond"/>
          <w:b/>
        </w:rPr>
      </w:pPr>
      <w:r w:rsidRPr="00DC65EB">
        <w:rPr>
          <w:rFonts w:ascii="Garamond" w:hAnsi="Garamond"/>
          <w:b/>
        </w:rPr>
        <w:t>5-Year Stock Performance</w:t>
      </w:r>
      <w:r>
        <w:rPr>
          <w:rFonts w:ascii="Garamond" w:hAnsi="Garamond"/>
          <w:b/>
        </w:rPr>
        <w:t xml:space="preserve"> </w:t>
      </w:r>
    </w:p>
    <w:p w14:paraId="015FD4D4" w14:textId="1ECA994E" w:rsidR="00685D13" w:rsidRDefault="00292066" w:rsidP="00685D13">
      <w:pPr>
        <w:rPr>
          <w:noProof/>
        </w:rPr>
      </w:pPr>
      <w:r w:rsidRPr="00292066">
        <w:rPr>
          <w:noProof/>
        </w:rPr>
        <w:drawing>
          <wp:inline distT="0" distB="0" distL="0" distR="0" wp14:anchorId="5D68064C" wp14:editId="74E3829D">
            <wp:extent cx="3463290" cy="139413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3463290" cy="1394135"/>
                    </a:xfrm>
                    <a:prstGeom prst="rect">
                      <a:avLst/>
                    </a:prstGeom>
                  </pic:spPr>
                </pic:pic>
              </a:graphicData>
            </a:graphic>
          </wp:inline>
        </w:drawing>
      </w:r>
      <w:r w:rsidR="00685D13">
        <w:rPr>
          <w:noProof/>
        </w:rPr>
        <w:t xml:space="preserve"> </w:t>
      </w:r>
    </w:p>
    <w:p w14:paraId="30BBABC0" w14:textId="77777777" w:rsidR="00292066" w:rsidRPr="00EA701E" w:rsidRDefault="00292066" w:rsidP="00685D13">
      <w:pPr>
        <w:rPr>
          <w:noProof/>
        </w:rPr>
      </w:pPr>
    </w:p>
    <w:p w14:paraId="54748748" w14:textId="77777777" w:rsidR="00685D13" w:rsidRDefault="00685D13" w:rsidP="00685D13">
      <w:pPr>
        <w:jc w:val="both"/>
        <w:rPr>
          <w:rFonts w:ascii="Garamond" w:hAnsi="Garamond"/>
          <w:b/>
          <w:sz w:val="22"/>
          <w:szCs w:val="22"/>
        </w:rPr>
      </w:pPr>
      <w:r w:rsidRPr="00DC32E6">
        <w:rPr>
          <w:rFonts w:ascii="Garamond" w:hAnsi="Garamond"/>
          <w:b/>
          <w:sz w:val="22"/>
          <w:szCs w:val="22"/>
        </w:rPr>
        <w:t>Competitive Analysis</w:t>
      </w:r>
    </w:p>
    <w:p w14:paraId="3E39B022" w14:textId="3C33236D" w:rsidR="00DC32E6" w:rsidRDefault="00DC32E6" w:rsidP="00685D13">
      <w:pPr>
        <w:rPr>
          <w:rFonts w:ascii="Garamond" w:eastAsia="Times New Roman" w:hAnsi="Garamond" w:cs="Arial"/>
          <w:color w:val="000000"/>
          <w:sz w:val="20"/>
          <w:szCs w:val="20"/>
        </w:rPr>
      </w:pPr>
      <w:r>
        <w:rPr>
          <w:rFonts w:ascii="Garamond" w:eastAsia="Times New Roman" w:hAnsi="Garamond" w:cs="Arial"/>
          <w:color w:val="000000"/>
          <w:sz w:val="20"/>
          <w:szCs w:val="20"/>
        </w:rPr>
        <w:t>Quest Diagnostics, Sonic Healthcare – Medical diagnostics and multidisciplinary medical practices companies, compete with LCD</w:t>
      </w:r>
    </w:p>
    <w:p w14:paraId="32D311F9" w14:textId="696EA86F" w:rsidR="00685D13" w:rsidRPr="00DC32E6" w:rsidRDefault="00DC32E6" w:rsidP="00685D13">
      <w:pPr>
        <w:rPr>
          <w:rFonts w:ascii="Garamond" w:eastAsia="Times New Roman" w:hAnsi="Garamond" w:cs="Arial"/>
          <w:color w:val="000000"/>
          <w:sz w:val="20"/>
          <w:szCs w:val="20"/>
        </w:rPr>
      </w:pPr>
      <w:r>
        <w:rPr>
          <w:rFonts w:ascii="Garamond" w:eastAsia="Times New Roman" w:hAnsi="Garamond" w:cs="Arial"/>
          <w:color w:val="000000"/>
          <w:sz w:val="20"/>
          <w:szCs w:val="20"/>
        </w:rPr>
        <w:t>Quintiles – Contract Research Organization, competes with CDD</w:t>
      </w:r>
    </w:p>
    <w:p w14:paraId="66654F34" w14:textId="77777777" w:rsidR="00685D13" w:rsidRPr="0009674E" w:rsidRDefault="00685D13" w:rsidP="00685D13">
      <w:pPr>
        <w:rPr>
          <w:rFonts w:ascii="Garamond" w:eastAsia="Times New Roman" w:hAnsi="Garamond" w:cs="Arial"/>
          <w:color w:val="000000"/>
          <w:sz w:val="10"/>
          <w:szCs w:val="10"/>
        </w:rPr>
      </w:pPr>
    </w:p>
    <w:p w14:paraId="579C5E3F" w14:textId="77777777" w:rsidR="00685D13" w:rsidRPr="00C21B3D" w:rsidRDefault="00685D13" w:rsidP="00685D13">
      <w:pPr>
        <w:rPr>
          <w:rFonts w:ascii="Garamond" w:eastAsia="Times New Roman" w:hAnsi="Garamond" w:cs="Arial"/>
          <w:b/>
          <w:color w:val="000000"/>
          <w:sz w:val="22"/>
          <w:szCs w:val="22"/>
        </w:rPr>
      </w:pPr>
      <w:r w:rsidRPr="008F499A">
        <w:rPr>
          <w:rFonts w:ascii="Garamond" w:eastAsia="Times New Roman" w:hAnsi="Garamond" w:cs="Arial"/>
          <w:b/>
          <w:color w:val="000000"/>
          <w:sz w:val="22"/>
          <w:szCs w:val="22"/>
        </w:rPr>
        <w:t>Competitive Advantages</w:t>
      </w:r>
    </w:p>
    <w:p w14:paraId="21CD7A30" w14:textId="6D21F6A2" w:rsidR="00685D13" w:rsidRDefault="006263B1" w:rsidP="00685D13">
      <w:pP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LabCorp enjoys a number of competitive advantages. They are </w:t>
      </w:r>
      <w:r w:rsidR="002B1A12">
        <w:rPr>
          <w:rFonts w:ascii="Garamond" w:eastAsia="Times New Roman" w:hAnsi="Garamond" w:cs="Times New Roman"/>
          <w:color w:val="000000"/>
          <w:sz w:val="20"/>
          <w:szCs w:val="20"/>
        </w:rPr>
        <w:t xml:space="preserve">constantly </w:t>
      </w:r>
      <w:r>
        <w:rPr>
          <w:rFonts w:ascii="Garamond" w:eastAsia="Times New Roman" w:hAnsi="Garamond" w:cs="Times New Roman"/>
          <w:color w:val="000000"/>
          <w:sz w:val="20"/>
          <w:szCs w:val="20"/>
        </w:rPr>
        <w:t xml:space="preserve">developing new, </w:t>
      </w:r>
      <w:r w:rsidR="002B1A12">
        <w:rPr>
          <w:rFonts w:ascii="Garamond" w:eastAsia="Times New Roman" w:hAnsi="Garamond" w:cs="Times New Roman"/>
          <w:color w:val="000000"/>
          <w:sz w:val="20"/>
          <w:szCs w:val="20"/>
        </w:rPr>
        <w:t>technologically</w:t>
      </w:r>
      <w:r>
        <w:rPr>
          <w:rFonts w:ascii="Garamond" w:eastAsia="Times New Roman" w:hAnsi="Garamond" w:cs="Times New Roman"/>
          <w:color w:val="000000"/>
          <w:sz w:val="20"/>
          <w:szCs w:val="20"/>
        </w:rPr>
        <w:t xml:space="preserve"> advanced tests</w:t>
      </w:r>
      <w:r w:rsidR="002B1A12">
        <w:rPr>
          <w:rFonts w:ascii="Garamond" w:eastAsia="Times New Roman" w:hAnsi="Garamond" w:cs="Times New Roman"/>
          <w:color w:val="000000"/>
          <w:sz w:val="20"/>
          <w:szCs w:val="20"/>
        </w:rPr>
        <w:t xml:space="preserve"> with a focus on applying molecular diagnostics to different testing areas. They are improving the user experien</w:t>
      </w:r>
      <w:r w:rsidR="00B525D7">
        <w:rPr>
          <w:rFonts w:ascii="Garamond" w:eastAsia="Times New Roman" w:hAnsi="Garamond" w:cs="Times New Roman"/>
          <w:color w:val="000000"/>
          <w:sz w:val="20"/>
          <w:szCs w:val="20"/>
        </w:rPr>
        <w:t xml:space="preserve">ce with the Lab Corp Beacon platform, and they are using population health analytics programs to supply intelligence tools to hospitals, physician practices, and ACOs. </w:t>
      </w:r>
    </w:p>
    <w:p w14:paraId="39578F19" w14:textId="65E094F2" w:rsidR="00B525D7" w:rsidRDefault="00B525D7" w:rsidP="00685D13">
      <w:pP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After the Covance acquisition, LabCorp is vertically integrated, and positioned to help pharmaceutical companies develop drugs from inception all the way to market. Finally, their global presence allows them to assist with global clinical trials</w:t>
      </w:r>
      <w:r w:rsidR="008F499A">
        <w:rPr>
          <w:rFonts w:ascii="Garamond" w:eastAsia="Times New Roman" w:hAnsi="Garamond" w:cs="Times New Roman"/>
          <w:color w:val="000000"/>
          <w:sz w:val="20"/>
          <w:szCs w:val="20"/>
        </w:rPr>
        <w:t>.</w:t>
      </w:r>
      <w:r>
        <w:rPr>
          <w:rFonts w:ascii="Garamond" w:eastAsia="Times New Roman" w:hAnsi="Garamond" w:cs="Times New Roman"/>
          <w:color w:val="000000"/>
          <w:sz w:val="20"/>
          <w:szCs w:val="20"/>
        </w:rPr>
        <w:t xml:space="preserve"> </w:t>
      </w:r>
    </w:p>
    <w:p w14:paraId="1972102E" w14:textId="77777777" w:rsidR="006263B1" w:rsidRPr="0009674E" w:rsidRDefault="006263B1" w:rsidP="00685D13">
      <w:pPr>
        <w:rPr>
          <w:rFonts w:ascii="Garamond" w:eastAsia="Times New Roman" w:hAnsi="Garamond" w:cs="Arial"/>
          <w:color w:val="000000"/>
          <w:sz w:val="10"/>
          <w:szCs w:val="10"/>
        </w:rPr>
      </w:pPr>
    </w:p>
    <w:p w14:paraId="62D54BE4" w14:textId="77777777" w:rsidR="00685D13" w:rsidRPr="00E050E1" w:rsidRDefault="00685D13" w:rsidP="00685D13">
      <w:pPr>
        <w:rPr>
          <w:rFonts w:ascii="Garamond" w:hAnsi="Garamond"/>
          <w:b/>
          <w:sz w:val="22"/>
          <w:szCs w:val="22"/>
        </w:rPr>
      </w:pPr>
      <w:r w:rsidRPr="00161639">
        <w:rPr>
          <w:rFonts w:ascii="Garamond" w:hAnsi="Garamond"/>
          <w:b/>
          <w:sz w:val="22"/>
          <w:szCs w:val="22"/>
        </w:rPr>
        <w:t>Risks</w:t>
      </w:r>
      <w:r>
        <w:rPr>
          <w:rFonts w:ascii="Garamond" w:hAnsi="Garamond"/>
          <w:b/>
          <w:sz w:val="22"/>
          <w:szCs w:val="22"/>
        </w:rPr>
        <w:t xml:space="preserve"> </w:t>
      </w:r>
    </w:p>
    <w:p w14:paraId="2D93D6F2" w14:textId="4FCAD96A" w:rsidR="00685D13" w:rsidRDefault="00EC2D33" w:rsidP="00685D13">
      <w:pPr>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Operational Risk: </w:t>
      </w:r>
      <w:r w:rsidR="00161639">
        <w:rPr>
          <w:rFonts w:ascii="Garamond" w:eastAsia="Times New Roman" w:hAnsi="Garamond" w:cs="Times New Roman"/>
          <w:color w:val="000000"/>
          <w:sz w:val="20"/>
          <w:szCs w:val="20"/>
        </w:rPr>
        <w:t>LabCorp faces operational risks including cybersecurity risk and disruption of third party services used for transportation of samples.</w:t>
      </w:r>
    </w:p>
    <w:p w14:paraId="3403A14F" w14:textId="5D99457C" w:rsidR="00161639" w:rsidRPr="00F506DD" w:rsidRDefault="00161639" w:rsidP="00685D13">
      <w:pPr>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Political Risk: LabCorp is impacted by changes in government healthcare policy. The current political climate is unpredictable, and although it appears likely that the ACA will be repealed, there is no indication of how the replacement will affect LabCorp. </w:t>
      </w:r>
    </w:p>
    <w:p w14:paraId="1BA9D90F" w14:textId="77777777" w:rsidR="00685D13" w:rsidRDefault="00685D13" w:rsidP="00685D13">
      <w:pPr>
        <w:rPr>
          <w:rFonts w:ascii="Garamond" w:hAnsi="Garamond"/>
          <w:sz w:val="10"/>
          <w:szCs w:val="10"/>
        </w:rPr>
      </w:pPr>
    </w:p>
    <w:p w14:paraId="7E547213" w14:textId="6D5911FB" w:rsidR="00685D13" w:rsidRDefault="00136DFA" w:rsidP="00685D13">
      <w:pPr>
        <w:rPr>
          <w:rFonts w:ascii="Garamond" w:hAnsi="Garamond"/>
          <w:sz w:val="10"/>
          <w:szCs w:val="10"/>
        </w:rPr>
      </w:pPr>
      <w:r>
        <w:rPr>
          <w:rFonts w:ascii="Garamond" w:hAnsi="Garamond"/>
          <w:sz w:val="10"/>
          <w:szCs w:val="10"/>
        </w:rPr>
        <w:tab/>
      </w:r>
    </w:p>
    <w:p w14:paraId="08A93BEA" w14:textId="77777777" w:rsidR="00685D13" w:rsidRPr="0009674E" w:rsidRDefault="00685D13" w:rsidP="00685D13">
      <w:pPr>
        <w:rPr>
          <w:rFonts w:ascii="Garamond" w:hAnsi="Garamond"/>
          <w:sz w:val="10"/>
          <w:szCs w:val="10"/>
        </w:rPr>
      </w:pPr>
    </w:p>
    <w:p w14:paraId="5F6C40F8" w14:textId="77777777" w:rsidR="00685D13" w:rsidRPr="00907FFD" w:rsidRDefault="00685D13" w:rsidP="00685D13">
      <w:pPr>
        <w:rPr>
          <w:rFonts w:ascii="Garamond" w:hAnsi="Garamond"/>
          <w:b/>
          <w:sz w:val="20"/>
          <w:szCs w:val="20"/>
        </w:rPr>
      </w:pPr>
      <w:r>
        <w:rPr>
          <w:rFonts w:ascii="Garamond" w:hAnsi="Garamond"/>
          <w:b/>
          <w:sz w:val="20"/>
          <w:szCs w:val="20"/>
        </w:rPr>
        <w:t>R</w:t>
      </w:r>
      <w:r w:rsidRPr="00907FFD">
        <w:rPr>
          <w:rFonts w:ascii="Garamond" w:hAnsi="Garamond"/>
          <w:b/>
          <w:sz w:val="20"/>
          <w:szCs w:val="20"/>
        </w:rPr>
        <w:t>eport Prepared By:</w:t>
      </w:r>
    </w:p>
    <w:p w14:paraId="57055670" w14:textId="164AD5F6" w:rsidR="00685D13" w:rsidRPr="00907FFD" w:rsidRDefault="0088775A" w:rsidP="00685D13">
      <w:pPr>
        <w:rPr>
          <w:rFonts w:ascii="Garamond" w:eastAsia="Times New Roman" w:hAnsi="Garamond" w:cs="Arial"/>
          <w:color w:val="000000"/>
          <w:sz w:val="18"/>
          <w:szCs w:val="18"/>
        </w:rPr>
      </w:pPr>
      <w:r>
        <w:rPr>
          <w:rFonts w:ascii="Garamond" w:hAnsi="Garamond"/>
          <w:sz w:val="20"/>
          <w:szCs w:val="20"/>
        </w:rPr>
        <w:t>Sean Elliott &amp; Rob Tavernier</w:t>
      </w:r>
      <w:r w:rsidR="00685D13" w:rsidRPr="00907FFD">
        <w:rPr>
          <w:rFonts w:ascii="Garamond" w:hAnsi="Garamond"/>
          <w:sz w:val="20"/>
          <w:szCs w:val="20"/>
        </w:rPr>
        <w:t xml:space="preserve"> on </w:t>
      </w:r>
      <w:r w:rsidR="00AD563C">
        <w:rPr>
          <w:rFonts w:ascii="Garamond" w:hAnsi="Garamond"/>
          <w:sz w:val="20"/>
          <w:szCs w:val="20"/>
        </w:rPr>
        <w:t>1/2</w:t>
      </w:r>
      <w:r w:rsidR="00685D13">
        <w:rPr>
          <w:rFonts w:ascii="Garamond" w:hAnsi="Garamond"/>
          <w:sz w:val="20"/>
          <w:szCs w:val="20"/>
        </w:rPr>
        <w:t>5</w:t>
      </w:r>
      <w:r w:rsidR="00685D13" w:rsidRPr="00907FFD">
        <w:rPr>
          <w:rFonts w:ascii="Garamond" w:hAnsi="Garamond"/>
          <w:sz w:val="20"/>
          <w:szCs w:val="20"/>
        </w:rPr>
        <w:t>/201</w:t>
      </w:r>
      <w:r w:rsidR="00AD563C">
        <w:rPr>
          <w:rFonts w:ascii="Garamond" w:hAnsi="Garamond"/>
          <w:sz w:val="20"/>
          <w:szCs w:val="20"/>
        </w:rPr>
        <w:t>7</w:t>
      </w:r>
    </w:p>
    <w:p w14:paraId="02D1F98E" w14:textId="284B8926" w:rsidR="0046750E" w:rsidRPr="00685D13" w:rsidRDefault="00685D13" w:rsidP="00685D13">
      <w:pPr>
        <w:tabs>
          <w:tab w:val="left" w:pos="3753"/>
        </w:tabs>
        <w:rPr>
          <w:sz w:val="20"/>
          <w:szCs w:val="20"/>
        </w:rPr>
      </w:pPr>
      <w:r w:rsidRPr="00907FFD">
        <w:rPr>
          <w:rFonts w:ascii="Garamond" w:hAnsi="Garamond"/>
          <w:sz w:val="14"/>
          <w:szCs w:val="14"/>
        </w:rPr>
        <w:t xml:space="preserve">Sources: Bloomberg, </w:t>
      </w:r>
      <w:proofErr w:type="spellStart"/>
      <w:r w:rsidR="0086386B">
        <w:rPr>
          <w:rFonts w:ascii="Garamond" w:hAnsi="Garamond"/>
          <w:sz w:val="14"/>
          <w:szCs w:val="14"/>
        </w:rPr>
        <w:t>MorningStar</w:t>
      </w:r>
      <w:proofErr w:type="spellEnd"/>
      <w:r w:rsidR="0086386B">
        <w:rPr>
          <w:rFonts w:ascii="Garamond" w:hAnsi="Garamond"/>
          <w:sz w:val="14"/>
          <w:szCs w:val="14"/>
        </w:rPr>
        <w:t xml:space="preserve">, </w:t>
      </w:r>
      <w:r w:rsidRPr="00907FFD">
        <w:rPr>
          <w:rFonts w:ascii="Garamond" w:hAnsi="Garamond"/>
          <w:sz w:val="14"/>
          <w:szCs w:val="14"/>
        </w:rPr>
        <w:t>Yahoo! Finance</w:t>
      </w:r>
    </w:p>
    <w:sectPr w:rsidR="0046750E" w:rsidRPr="00685D13" w:rsidSect="00803EDD">
      <w:type w:val="continuous"/>
      <w:pgSz w:w="12240" w:h="15840"/>
      <w:pgMar w:top="1440" w:right="576" w:bottom="648" w:left="576" w:header="720" w:footer="720" w:gutter="0"/>
      <w:cols w:num="2" w:space="1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06C9C" w14:textId="77777777" w:rsidR="00D256C3" w:rsidRDefault="00D256C3">
      <w:r>
        <w:separator/>
      </w:r>
    </w:p>
  </w:endnote>
  <w:endnote w:type="continuationSeparator" w:id="0">
    <w:p w14:paraId="3CF20CCF" w14:textId="77777777" w:rsidR="00D256C3" w:rsidRDefault="00D2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472415" w14:textId="77777777" w:rsidR="00F45BE3" w:rsidRPr="00907FFD" w:rsidRDefault="00F45BE3" w:rsidP="00803EDD">
    <w:pPr>
      <w:rPr>
        <w:sz w:val="20"/>
        <w:szCs w:val="20"/>
      </w:rPr>
    </w:pPr>
    <w:r>
      <w:rPr>
        <w:noProof/>
      </w:rPr>
      <w:drawing>
        <wp:anchor distT="0" distB="0" distL="114300" distR="114300" simplePos="0" relativeHeight="251659264" behindDoc="0" locked="0" layoutInCell="1" allowOverlap="1" wp14:anchorId="1AA89D7F" wp14:editId="51AEBFAB">
          <wp:simplePos x="0" y="0"/>
          <wp:positionH relativeFrom="column">
            <wp:posOffset>5814060</wp:posOffset>
          </wp:positionH>
          <wp:positionV relativeFrom="paragraph">
            <wp:posOffset>-48895</wp:posOffset>
          </wp:positionV>
          <wp:extent cx="800100" cy="570865"/>
          <wp:effectExtent l="0" t="0" r="12700" b="0"/>
          <wp:wrapThrough wrapText="bothSides">
            <wp:wrapPolygon edited="0">
              <wp:start x="0" y="0"/>
              <wp:lineTo x="0" y="20182"/>
              <wp:lineTo x="21257" y="20182"/>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 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570865"/>
                  </a:xfrm>
                  <a:prstGeom prst="rect">
                    <a:avLst/>
                  </a:prstGeom>
                </pic:spPr>
              </pic:pic>
            </a:graphicData>
          </a:graphic>
          <wp14:sizeRelH relativeFrom="page">
            <wp14:pctWidth>0</wp14:pctWidth>
          </wp14:sizeRelH>
          <wp14:sizeRelV relativeFrom="page">
            <wp14:pctHeight>0</wp14:pctHeight>
          </wp14:sizeRelV>
        </wp:anchor>
      </w:drawing>
    </w:r>
  </w:p>
  <w:p w14:paraId="4D3FEE14" w14:textId="77777777" w:rsidR="00F45BE3" w:rsidRDefault="00F45B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90264" w14:textId="77777777" w:rsidR="00D256C3" w:rsidRDefault="00D256C3">
      <w:r>
        <w:separator/>
      </w:r>
    </w:p>
  </w:footnote>
  <w:footnote w:type="continuationSeparator" w:id="0">
    <w:p w14:paraId="76942133" w14:textId="77777777" w:rsidR="00D256C3" w:rsidRDefault="00D256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85D0F8" w14:textId="77777777" w:rsidR="00F45BE3" w:rsidRDefault="00080705">
    <w:pPr>
      <w:pStyle w:val="Header"/>
    </w:pPr>
    <w:r>
      <w:rPr>
        <w:noProof/>
      </w:rPr>
      <w:pict w14:anchorId="0435B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28.5pt;height:228.5pt;z-index:-251655168;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2A3D2C" w14:textId="77777777" w:rsidR="00F45BE3" w:rsidRPr="00FF572C" w:rsidRDefault="00080705">
    <w:pPr>
      <w:pStyle w:val="Header"/>
      <w:rPr>
        <w:rFonts w:ascii="Garamond" w:hAnsi="Garamond"/>
        <w:b/>
        <w:sz w:val="32"/>
        <w:szCs w:val="32"/>
      </w:rPr>
    </w:pPr>
    <w:r>
      <w:rPr>
        <w:rFonts w:ascii="Garamond" w:hAnsi="Garamond"/>
        <w:b/>
        <w:noProof/>
        <w:sz w:val="32"/>
        <w:szCs w:val="32"/>
      </w:rPr>
      <w:pict w14:anchorId="1ACBE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28.5pt;height:228.5pt;z-index:-251656192;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B06A7" w14:textId="77777777" w:rsidR="00F45BE3" w:rsidRDefault="00080705">
    <w:pPr>
      <w:pStyle w:val="Header"/>
    </w:pPr>
    <w:r>
      <w:rPr>
        <w:noProof/>
      </w:rPr>
      <w:pict w14:anchorId="37FBD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28.5pt;height:228.5pt;z-index:-251654144;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E4E00"/>
    <w:multiLevelType w:val="hybridMultilevel"/>
    <w:tmpl w:val="55E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13"/>
    <w:rsid w:val="00041EED"/>
    <w:rsid w:val="00077BA7"/>
    <w:rsid w:val="00080705"/>
    <w:rsid w:val="000D0FA6"/>
    <w:rsid w:val="000F1E4C"/>
    <w:rsid w:val="00111949"/>
    <w:rsid w:val="00136DFA"/>
    <w:rsid w:val="00161639"/>
    <w:rsid w:val="002177DB"/>
    <w:rsid w:val="00292066"/>
    <w:rsid w:val="002B1A12"/>
    <w:rsid w:val="003816B2"/>
    <w:rsid w:val="003B774D"/>
    <w:rsid w:val="003D5DD6"/>
    <w:rsid w:val="00421B2A"/>
    <w:rsid w:val="00434DA8"/>
    <w:rsid w:val="0046750E"/>
    <w:rsid w:val="004C1339"/>
    <w:rsid w:val="005302C8"/>
    <w:rsid w:val="00570B41"/>
    <w:rsid w:val="005E18D9"/>
    <w:rsid w:val="006115A4"/>
    <w:rsid w:val="006263B1"/>
    <w:rsid w:val="00631691"/>
    <w:rsid w:val="006415F3"/>
    <w:rsid w:val="00685D13"/>
    <w:rsid w:val="00691231"/>
    <w:rsid w:val="006E7726"/>
    <w:rsid w:val="00730329"/>
    <w:rsid w:val="00776620"/>
    <w:rsid w:val="007A0D5F"/>
    <w:rsid w:val="00803EDD"/>
    <w:rsid w:val="00806323"/>
    <w:rsid w:val="008263DE"/>
    <w:rsid w:val="00837A09"/>
    <w:rsid w:val="0086386B"/>
    <w:rsid w:val="00881E09"/>
    <w:rsid w:val="00883861"/>
    <w:rsid w:val="0088775A"/>
    <w:rsid w:val="00895BC1"/>
    <w:rsid w:val="008E51FD"/>
    <w:rsid w:val="008F499A"/>
    <w:rsid w:val="00927DA5"/>
    <w:rsid w:val="009E660A"/>
    <w:rsid w:val="00A0513C"/>
    <w:rsid w:val="00A07CD8"/>
    <w:rsid w:val="00A23FA7"/>
    <w:rsid w:val="00AB46DC"/>
    <w:rsid w:val="00AD563C"/>
    <w:rsid w:val="00B3512A"/>
    <w:rsid w:val="00B525D7"/>
    <w:rsid w:val="00B578C4"/>
    <w:rsid w:val="00B8393C"/>
    <w:rsid w:val="00BD0331"/>
    <w:rsid w:val="00C24984"/>
    <w:rsid w:val="00C45806"/>
    <w:rsid w:val="00C50266"/>
    <w:rsid w:val="00C64790"/>
    <w:rsid w:val="00C70CFB"/>
    <w:rsid w:val="00CE06D1"/>
    <w:rsid w:val="00D06661"/>
    <w:rsid w:val="00D256C3"/>
    <w:rsid w:val="00D604B1"/>
    <w:rsid w:val="00DB5F39"/>
    <w:rsid w:val="00DB7484"/>
    <w:rsid w:val="00DC32E6"/>
    <w:rsid w:val="00EC2D33"/>
    <w:rsid w:val="00EE36A4"/>
    <w:rsid w:val="00EF5227"/>
    <w:rsid w:val="00EF72D8"/>
    <w:rsid w:val="00F307C6"/>
    <w:rsid w:val="00F33125"/>
    <w:rsid w:val="00F346D9"/>
    <w:rsid w:val="00F459A3"/>
    <w:rsid w:val="00F45BE3"/>
    <w:rsid w:val="00F83572"/>
    <w:rsid w:val="00F84258"/>
    <w:rsid w:val="00FA5C8E"/>
    <w:rsid w:val="00FA7AB8"/>
    <w:rsid w:val="00FB475F"/>
    <w:rsid w:val="00FC7404"/>
    <w:rsid w:val="00FD16D9"/>
    <w:rsid w:val="00FF3561"/>
    <w:rsid w:val="00FF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BDB4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13"/>
    <w:pPr>
      <w:tabs>
        <w:tab w:val="center" w:pos="4320"/>
        <w:tab w:val="right" w:pos="8640"/>
      </w:tabs>
    </w:pPr>
  </w:style>
  <w:style w:type="character" w:customStyle="1" w:styleId="HeaderChar">
    <w:name w:val="Header Char"/>
    <w:basedOn w:val="DefaultParagraphFont"/>
    <w:link w:val="Header"/>
    <w:uiPriority w:val="99"/>
    <w:rsid w:val="00685D13"/>
  </w:style>
  <w:style w:type="paragraph" w:styleId="Footer">
    <w:name w:val="footer"/>
    <w:basedOn w:val="Normal"/>
    <w:link w:val="FooterChar"/>
    <w:uiPriority w:val="99"/>
    <w:unhideWhenUsed/>
    <w:rsid w:val="00685D13"/>
    <w:pPr>
      <w:tabs>
        <w:tab w:val="center" w:pos="4320"/>
        <w:tab w:val="right" w:pos="8640"/>
      </w:tabs>
    </w:pPr>
  </w:style>
  <w:style w:type="character" w:customStyle="1" w:styleId="FooterChar">
    <w:name w:val="Footer Char"/>
    <w:basedOn w:val="DefaultParagraphFont"/>
    <w:link w:val="Footer"/>
    <w:uiPriority w:val="99"/>
    <w:rsid w:val="00685D13"/>
  </w:style>
  <w:style w:type="table" w:styleId="TableGrid">
    <w:name w:val="Table Grid"/>
    <w:basedOn w:val="TableNormal"/>
    <w:uiPriority w:val="59"/>
    <w:rsid w:val="00685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5D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D13"/>
    <w:rPr>
      <w:rFonts w:ascii="Lucida Grande" w:hAnsi="Lucida Grande" w:cs="Lucida Grande"/>
      <w:sz w:val="18"/>
      <w:szCs w:val="18"/>
    </w:rPr>
  </w:style>
  <w:style w:type="paragraph" w:styleId="ListParagraph">
    <w:name w:val="List Paragraph"/>
    <w:basedOn w:val="Normal"/>
    <w:uiPriority w:val="34"/>
    <w:qFormat/>
    <w:rsid w:val="003816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13"/>
    <w:pPr>
      <w:tabs>
        <w:tab w:val="center" w:pos="4320"/>
        <w:tab w:val="right" w:pos="8640"/>
      </w:tabs>
    </w:pPr>
  </w:style>
  <w:style w:type="character" w:customStyle="1" w:styleId="HeaderChar">
    <w:name w:val="Header Char"/>
    <w:basedOn w:val="DefaultParagraphFont"/>
    <w:link w:val="Header"/>
    <w:uiPriority w:val="99"/>
    <w:rsid w:val="00685D13"/>
  </w:style>
  <w:style w:type="paragraph" w:styleId="Footer">
    <w:name w:val="footer"/>
    <w:basedOn w:val="Normal"/>
    <w:link w:val="FooterChar"/>
    <w:uiPriority w:val="99"/>
    <w:unhideWhenUsed/>
    <w:rsid w:val="00685D13"/>
    <w:pPr>
      <w:tabs>
        <w:tab w:val="center" w:pos="4320"/>
        <w:tab w:val="right" w:pos="8640"/>
      </w:tabs>
    </w:pPr>
  </w:style>
  <w:style w:type="character" w:customStyle="1" w:styleId="FooterChar">
    <w:name w:val="Footer Char"/>
    <w:basedOn w:val="DefaultParagraphFont"/>
    <w:link w:val="Footer"/>
    <w:uiPriority w:val="99"/>
    <w:rsid w:val="00685D13"/>
  </w:style>
  <w:style w:type="table" w:styleId="TableGrid">
    <w:name w:val="Table Grid"/>
    <w:basedOn w:val="TableNormal"/>
    <w:uiPriority w:val="59"/>
    <w:rsid w:val="00685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5D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D13"/>
    <w:rPr>
      <w:rFonts w:ascii="Lucida Grande" w:hAnsi="Lucida Grande" w:cs="Lucida Grande"/>
      <w:sz w:val="18"/>
      <w:szCs w:val="18"/>
    </w:rPr>
  </w:style>
  <w:style w:type="paragraph" w:styleId="ListParagraph">
    <w:name w:val="List Paragraph"/>
    <w:basedOn w:val="Normal"/>
    <w:uiPriority w:val="34"/>
    <w:qFormat/>
    <w:rsid w:val="00381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24288">
      <w:bodyDiv w:val="1"/>
      <w:marLeft w:val="0"/>
      <w:marRight w:val="0"/>
      <w:marTop w:val="0"/>
      <w:marBottom w:val="0"/>
      <w:divBdr>
        <w:top w:val="none" w:sz="0" w:space="0" w:color="auto"/>
        <w:left w:val="none" w:sz="0" w:space="0" w:color="auto"/>
        <w:bottom w:val="none" w:sz="0" w:space="0" w:color="auto"/>
        <w:right w:val="none" w:sz="0" w:space="0" w:color="auto"/>
      </w:divBdr>
    </w:div>
    <w:div w:id="1250192617">
      <w:bodyDiv w:val="1"/>
      <w:marLeft w:val="0"/>
      <w:marRight w:val="0"/>
      <w:marTop w:val="0"/>
      <w:marBottom w:val="0"/>
      <w:divBdr>
        <w:top w:val="none" w:sz="0" w:space="0" w:color="auto"/>
        <w:left w:val="none" w:sz="0" w:space="0" w:color="auto"/>
        <w:bottom w:val="none" w:sz="0" w:space="0" w:color="auto"/>
        <w:right w:val="none" w:sz="0" w:space="0" w:color="auto"/>
      </w:divBdr>
    </w:div>
    <w:div w:id="1425227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769</Words>
  <Characters>4385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Elliott</dc:creator>
  <cp:keywords/>
  <dc:description/>
  <cp:lastModifiedBy>Sean Elliott</cp:lastModifiedBy>
  <cp:revision>3</cp:revision>
  <dcterms:created xsi:type="dcterms:W3CDTF">2017-01-27T18:42:00Z</dcterms:created>
  <dcterms:modified xsi:type="dcterms:W3CDTF">2017-01-27T18:42:00Z</dcterms:modified>
</cp:coreProperties>
</file>