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469" w:tblpY="361"/>
        <w:tblW w:w="7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5"/>
      </w:tblGrid>
      <w:tr w:rsidR="00542D84" w:rsidRPr="00FF572C" w14:paraId="70B5C110" w14:textId="77777777" w:rsidTr="00542D84">
        <w:trPr>
          <w:trHeight w:val="720"/>
        </w:trPr>
        <w:tc>
          <w:tcPr>
            <w:tcW w:w="7155" w:type="dxa"/>
          </w:tcPr>
          <w:p w14:paraId="79C5135A" w14:textId="3C272636" w:rsidR="00542D84" w:rsidRPr="00864168" w:rsidRDefault="003B6B39" w:rsidP="007B6BCD">
            <w:pPr>
              <w:rPr>
                <w:rFonts w:ascii="Garamond" w:hAnsi="Garamond"/>
                <w:b/>
                <w:sz w:val="30"/>
                <w:szCs w:val="30"/>
              </w:rPr>
            </w:pPr>
            <w:bookmarkStart w:id="0" w:name="_GoBack"/>
            <w:bookmarkEnd w:id="0"/>
            <w:proofErr w:type="spellStart"/>
            <w:r>
              <w:rPr>
                <w:rFonts w:ascii="Garamond" w:hAnsi="Garamond"/>
                <w:b/>
                <w:sz w:val="30"/>
                <w:szCs w:val="30"/>
              </w:rPr>
              <w:t>Ulta</w:t>
            </w:r>
            <w:proofErr w:type="spellEnd"/>
            <w:r>
              <w:rPr>
                <w:rFonts w:ascii="Garamond" w:hAnsi="Garamond"/>
                <w:b/>
                <w:sz w:val="30"/>
                <w:szCs w:val="30"/>
              </w:rPr>
              <w:t xml:space="preserve"> Beauty (NASDAQ</w:t>
            </w:r>
            <w:r w:rsidR="00542D84" w:rsidRPr="00864168">
              <w:rPr>
                <w:rFonts w:ascii="Garamond" w:hAnsi="Garamond"/>
                <w:b/>
                <w:sz w:val="30"/>
                <w:szCs w:val="30"/>
              </w:rPr>
              <w:t xml:space="preserve">: </w:t>
            </w:r>
            <w:r>
              <w:rPr>
                <w:rFonts w:ascii="Garamond" w:hAnsi="Garamond"/>
                <w:b/>
                <w:sz w:val="30"/>
                <w:szCs w:val="30"/>
              </w:rPr>
              <w:t>ULTA</w:t>
            </w:r>
            <w:r w:rsidR="00542D84">
              <w:rPr>
                <w:rFonts w:ascii="Garamond" w:hAnsi="Garamond"/>
                <w:b/>
                <w:sz w:val="30"/>
                <w:szCs w:val="30"/>
              </w:rPr>
              <w:t>)</w:t>
            </w:r>
          </w:p>
          <w:p w14:paraId="188452E4" w14:textId="5DCB023A" w:rsidR="00542D84" w:rsidRPr="00FF572C" w:rsidRDefault="00542D84" w:rsidP="003B6B39">
            <w:pPr>
              <w:rPr>
                <w:rFonts w:ascii="Garamond" w:hAnsi="Garamond"/>
              </w:rPr>
            </w:pPr>
            <w:r w:rsidRPr="00864168">
              <w:rPr>
                <w:rFonts w:ascii="Garamond" w:hAnsi="Garamond"/>
                <w:b/>
              </w:rPr>
              <w:t xml:space="preserve">Sector: </w:t>
            </w:r>
            <w:r w:rsidR="003B6B39">
              <w:rPr>
                <w:rFonts w:ascii="Garamond" w:hAnsi="Garamond"/>
                <w:b/>
              </w:rPr>
              <w:t>Consumer Discretionary</w:t>
            </w:r>
          </w:p>
        </w:tc>
      </w:tr>
    </w:tbl>
    <w:tbl>
      <w:tblPr>
        <w:tblStyle w:val="TableGrid"/>
        <w:tblW w:w="114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1513"/>
        <w:gridCol w:w="1783"/>
        <w:gridCol w:w="1827"/>
        <w:gridCol w:w="890"/>
        <w:gridCol w:w="1513"/>
        <w:gridCol w:w="1691"/>
        <w:gridCol w:w="789"/>
      </w:tblGrid>
      <w:tr w:rsidR="005B396F" w14:paraId="78F32F81" w14:textId="30D8E2F7" w:rsidTr="007B6BCD">
        <w:trPr>
          <w:trHeight w:val="506"/>
        </w:trPr>
        <w:tc>
          <w:tcPr>
            <w:tcW w:w="1424" w:type="dxa"/>
          </w:tcPr>
          <w:p w14:paraId="35A4C8E4" w14:textId="77777777" w:rsidR="007B6BCD" w:rsidRDefault="005B396F" w:rsidP="007B6BCD">
            <w:pPr>
              <w:jc w:val="center"/>
              <w:rPr>
                <w:rFonts w:ascii="Garamond" w:hAnsi="Garamond"/>
                <w:b/>
                <w:sz w:val="22"/>
                <w:szCs w:val="22"/>
              </w:rPr>
            </w:pPr>
            <w:r>
              <w:rPr>
                <w:rFonts w:ascii="Garamond" w:hAnsi="Garamond"/>
                <w:b/>
                <w:sz w:val="22"/>
                <w:szCs w:val="22"/>
              </w:rPr>
              <w:t>Target Price</w:t>
            </w:r>
          </w:p>
          <w:p w14:paraId="73A27060" w14:textId="5EB995D5" w:rsidR="005B396F" w:rsidRDefault="005B396F" w:rsidP="007B6BCD">
            <w:pPr>
              <w:jc w:val="center"/>
              <w:rPr>
                <w:rFonts w:ascii="Garamond" w:hAnsi="Garamond"/>
                <w:sz w:val="22"/>
                <w:szCs w:val="22"/>
              </w:rPr>
            </w:pPr>
            <w:r>
              <w:rPr>
                <w:rFonts w:ascii="Garamond" w:hAnsi="Garamond"/>
                <w:sz w:val="22"/>
                <w:szCs w:val="22"/>
              </w:rPr>
              <w:t>$</w:t>
            </w:r>
            <w:r w:rsidR="003B6B39">
              <w:rPr>
                <w:rFonts w:ascii="Garamond" w:hAnsi="Garamond"/>
                <w:sz w:val="22"/>
                <w:szCs w:val="22"/>
              </w:rPr>
              <w:t>312.27</w:t>
            </w:r>
          </w:p>
          <w:p w14:paraId="62F0052C" w14:textId="0DBBAB2C" w:rsidR="007B6BCD" w:rsidRPr="007B6BCD" w:rsidRDefault="007B6BCD" w:rsidP="007B6BCD">
            <w:pPr>
              <w:jc w:val="center"/>
              <w:rPr>
                <w:rFonts w:ascii="Garamond" w:hAnsi="Garamond"/>
                <w:sz w:val="10"/>
                <w:szCs w:val="10"/>
              </w:rPr>
            </w:pPr>
          </w:p>
        </w:tc>
        <w:tc>
          <w:tcPr>
            <w:tcW w:w="1513" w:type="dxa"/>
          </w:tcPr>
          <w:p w14:paraId="2D0346A5" w14:textId="77777777" w:rsidR="005B396F" w:rsidRPr="00280E12" w:rsidRDefault="005B396F" w:rsidP="007B6BCD">
            <w:pPr>
              <w:jc w:val="center"/>
              <w:rPr>
                <w:rFonts w:ascii="Garamond" w:hAnsi="Garamond"/>
                <w:b/>
                <w:sz w:val="22"/>
                <w:szCs w:val="22"/>
              </w:rPr>
            </w:pPr>
            <w:r w:rsidRPr="00280E12">
              <w:rPr>
                <w:rFonts w:ascii="Garamond" w:hAnsi="Garamond"/>
                <w:b/>
                <w:sz w:val="22"/>
                <w:szCs w:val="22"/>
              </w:rPr>
              <w:t>Current Price</w:t>
            </w:r>
          </w:p>
          <w:p w14:paraId="71BA03BA" w14:textId="694E1FC7" w:rsidR="005B396F" w:rsidRPr="00280E12" w:rsidRDefault="005B396F" w:rsidP="009D6A50">
            <w:pPr>
              <w:jc w:val="center"/>
              <w:rPr>
                <w:rFonts w:ascii="Garamond" w:hAnsi="Garamond"/>
                <w:sz w:val="22"/>
                <w:szCs w:val="22"/>
              </w:rPr>
            </w:pPr>
            <w:r w:rsidRPr="00280E12">
              <w:rPr>
                <w:rFonts w:ascii="Garamond" w:hAnsi="Garamond"/>
                <w:sz w:val="22"/>
                <w:szCs w:val="22"/>
              </w:rPr>
              <w:t>$</w:t>
            </w:r>
            <w:r w:rsidR="00B22DC9">
              <w:rPr>
                <w:rFonts w:ascii="Garamond" w:hAnsi="Garamond"/>
                <w:sz w:val="22"/>
                <w:szCs w:val="22"/>
              </w:rPr>
              <w:t>268.23</w:t>
            </w:r>
          </w:p>
        </w:tc>
        <w:tc>
          <w:tcPr>
            <w:tcW w:w="1783" w:type="dxa"/>
          </w:tcPr>
          <w:p w14:paraId="082DE3F8" w14:textId="7051B63B" w:rsidR="005B396F" w:rsidRPr="00280E12" w:rsidRDefault="005B396F" w:rsidP="007B6BCD">
            <w:pPr>
              <w:jc w:val="center"/>
              <w:rPr>
                <w:rFonts w:ascii="Garamond" w:hAnsi="Garamond"/>
                <w:b/>
                <w:sz w:val="22"/>
                <w:szCs w:val="22"/>
              </w:rPr>
            </w:pPr>
            <w:r w:rsidRPr="00280E12">
              <w:rPr>
                <w:rFonts w:ascii="Garamond" w:hAnsi="Garamond"/>
                <w:b/>
                <w:sz w:val="22"/>
                <w:szCs w:val="22"/>
              </w:rPr>
              <w:t>52 Week High</w:t>
            </w:r>
          </w:p>
          <w:p w14:paraId="638F5C0F" w14:textId="14B811CC" w:rsidR="005B396F" w:rsidRPr="00280E12" w:rsidRDefault="005B396F" w:rsidP="001B5F3F">
            <w:pPr>
              <w:jc w:val="center"/>
              <w:rPr>
                <w:rFonts w:ascii="Garamond" w:hAnsi="Garamond"/>
                <w:sz w:val="22"/>
                <w:szCs w:val="22"/>
              </w:rPr>
            </w:pPr>
            <w:r w:rsidRPr="00280E12">
              <w:rPr>
                <w:rFonts w:ascii="Garamond" w:hAnsi="Garamond"/>
                <w:sz w:val="22"/>
                <w:szCs w:val="22"/>
              </w:rPr>
              <w:t>$</w:t>
            </w:r>
            <w:r w:rsidR="003B6B39">
              <w:rPr>
                <w:rFonts w:ascii="Garamond" w:hAnsi="Garamond"/>
                <w:sz w:val="22"/>
                <w:szCs w:val="22"/>
              </w:rPr>
              <w:t>278.63</w:t>
            </w:r>
          </w:p>
        </w:tc>
        <w:tc>
          <w:tcPr>
            <w:tcW w:w="1827" w:type="dxa"/>
          </w:tcPr>
          <w:p w14:paraId="0DCBA9C8" w14:textId="77777777" w:rsidR="005B396F" w:rsidRPr="00280E12" w:rsidRDefault="005B396F" w:rsidP="007B6BCD">
            <w:pPr>
              <w:jc w:val="center"/>
              <w:rPr>
                <w:rFonts w:ascii="Garamond" w:hAnsi="Garamond"/>
                <w:b/>
                <w:sz w:val="22"/>
                <w:szCs w:val="22"/>
              </w:rPr>
            </w:pPr>
            <w:r w:rsidRPr="00280E12">
              <w:rPr>
                <w:rFonts w:ascii="Garamond" w:hAnsi="Garamond"/>
                <w:b/>
                <w:sz w:val="22"/>
                <w:szCs w:val="22"/>
              </w:rPr>
              <w:t>52 Week Low</w:t>
            </w:r>
          </w:p>
          <w:p w14:paraId="593D1A92" w14:textId="42506671" w:rsidR="005B396F" w:rsidRPr="00280E12" w:rsidRDefault="005B396F" w:rsidP="001B5F3F">
            <w:pPr>
              <w:jc w:val="center"/>
              <w:rPr>
                <w:rFonts w:ascii="Garamond" w:hAnsi="Garamond"/>
                <w:sz w:val="22"/>
                <w:szCs w:val="22"/>
              </w:rPr>
            </w:pPr>
            <w:r w:rsidRPr="00280E12">
              <w:rPr>
                <w:rFonts w:ascii="Garamond" w:hAnsi="Garamond"/>
                <w:sz w:val="22"/>
                <w:szCs w:val="22"/>
              </w:rPr>
              <w:t>$</w:t>
            </w:r>
            <w:r w:rsidR="003B6B39">
              <w:rPr>
                <w:rFonts w:ascii="Garamond" w:hAnsi="Garamond"/>
                <w:sz w:val="22"/>
                <w:szCs w:val="22"/>
              </w:rPr>
              <w:t>146.77</w:t>
            </w:r>
          </w:p>
        </w:tc>
        <w:tc>
          <w:tcPr>
            <w:tcW w:w="890" w:type="dxa"/>
          </w:tcPr>
          <w:p w14:paraId="183146BB" w14:textId="77777777" w:rsidR="005B396F" w:rsidRPr="00280E12" w:rsidRDefault="005B396F" w:rsidP="007B6BCD">
            <w:pPr>
              <w:jc w:val="center"/>
              <w:rPr>
                <w:rFonts w:ascii="Garamond" w:hAnsi="Garamond"/>
                <w:b/>
                <w:sz w:val="22"/>
                <w:szCs w:val="22"/>
              </w:rPr>
            </w:pPr>
            <w:r w:rsidRPr="00280E12">
              <w:rPr>
                <w:rFonts w:ascii="Garamond" w:hAnsi="Garamond"/>
                <w:b/>
                <w:sz w:val="22"/>
                <w:szCs w:val="22"/>
              </w:rPr>
              <w:t>P/E</w:t>
            </w:r>
          </w:p>
          <w:p w14:paraId="357338CB" w14:textId="7526060F" w:rsidR="005B396F" w:rsidRPr="00280E12" w:rsidRDefault="00B22DC9" w:rsidP="007B6BCD">
            <w:pPr>
              <w:jc w:val="center"/>
              <w:rPr>
                <w:rFonts w:ascii="Garamond" w:hAnsi="Garamond"/>
                <w:sz w:val="22"/>
                <w:szCs w:val="22"/>
              </w:rPr>
            </w:pPr>
            <w:r>
              <w:rPr>
                <w:rFonts w:ascii="Garamond" w:hAnsi="Garamond"/>
                <w:sz w:val="22"/>
                <w:szCs w:val="22"/>
              </w:rPr>
              <w:t>44.33</w:t>
            </w:r>
          </w:p>
        </w:tc>
        <w:tc>
          <w:tcPr>
            <w:tcW w:w="1513" w:type="dxa"/>
          </w:tcPr>
          <w:p w14:paraId="20569AD1" w14:textId="43BEFA5C" w:rsidR="005B396F" w:rsidRPr="00280E12" w:rsidRDefault="005B396F" w:rsidP="007B6BCD">
            <w:pPr>
              <w:jc w:val="center"/>
              <w:rPr>
                <w:rFonts w:ascii="Garamond" w:hAnsi="Garamond"/>
                <w:b/>
                <w:sz w:val="22"/>
                <w:szCs w:val="22"/>
              </w:rPr>
            </w:pPr>
            <w:r w:rsidRPr="00280E12">
              <w:rPr>
                <w:rFonts w:ascii="Garamond" w:hAnsi="Garamond"/>
                <w:b/>
                <w:sz w:val="22"/>
                <w:szCs w:val="22"/>
              </w:rPr>
              <w:t>Market Cap.</w:t>
            </w:r>
          </w:p>
          <w:p w14:paraId="357DF9F3" w14:textId="36B1FB1D" w:rsidR="005B396F" w:rsidRPr="00280E12" w:rsidRDefault="00A67BA8" w:rsidP="003B1318">
            <w:pPr>
              <w:jc w:val="center"/>
              <w:rPr>
                <w:rFonts w:ascii="Garamond" w:hAnsi="Garamond"/>
                <w:sz w:val="22"/>
                <w:szCs w:val="22"/>
              </w:rPr>
            </w:pPr>
            <w:r>
              <w:rPr>
                <w:rFonts w:ascii="Garamond" w:hAnsi="Garamond"/>
                <w:sz w:val="22"/>
                <w:szCs w:val="22"/>
              </w:rPr>
              <w:t>$</w:t>
            </w:r>
            <w:r w:rsidR="00B22DC9">
              <w:rPr>
                <w:rFonts w:ascii="Garamond" w:hAnsi="Garamond"/>
                <w:sz w:val="22"/>
                <w:szCs w:val="22"/>
              </w:rPr>
              <w:t>16.69</w:t>
            </w:r>
            <w:r w:rsidR="001B5F3F">
              <w:rPr>
                <w:rFonts w:ascii="Garamond" w:hAnsi="Garamond"/>
                <w:sz w:val="22"/>
                <w:szCs w:val="22"/>
              </w:rPr>
              <w:t>B</w:t>
            </w:r>
          </w:p>
        </w:tc>
        <w:tc>
          <w:tcPr>
            <w:tcW w:w="1691" w:type="dxa"/>
          </w:tcPr>
          <w:p w14:paraId="3CEAB7B1" w14:textId="626B2682" w:rsidR="005B396F" w:rsidRPr="00280E12" w:rsidRDefault="005B396F" w:rsidP="007B6BCD">
            <w:pPr>
              <w:jc w:val="center"/>
              <w:rPr>
                <w:rFonts w:ascii="Garamond" w:hAnsi="Garamond"/>
                <w:b/>
                <w:sz w:val="22"/>
                <w:szCs w:val="22"/>
              </w:rPr>
            </w:pPr>
            <w:r w:rsidRPr="00280E12">
              <w:rPr>
                <w:rFonts w:ascii="Garamond" w:hAnsi="Garamond"/>
                <w:b/>
                <w:sz w:val="22"/>
                <w:szCs w:val="22"/>
              </w:rPr>
              <w:t>Dividend Yield</w:t>
            </w:r>
          </w:p>
          <w:p w14:paraId="1395E808" w14:textId="6D678EEF" w:rsidR="005B396F" w:rsidRPr="00280E12" w:rsidRDefault="003B6B39" w:rsidP="007B6BCD">
            <w:pPr>
              <w:jc w:val="center"/>
              <w:rPr>
                <w:rFonts w:ascii="Garamond" w:hAnsi="Garamond"/>
                <w:sz w:val="22"/>
                <w:szCs w:val="22"/>
              </w:rPr>
            </w:pPr>
            <w:r>
              <w:rPr>
                <w:rFonts w:ascii="Garamond" w:hAnsi="Garamond"/>
                <w:sz w:val="22"/>
                <w:szCs w:val="22"/>
              </w:rPr>
              <w:t>N/A</w:t>
            </w:r>
          </w:p>
        </w:tc>
        <w:tc>
          <w:tcPr>
            <w:tcW w:w="789" w:type="dxa"/>
          </w:tcPr>
          <w:p w14:paraId="7748EF34" w14:textId="77777777" w:rsidR="005B396F" w:rsidRDefault="005B396F" w:rsidP="007B6BCD">
            <w:pPr>
              <w:jc w:val="center"/>
              <w:rPr>
                <w:rFonts w:ascii="Garamond" w:hAnsi="Garamond"/>
                <w:b/>
                <w:sz w:val="22"/>
                <w:szCs w:val="22"/>
              </w:rPr>
            </w:pPr>
            <w:r>
              <w:rPr>
                <w:rFonts w:ascii="Garamond" w:hAnsi="Garamond"/>
                <w:b/>
                <w:sz w:val="22"/>
                <w:szCs w:val="22"/>
              </w:rPr>
              <w:t>Beta</w:t>
            </w:r>
          </w:p>
          <w:p w14:paraId="0B87E42B" w14:textId="06C5B219" w:rsidR="005B396F" w:rsidRPr="005B396F" w:rsidRDefault="00B22DC9" w:rsidP="007B6BCD">
            <w:pPr>
              <w:jc w:val="center"/>
              <w:rPr>
                <w:rFonts w:ascii="Garamond" w:hAnsi="Garamond"/>
                <w:sz w:val="22"/>
                <w:szCs w:val="22"/>
              </w:rPr>
            </w:pPr>
            <w:r>
              <w:rPr>
                <w:rFonts w:ascii="Garamond" w:hAnsi="Garamond"/>
                <w:sz w:val="22"/>
                <w:szCs w:val="22"/>
              </w:rPr>
              <w:t>.95</w:t>
            </w:r>
          </w:p>
        </w:tc>
      </w:tr>
    </w:tbl>
    <w:p w14:paraId="2E289672" w14:textId="44F1AA2D" w:rsidR="00A630AF" w:rsidRDefault="00830286" w:rsidP="007B6BCD">
      <w:pPr>
        <w:rPr>
          <w:sz w:val="10"/>
          <w:szCs w:val="10"/>
        </w:rPr>
        <w:sectPr w:rsidR="00A630AF" w:rsidSect="0001462B">
          <w:headerReference w:type="even" r:id="rId7"/>
          <w:headerReference w:type="default" r:id="rId8"/>
          <w:footerReference w:type="default" r:id="rId9"/>
          <w:headerReference w:type="first" r:id="rId10"/>
          <w:pgSz w:w="12240" w:h="15840"/>
          <w:pgMar w:top="1152" w:right="1800" w:bottom="720" w:left="1080" w:header="720" w:footer="432" w:gutter="0"/>
          <w:cols w:space="720"/>
          <w:docGrid w:linePitch="360"/>
        </w:sectPr>
      </w:pPr>
      <w:r>
        <w:rPr>
          <w:noProof/>
        </w:rPr>
        <w:drawing>
          <wp:anchor distT="0" distB="0" distL="114300" distR="114300" simplePos="0" relativeHeight="251658240" behindDoc="0" locked="0" layoutInCell="1" allowOverlap="1" wp14:anchorId="3B1C6014" wp14:editId="72E7E65A">
            <wp:simplePos x="0" y="0"/>
            <wp:positionH relativeFrom="column">
              <wp:posOffset>5638800</wp:posOffset>
            </wp:positionH>
            <wp:positionV relativeFrom="paragraph">
              <wp:posOffset>-961390</wp:posOffset>
            </wp:positionV>
            <wp:extent cx="1219200" cy="394970"/>
            <wp:effectExtent l="0" t="0" r="0" b="5080"/>
            <wp:wrapNone/>
            <wp:docPr id="5" name="Picture 5" descr="https://lh3.googleusercontent.com/rxiOMFFtZ6JZ62hQTrN1aRPqHEH7u1Xfpy-Qjf8o31gavHk-Z-Mt52KW5a3cBWei60nfEFn3LT1BErdhcV-x7gWZifs4HPQxiVXCZDSx7PYE-1cR6AvwdkhTANJbbkfO7xu7z89uY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rxiOMFFtZ6JZ62hQTrN1aRPqHEH7u1Xfpy-Qjf8o31gavHk-Z-Mt52KW5a3cBWei60nfEFn3LT1BErdhcV-x7gWZifs4HPQxiVXCZDSx7PYE-1cR6AvwdkhTANJbbkfO7xu7z89uYX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1FAC7" w14:textId="77777777" w:rsidR="00A630AF" w:rsidRPr="00280E12" w:rsidRDefault="00A630AF" w:rsidP="007B6BCD">
      <w:pPr>
        <w:rPr>
          <w:rFonts w:ascii="Garamond" w:hAnsi="Garamond"/>
          <w:b/>
          <w:sz w:val="22"/>
          <w:szCs w:val="22"/>
        </w:rPr>
      </w:pPr>
      <w:r w:rsidRPr="00280E12">
        <w:rPr>
          <w:rFonts w:ascii="Garamond" w:hAnsi="Garamond"/>
          <w:b/>
          <w:sz w:val="22"/>
          <w:szCs w:val="22"/>
        </w:rPr>
        <w:t>Business Description</w:t>
      </w:r>
    </w:p>
    <w:p w14:paraId="49BFCD57" w14:textId="7BBB1DDD" w:rsidR="00FF635E" w:rsidRDefault="003B6B39" w:rsidP="007B6BCD">
      <w:pPr>
        <w:jc w:val="both"/>
        <w:rPr>
          <w:rFonts w:ascii="Garamond" w:eastAsia="Times New Roman" w:hAnsi="Garamond" w:cs="Times New Roman"/>
          <w:color w:val="000000"/>
          <w:sz w:val="20"/>
          <w:szCs w:val="20"/>
        </w:rPr>
      </w:pPr>
      <w:proofErr w:type="spellStart"/>
      <w:r>
        <w:rPr>
          <w:rFonts w:ascii="Garamond" w:eastAsia="Times New Roman" w:hAnsi="Garamond" w:cs="Times New Roman"/>
          <w:color w:val="000000"/>
          <w:sz w:val="20"/>
          <w:szCs w:val="20"/>
        </w:rPr>
        <w:t>Ulta</w:t>
      </w:r>
      <w:proofErr w:type="spellEnd"/>
      <w:r>
        <w:rPr>
          <w:rFonts w:ascii="Garamond" w:eastAsia="Times New Roman" w:hAnsi="Garamond" w:cs="Times New Roman"/>
          <w:color w:val="000000"/>
          <w:sz w:val="20"/>
          <w:szCs w:val="20"/>
        </w:rPr>
        <w:t xml:space="preserve"> Beauty is the largest beauty retailer in the United States and operates under three reportable segments: retail stores, salon services, and e-commerce. </w:t>
      </w:r>
      <w:r w:rsidR="00190D0A">
        <w:rPr>
          <w:rFonts w:ascii="Garamond" w:eastAsia="Times New Roman" w:hAnsi="Garamond" w:cs="Times New Roman"/>
          <w:color w:val="000000"/>
          <w:sz w:val="20"/>
          <w:szCs w:val="20"/>
        </w:rPr>
        <w:t xml:space="preserve">They offer an “All Things Beauty, All in One Place” experience to customers with over 20,000 products from over 500 brands that cover prestige, mass market, and salon segments. Stores are large, generally 10,000 square feet, all of </w:t>
      </w:r>
      <w:r w:rsidR="00635401">
        <w:rPr>
          <w:rFonts w:ascii="Garamond" w:eastAsia="Times New Roman" w:hAnsi="Garamond" w:cs="Times New Roman"/>
          <w:color w:val="000000"/>
          <w:sz w:val="20"/>
          <w:szCs w:val="20"/>
        </w:rPr>
        <w:t>which have a full service salon, self-service product displays, and non-commissioned sales associates.</w:t>
      </w:r>
    </w:p>
    <w:p w14:paraId="6C288290" w14:textId="77777777" w:rsidR="00190D0A" w:rsidRDefault="00190D0A" w:rsidP="007B6BCD">
      <w:pPr>
        <w:jc w:val="both"/>
        <w:rPr>
          <w:rFonts w:ascii="Garamond" w:hAnsi="Garamond"/>
          <w:b/>
          <w:sz w:val="22"/>
          <w:szCs w:val="22"/>
        </w:rPr>
      </w:pPr>
    </w:p>
    <w:p w14:paraId="2F145BD1" w14:textId="77777777" w:rsidR="00A630AF" w:rsidRDefault="00A630AF" w:rsidP="007B6BCD">
      <w:pPr>
        <w:jc w:val="both"/>
        <w:rPr>
          <w:rFonts w:ascii="Garamond" w:hAnsi="Garamond"/>
          <w:b/>
          <w:sz w:val="22"/>
          <w:szCs w:val="22"/>
        </w:rPr>
      </w:pPr>
      <w:r w:rsidRPr="005B396F">
        <w:rPr>
          <w:rFonts w:ascii="Garamond" w:hAnsi="Garamond"/>
          <w:b/>
          <w:sz w:val="22"/>
          <w:szCs w:val="22"/>
        </w:rPr>
        <w:t>Industry Trends</w:t>
      </w:r>
    </w:p>
    <w:p w14:paraId="60B729A6" w14:textId="76E892C0" w:rsidR="00907FFD" w:rsidRPr="00481556" w:rsidRDefault="00481556" w:rsidP="007B6BCD">
      <w:pPr>
        <w:jc w:val="both"/>
        <w:rPr>
          <w:rFonts w:ascii="Garamond" w:hAnsi="Garamond"/>
          <w:sz w:val="20"/>
          <w:szCs w:val="20"/>
        </w:rPr>
      </w:pPr>
      <w:r w:rsidRPr="00481556">
        <w:rPr>
          <w:rFonts w:ascii="Garamond" w:hAnsi="Garamond"/>
          <w:sz w:val="20"/>
          <w:szCs w:val="20"/>
        </w:rPr>
        <w:t xml:space="preserve">The </w:t>
      </w:r>
      <w:r w:rsidR="002C6809" w:rsidRPr="00481556">
        <w:rPr>
          <w:rFonts w:ascii="Garamond" w:hAnsi="Garamond"/>
          <w:sz w:val="20"/>
          <w:szCs w:val="20"/>
        </w:rPr>
        <w:t>beauty produc</w:t>
      </w:r>
      <w:r w:rsidRPr="00481556">
        <w:rPr>
          <w:rFonts w:ascii="Garamond" w:hAnsi="Garamond"/>
          <w:sz w:val="20"/>
          <w:szCs w:val="20"/>
        </w:rPr>
        <w:t xml:space="preserve">ts and salon services industry </w:t>
      </w:r>
      <w:r w:rsidR="002C6809" w:rsidRPr="00481556">
        <w:rPr>
          <w:rFonts w:ascii="Garamond" w:hAnsi="Garamond"/>
          <w:sz w:val="20"/>
          <w:szCs w:val="20"/>
        </w:rPr>
        <w:t>represents appro</w:t>
      </w:r>
      <w:r w:rsidR="005E05F6" w:rsidRPr="00481556">
        <w:rPr>
          <w:rFonts w:ascii="Garamond" w:hAnsi="Garamond"/>
          <w:sz w:val="20"/>
          <w:szCs w:val="20"/>
        </w:rPr>
        <w:t xml:space="preserve">ximately $127 billion in sales. Currently this is a highly fragmented market with more than 70,000 places in the U.S. to buy beauty products. </w:t>
      </w:r>
      <w:r w:rsidR="00D47AF4" w:rsidRPr="00481556">
        <w:rPr>
          <w:rFonts w:ascii="Garamond" w:hAnsi="Garamond"/>
          <w:sz w:val="20"/>
          <w:szCs w:val="20"/>
        </w:rPr>
        <w:t>The retail industry as a whole is</w:t>
      </w:r>
      <w:r w:rsidR="005E05F6" w:rsidRPr="00481556">
        <w:rPr>
          <w:rFonts w:ascii="Garamond" w:hAnsi="Garamond"/>
          <w:sz w:val="20"/>
          <w:szCs w:val="20"/>
        </w:rPr>
        <w:t xml:space="preserve"> ready for growth, with disposable personal income increasing 3.4% in the past year and the economy adding an average of 181,000 jobs per month in 2016 (Deloitte). There is also much room for growth in online retail. </w:t>
      </w:r>
      <w:r w:rsidR="00D47AF4" w:rsidRPr="00481556">
        <w:rPr>
          <w:rFonts w:ascii="Garamond" w:hAnsi="Garamond"/>
          <w:sz w:val="20"/>
          <w:szCs w:val="20"/>
        </w:rPr>
        <w:t xml:space="preserve">Kiplinger recorded online retail sales growth of 14% during the holiday season of 2016 and is projecting similar growth for 2017. </w:t>
      </w:r>
      <w:r w:rsidRPr="00481556">
        <w:rPr>
          <w:rFonts w:ascii="Garamond" w:hAnsi="Garamond"/>
          <w:sz w:val="20"/>
          <w:szCs w:val="20"/>
        </w:rPr>
        <w:t xml:space="preserve">Additionally, customer relationship management and digital marketing tools are becoming increasingly prevalent. </w:t>
      </w:r>
    </w:p>
    <w:p w14:paraId="580A3E42" w14:textId="77777777" w:rsidR="002C6809" w:rsidRPr="005B396F" w:rsidRDefault="002C6809" w:rsidP="007B6BCD">
      <w:pPr>
        <w:jc w:val="both"/>
        <w:rPr>
          <w:rFonts w:ascii="Garamond" w:hAnsi="Garamond"/>
          <w:b/>
          <w:sz w:val="22"/>
          <w:szCs w:val="22"/>
        </w:rPr>
      </w:pPr>
    </w:p>
    <w:p w14:paraId="24B66CF6" w14:textId="77777777" w:rsidR="00A630AF" w:rsidRPr="007046C4" w:rsidRDefault="00A630AF" w:rsidP="007B6BCD">
      <w:pPr>
        <w:jc w:val="both"/>
        <w:rPr>
          <w:rFonts w:ascii="Garamond" w:hAnsi="Garamond"/>
          <w:b/>
          <w:sz w:val="22"/>
          <w:szCs w:val="22"/>
        </w:rPr>
      </w:pPr>
      <w:r w:rsidRPr="007046C4">
        <w:rPr>
          <w:rFonts w:ascii="Garamond" w:hAnsi="Garamond"/>
          <w:b/>
          <w:sz w:val="22"/>
          <w:szCs w:val="22"/>
        </w:rPr>
        <w:t>Investment Thesis</w:t>
      </w:r>
    </w:p>
    <w:p w14:paraId="171B1FD4" w14:textId="70153B69" w:rsidR="007B6BCD" w:rsidRPr="00D67D28" w:rsidRDefault="00635401" w:rsidP="00D67D28">
      <w:pPr>
        <w:jc w:val="both"/>
        <w:rPr>
          <w:rFonts w:ascii="Garamond" w:eastAsia="Times New Roman" w:hAnsi="Garamond" w:cs="Times New Roman"/>
          <w:color w:val="000000"/>
          <w:sz w:val="20"/>
          <w:szCs w:val="20"/>
        </w:rPr>
      </w:pPr>
      <w:proofErr w:type="spellStart"/>
      <w:r>
        <w:rPr>
          <w:rFonts w:ascii="Garamond" w:eastAsia="Times New Roman" w:hAnsi="Garamond" w:cs="Times New Roman"/>
          <w:color w:val="000000"/>
          <w:sz w:val="20"/>
          <w:szCs w:val="20"/>
        </w:rPr>
        <w:t>Ulta</w:t>
      </w:r>
      <w:proofErr w:type="spellEnd"/>
      <w:r>
        <w:rPr>
          <w:rFonts w:ascii="Garamond" w:eastAsia="Times New Roman" w:hAnsi="Garamond" w:cs="Times New Roman"/>
          <w:color w:val="000000"/>
          <w:sz w:val="20"/>
          <w:szCs w:val="20"/>
        </w:rPr>
        <w:t xml:space="preserve"> Beauty will deliver long-run value due to</w:t>
      </w:r>
      <w:r w:rsidR="00B10101">
        <w:rPr>
          <w:rFonts w:ascii="Garamond" w:eastAsia="Times New Roman" w:hAnsi="Garamond" w:cs="Times New Roman"/>
          <w:color w:val="000000"/>
          <w:sz w:val="20"/>
          <w:szCs w:val="20"/>
        </w:rPr>
        <w:t xml:space="preserve"> its competitive strengths that differentiate the company and its consistent ability to have high growth while currently only holding a 4% share of the beauty market. The company offers a differentiated merchandising strategy with a br</w:t>
      </w:r>
      <w:r w:rsidR="00481556">
        <w:rPr>
          <w:rFonts w:ascii="Garamond" w:eastAsia="Times New Roman" w:hAnsi="Garamond" w:cs="Times New Roman"/>
          <w:color w:val="000000"/>
          <w:sz w:val="20"/>
          <w:szCs w:val="20"/>
        </w:rPr>
        <w:t>o</w:t>
      </w:r>
      <w:r w:rsidR="00B10101">
        <w:rPr>
          <w:rFonts w:ascii="Garamond" w:eastAsia="Times New Roman" w:hAnsi="Garamond" w:cs="Times New Roman"/>
          <w:color w:val="000000"/>
          <w:sz w:val="20"/>
          <w:szCs w:val="20"/>
        </w:rPr>
        <w:t>ad appeal for customers looking at any price point. It provides a unique guest experience with a full service salon an</w:t>
      </w:r>
      <w:r w:rsidR="00830286">
        <w:rPr>
          <w:rFonts w:ascii="Garamond" w:eastAsia="Times New Roman" w:hAnsi="Garamond" w:cs="Times New Roman"/>
          <w:color w:val="000000"/>
          <w:sz w:val="20"/>
          <w:szCs w:val="20"/>
        </w:rPr>
        <w:t>d self-s</w:t>
      </w:r>
      <w:r w:rsidR="00B10101">
        <w:rPr>
          <w:rFonts w:ascii="Garamond" w:eastAsia="Times New Roman" w:hAnsi="Garamond" w:cs="Times New Roman"/>
          <w:color w:val="000000"/>
          <w:sz w:val="20"/>
          <w:szCs w:val="20"/>
        </w:rPr>
        <w:t xml:space="preserve">ervice displays in every store. </w:t>
      </w:r>
      <w:proofErr w:type="spellStart"/>
      <w:r w:rsidR="00B10101">
        <w:rPr>
          <w:rFonts w:ascii="Garamond" w:eastAsia="Times New Roman" w:hAnsi="Garamond" w:cs="Times New Roman"/>
          <w:color w:val="000000"/>
          <w:sz w:val="20"/>
          <w:szCs w:val="20"/>
        </w:rPr>
        <w:t>Ulta</w:t>
      </w:r>
      <w:proofErr w:type="spellEnd"/>
      <w:r w:rsidR="00B10101">
        <w:rPr>
          <w:rFonts w:ascii="Garamond" w:eastAsia="Times New Roman" w:hAnsi="Garamond" w:cs="Times New Roman"/>
          <w:color w:val="000000"/>
          <w:sz w:val="20"/>
          <w:szCs w:val="20"/>
        </w:rPr>
        <w:t xml:space="preserve"> has a loyal and active customer base with a comprehensive rewards program. Strong vendor partnerships allow the company to offer a wide range of products including exclusive products. Lastly, the experienced management team at </w:t>
      </w:r>
      <w:proofErr w:type="spellStart"/>
      <w:r w:rsidR="00B10101">
        <w:rPr>
          <w:rFonts w:ascii="Garamond" w:eastAsia="Times New Roman" w:hAnsi="Garamond" w:cs="Times New Roman"/>
          <w:color w:val="000000"/>
          <w:sz w:val="20"/>
          <w:szCs w:val="20"/>
        </w:rPr>
        <w:t>Ulta</w:t>
      </w:r>
      <w:proofErr w:type="spellEnd"/>
      <w:r w:rsidR="00B10101">
        <w:rPr>
          <w:rFonts w:ascii="Garamond" w:eastAsia="Times New Roman" w:hAnsi="Garamond" w:cs="Times New Roman"/>
          <w:color w:val="000000"/>
          <w:sz w:val="20"/>
          <w:szCs w:val="20"/>
        </w:rPr>
        <w:t xml:space="preserve"> sets the company</w:t>
      </w:r>
      <w:r w:rsidR="00830286">
        <w:rPr>
          <w:rFonts w:ascii="Garamond" w:eastAsia="Times New Roman" w:hAnsi="Garamond" w:cs="Times New Roman"/>
          <w:color w:val="000000"/>
          <w:sz w:val="20"/>
          <w:szCs w:val="20"/>
        </w:rPr>
        <w:t xml:space="preserve"> up for success in keeping up with industry changes.</w:t>
      </w:r>
    </w:p>
    <w:p w14:paraId="5E656C88" w14:textId="77777777" w:rsidR="007B6BCD" w:rsidRDefault="007B6BCD" w:rsidP="007B6BCD">
      <w:pPr>
        <w:rPr>
          <w:rFonts w:ascii="Garamond" w:eastAsia="Times New Roman" w:hAnsi="Garamond" w:cs="Times New Roman"/>
          <w:sz w:val="20"/>
          <w:szCs w:val="20"/>
        </w:rPr>
      </w:pPr>
    </w:p>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661"/>
      </w:tblGrid>
      <w:tr w:rsidR="007B6BCD" w14:paraId="44A5E45B" w14:textId="77777777" w:rsidTr="00CC5E37">
        <w:trPr>
          <w:trHeight w:val="1366"/>
        </w:trPr>
        <w:tc>
          <w:tcPr>
            <w:tcW w:w="3060" w:type="dxa"/>
          </w:tcPr>
          <w:p w14:paraId="793DD0C5" w14:textId="7418F5B6" w:rsidR="007B6BCD" w:rsidRPr="00D920E6" w:rsidRDefault="007B6BCD" w:rsidP="007B6BCD">
            <w:pPr>
              <w:rPr>
                <w:rFonts w:ascii="Garamond" w:hAnsi="Garamond"/>
                <w:b/>
                <w:sz w:val="22"/>
                <w:szCs w:val="22"/>
              </w:rPr>
            </w:pPr>
            <w:r w:rsidRPr="00D920E6">
              <w:rPr>
                <w:rFonts w:ascii="Garamond" w:hAnsi="Garamond"/>
                <w:b/>
                <w:sz w:val="22"/>
                <w:szCs w:val="22"/>
              </w:rPr>
              <w:t>Valuation Assumptions</w:t>
            </w:r>
          </w:p>
          <w:p w14:paraId="537F0D27" w14:textId="4886BA5A" w:rsidR="007B6BCD" w:rsidRPr="00D920E6" w:rsidRDefault="007B6BCD" w:rsidP="007B6BCD">
            <w:pPr>
              <w:rPr>
                <w:rFonts w:ascii="Garamond" w:hAnsi="Garamond"/>
                <w:sz w:val="18"/>
                <w:szCs w:val="18"/>
              </w:rPr>
            </w:pPr>
            <w:r w:rsidRPr="00D920E6">
              <w:rPr>
                <w:rFonts w:ascii="Garamond" w:hAnsi="Garamond"/>
                <w:sz w:val="18"/>
                <w:szCs w:val="18"/>
              </w:rPr>
              <w:t xml:space="preserve">WACC: </w:t>
            </w:r>
            <w:r w:rsidR="00830286">
              <w:rPr>
                <w:rFonts w:ascii="Garamond" w:hAnsi="Garamond"/>
                <w:sz w:val="18"/>
                <w:szCs w:val="18"/>
              </w:rPr>
              <w:t>8.98</w:t>
            </w:r>
            <w:r w:rsidRPr="00D920E6">
              <w:rPr>
                <w:rFonts w:ascii="Garamond" w:hAnsi="Garamond"/>
                <w:sz w:val="18"/>
                <w:szCs w:val="18"/>
              </w:rPr>
              <w:t>%</w:t>
            </w:r>
          </w:p>
          <w:p w14:paraId="4C7CCF64" w14:textId="09435BF5" w:rsidR="007B6BCD" w:rsidRDefault="007B6BCD" w:rsidP="001A4EC4">
            <w:pPr>
              <w:rPr>
                <w:rFonts w:ascii="Garamond" w:hAnsi="Garamond"/>
                <w:sz w:val="18"/>
                <w:szCs w:val="18"/>
              </w:rPr>
            </w:pPr>
            <w:r w:rsidRPr="00D920E6">
              <w:rPr>
                <w:rFonts w:ascii="Garamond" w:hAnsi="Garamond"/>
                <w:sz w:val="18"/>
                <w:szCs w:val="18"/>
              </w:rPr>
              <w:t xml:space="preserve">Terminal FCF Growth Rate: </w:t>
            </w:r>
            <w:r w:rsidR="00830286">
              <w:rPr>
                <w:rFonts w:ascii="Garamond" w:hAnsi="Garamond"/>
                <w:sz w:val="18"/>
                <w:szCs w:val="18"/>
              </w:rPr>
              <w:t>2.75</w:t>
            </w:r>
            <w:r w:rsidRPr="00D920E6">
              <w:rPr>
                <w:rFonts w:ascii="Garamond" w:hAnsi="Garamond"/>
                <w:sz w:val="18"/>
                <w:szCs w:val="18"/>
              </w:rPr>
              <w:t>%</w:t>
            </w:r>
          </w:p>
          <w:p w14:paraId="1325CA04" w14:textId="36F17495" w:rsidR="00E21938" w:rsidRDefault="00CC5E37" w:rsidP="00E21938">
            <w:pPr>
              <w:rPr>
                <w:rFonts w:ascii="Garamond" w:hAnsi="Garamond"/>
                <w:sz w:val="18"/>
                <w:szCs w:val="18"/>
              </w:rPr>
            </w:pPr>
            <w:r>
              <w:rPr>
                <w:rFonts w:ascii="Garamond" w:hAnsi="Garamond"/>
                <w:sz w:val="18"/>
                <w:szCs w:val="18"/>
              </w:rPr>
              <w:t xml:space="preserve">Estimated </w:t>
            </w:r>
            <w:r w:rsidR="00E21938">
              <w:rPr>
                <w:rFonts w:ascii="Garamond" w:hAnsi="Garamond"/>
                <w:sz w:val="18"/>
                <w:szCs w:val="18"/>
              </w:rPr>
              <w:t>EBITDA</w:t>
            </w:r>
            <w:r>
              <w:rPr>
                <w:rFonts w:ascii="Garamond" w:hAnsi="Garamond"/>
                <w:sz w:val="18"/>
                <w:szCs w:val="18"/>
              </w:rPr>
              <w:t xml:space="preserve">: </w:t>
            </w:r>
            <w:r w:rsidR="00830286">
              <w:rPr>
                <w:rFonts w:ascii="Garamond" w:hAnsi="Garamond"/>
                <w:sz w:val="18"/>
                <w:szCs w:val="18"/>
              </w:rPr>
              <w:t>$797.10</w:t>
            </w:r>
          </w:p>
          <w:p w14:paraId="2ECDB2B3" w14:textId="1E199439" w:rsidR="009F3FB8" w:rsidRPr="007B6BCD" w:rsidRDefault="00E21938" w:rsidP="00E21938">
            <w:pPr>
              <w:rPr>
                <w:rFonts w:ascii="Garamond" w:hAnsi="Garamond"/>
                <w:sz w:val="18"/>
                <w:szCs w:val="18"/>
              </w:rPr>
            </w:pPr>
            <w:r>
              <w:rPr>
                <w:rFonts w:ascii="Garamond" w:hAnsi="Garamond"/>
                <w:sz w:val="18"/>
                <w:szCs w:val="18"/>
              </w:rPr>
              <w:t xml:space="preserve">Industry </w:t>
            </w:r>
            <w:proofErr w:type="spellStart"/>
            <w:r w:rsidR="00CC5E37">
              <w:rPr>
                <w:rFonts w:ascii="Garamond" w:hAnsi="Garamond"/>
                <w:sz w:val="18"/>
                <w:szCs w:val="18"/>
              </w:rPr>
              <w:t>Avg</w:t>
            </w:r>
            <w:proofErr w:type="spellEnd"/>
            <w:r w:rsidR="00CC5E37">
              <w:rPr>
                <w:rFonts w:ascii="Garamond" w:hAnsi="Garamond"/>
                <w:sz w:val="18"/>
                <w:szCs w:val="18"/>
              </w:rPr>
              <w:t xml:space="preserve"> </w:t>
            </w:r>
            <w:r w:rsidR="00830286">
              <w:rPr>
                <w:rFonts w:ascii="Garamond" w:hAnsi="Garamond"/>
                <w:sz w:val="18"/>
                <w:szCs w:val="18"/>
              </w:rPr>
              <w:t>EV/EBITDA: 23.50</w:t>
            </w:r>
            <w:r w:rsidR="00CC5E37">
              <w:rPr>
                <w:rFonts w:ascii="Garamond" w:hAnsi="Garamond"/>
                <w:sz w:val="18"/>
                <w:szCs w:val="18"/>
              </w:rPr>
              <w:t>x</w:t>
            </w:r>
          </w:p>
        </w:tc>
        <w:tc>
          <w:tcPr>
            <w:tcW w:w="2661" w:type="dxa"/>
          </w:tcPr>
          <w:p w14:paraId="6C931331" w14:textId="77777777" w:rsidR="007B6BCD" w:rsidRPr="00E050E1" w:rsidRDefault="007B6BCD" w:rsidP="007B6BCD">
            <w:pPr>
              <w:rPr>
                <w:rFonts w:ascii="Garamond" w:hAnsi="Garamond"/>
                <w:b/>
                <w:sz w:val="22"/>
                <w:szCs w:val="22"/>
              </w:rPr>
            </w:pPr>
            <w:r w:rsidRPr="00E050E1">
              <w:rPr>
                <w:rFonts w:ascii="Garamond" w:hAnsi="Garamond"/>
                <w:b/>
                <w:sz w:val="22"/>
                <w:szCs w:val="22"/>
              </w:rPr>
              <w:t>Key Financials</w:t>
            </w:r>
          </w:p>
          <w:p w14:paraId="61543BEE" w14:textId="64FB554F" w:rsidR="007B6BCD" w:rsidRPr="00D920E6" w:rsidRDefault="00E21938" w:rsidP="007B6BCD">
            <w:pPr>
              <w:rPr>
                <w:rFonts w:ascii="Garamond" w:hAnsi="Garamond"/>
                <w:sz w:val="18"/>
                <w:szCs w:val="18"/>
              </w:rPr>
            </w:pPr>
            <w:r>
              <w:rPr>
                <w:rFonts w:ascii="Garamond" w:hAnsi="Garamond"/>
                <w:sz w:val="18"/>
                <w:szCs w:val="18"/>
              </w:rPr>
              <w:t>Total Operating Margin</w:t>
            </w:r>
            <w:r w:rsidR="007B6BCD" w:rsidRPr="00D920E6">
              <w:rPr>
                <w:rFonts w:ascii="Garamond" w:hAnsi="Garamond"/>
                <w:sz w:val="18"/>
                <w:szCs w:val="18"/>
              </w:rPr>
              <w:t xml:space="preserve">: </w:t>
            </w:r>
            <w:r w:rsidR="00B22DC9">
              <w:rPr>
                <w:rFonts w:ascii="Garamond" w:hAnsi="Garamond"/>
                <w:sz w:val="18"/>
                <w:szCs w:val="18"/>
              </w:rPr>
              <w:t>13.4%</w:t>
            </w:r>
          </w:p>
          <w:p w14:paraId="78466961" w14:textId="1904A65F" w:rsidR="009F3FB8" w:rsidRDefault="00830286" w:rsidP="001A4EC4">
            <w:pPr>
              <w:rPr>
                <w:rFonts w:ascii="Garamond" w:hAnsi="Garamond"/>
                <w:sz w:val="18"/>
                <w:szCs w:val="18"/>
              </w:rPr>
            </w:pPr>
            <w:r>
              <w:rPr>
                <w:rFonts w:ascii="Garamond" w:hAnsi="Garamond"/>
                <w:sz w:val="18"/>
                <w:szCs w:val="18"/>
              </w:rPr>
              <w:t xml:space="preserve">FCF/Debt: </w:t>
            </w:r>
            <w:r w:rsidR="00B22DC9">
              <w:rPr>
                <w:rFonts w:ascii="Garamond" w:hAnsi="Garamond"/>
                <w:sz w:val="18"/>
                <w:szCs w:val="18"/>
              </w:rPr>
              <w:t>NA</w:t>
            </w:r>
          </w:p>
          <w:p w14:paraId="4A8FEA40" w14:textId="626F48DA" w:rsidR="00E21938" w:rsidRDefault="00830286" w:rsidP="001A4EC4">
            <w:pPr>
              <w:rPr>
                <w:rFonts w:ascii="Garamond" w:hAnsi="Garamond"/>
                <w:sz w:val="18"/>
                <w:szCs w:val="18"/>
              </w:rPr>
            </w:pPr>
            <w:r>
              <w:rPr>
                <w:rFonts w:ascii="Garamond" w:hAnsi="Garamond"/>
                <w:sz w:val="18"/>
                <w:szCs w:val="18"/>
              </w:rPr>
              <w:t xml:space="preserve">Net Debt/Equity: </w:t>
            </w:r>
            <w:r w:rsidR="00B22DC9">
              <w:rPr>
                <w:rFonts w:ascii="Garamond" w:hAnsi="Garamond"/>
                <w:sz w:val="18"/>
                <w:szCs w:val="18"/>
              </w:rPr>
              <w:t>NA</w:t>
            </w:r>
          </w:p>
          <w:p w14:paraId="28F19D31" w14:textId="624AB1D4" w:rsidR="00E21938" w:rsidRDefault="00830286" w:rsidP="001A4EC4">
            <w:pPr>
              <w:rPr>
                <w:rFonts w:ascii="Garamond" w:hAnsi="Garamond"/>
                <w:sz w:val="18"/>
                <w:szCs w:val="18"/>
              </w:rPr>
            </w:pPr>
            <w:r>
              <w:rPr>
                <w:rFonts w:ascii="Garamond" w:hAnsi="Garamond"/>
                <w:sz w:val="18"/>
                <w:szCs w:val="18"/>
              </w:rPr>
              <w:t xml:space="preserve">FCF Yield: </w:t>
            </w:r>
            <w:r w:rsidR="00B22DC9">
              <w:rPr>
                <w:rFonts w:ascii="Garamond" w:hAnsi="Garamond"/>
                <w:sz w:val="18"/>
                <w:szCs w:val="18"/>
              </w:rPr>
              <w:t>1.17</w:t>
            </w:r>
          </w:p>
          <w:p w14:paraId="244D4D94" w14:textId="6694FBAA" w:rsidR="00E21938" w:rsidRPr="007B6BCD" w:rsidRDefault="00830286" w:rsidP="001A4EC4">
            <w:pPr>
              <w:rPr>
                <w:sz w:val="18"/>
                <w:szCs w:val="18"/>
              </w:rPr>
            </w:pPr>
            <w:r>
              <w:rPr>
                <w:rFonts w:ascii="Garamond" w:hAnsi="Garamond"/>
                <w:sz w:val="18"/>
                <w:szCs w:val="18"/>
              </w:rPr>
              <w:t>Net Debt/</w:t>
            </w:r>
            <w:proofErr w:type="spellStart"/>
            <w:r>
              <w:rPr>
                <w:rFonts w:ascii="Garamond" w:hAnsi="Garamond"/>
                <w:sz w:val="18"/>
                <w:szCs w:val="18"/>
              </w:rPr>
              <w:t>Adj</w:t>
            </w:r>
            <w:proofErr w:type="spellEnd"/>
            <w:r>
              <w:rPr>
                <w:rFonts w:ascii="Garamond" w:hAnsi="Garamond"/>
                <w:sz w:val="18"/>
                <w:szCs w:val="18"/>
              </w:rPr>
              <w:t xml:space="preserve"> EBITDA: </w:t>
            </w:r>
            <w:r w:rsidR="00B22DC9">
              <w:rPr>
                <w:rFonts w:ascii="Garamond" w:hAnsi="Garamond"/>
                <w:sz w:val="18"/>
                <w:szCs w:val="18"/>
              </w:rPr>
              <w:t>NA</w:t>
            </w:r>
          </w:p>
        </w:tc>
      </w:tr>
      <w:tr w:rsidR="001A4EC4" w14:paraId="5CE241D8" w14:textId="77777777" w:rsidTr="00CC5E37">
        <w:trPr>
          <w:trHeight w:val="222"/>
        </w:trPr>
        <w:tc>
          <w:tcPr>
            <w:tcW w:w="3060" w:type="dxa"/>
          </w:tcPr>
          <w:p w14:paraId="427003DB" w14:textId="5828273B" w:rsidR="001A4EC4" w:rsidRPr="00D920E6" w:rsidRDefault="001A4EC4" w:rsidP="007B6BCD">
            <w:pPr>
              <w:rPr>
                <w:rFonts w:ascii="Garamond" w:hAnsi="Garamond"/>
                <w:b/>
                <w:sz w:val="22"/>
                <w:szCs w:val="22"/>
              </w:rPr>
            </w:pPr>
          </w:p>
        </w:tc>
        <w:tc>
          <w:tcPr>
            <w:tcW w:w="2661" w:type="dxa"/>
          </w:tcPr>
          <w:p w14:paraId="5E50CD56" w14:textId="77777777" w:rsidR="001A4EC4" w:rsidRPr="00E050E1" w:rsidRDefault="001A4EC4" w:rsidP="007B6BCD">
            <w:pPr>
              <w:rPr>
                <w:rFonts w:ascii="Garamond" w:hAnsi="Garamond"/>
                <w:b/>
                <w:sz w:val="22"/>
                <w:szCs w:val="22"/>
              </w:rPr>
            </w:pPr>
          </w:p>
        </w:tc>
      </w:tr>
    </w:tbl>
    <w:p w14:paraId="42FD9E8B" w14:textId="77777777" w:rsidR="0001462B" w:rsidRDefault="0001462B" w:rsidP="0001462B">
      <w:pPr>
        <w:rPr>
          <w:rFonts w:ascii="Garamond" w:hAnsi="Garamond"/>
          <w:b/>
          <w:sz w:val="22"/>
          <w:szCs w:val="22"/>
        </w:rPr>
      </w:pPr>
      <w:r w:rsidRPr="007D207F">
        <w:rPr>
          <w:rFonts w:ascii="Garamond" w:hAnsi="Garamond"/>
          <w:b/>
          <w:sz w:val="22"/>
          <w:szCs w:val="22"/>
        </w:rPr>
        <w:t>Corporate Social Responsibility</w:t>
      </w:r>
    </w:p>
    <w:p w14:paraId="16B80E32" w14:textId="131A852D" w:rsidR="0001462B" w:rsidRPr="00D920E6" w:rsidRDefault="0001462B" w:rsidP="0001462B">
      <w:pPr>
        <w:rPr>
          <w:rFonts w:ascii="Garamond" w:hAnsi="Garamond" w:cs="Times New Roman"/>
          <w:sz w:val="18"/>
          <w:szCs w:val="18"/>
        </w:rPr>
      </w:pPr>
      <w:r w:rsidRPr="00D920E6">
        <w:rPr>
          <w:rFonts w:ascii="Garamond" w:hAnsi="Garamond" w:cs="Arial"/>
          <w:color w:val="000000"/>
          <w:sz w:val="18"/>
          <w:szCs w:val="18"/>
        </w:rPr>
        <w:t xml:space="preserve">ESG Disclosure Score: </w:t>
      </w:r>
      <w:r w:rsidR="00B22DC9">
        <w:rPr>
          <w:rFonts w:ascii="Garamond" w:hAnsi="Garamond" w:cs="Arial"/>
          <w:color w:val="000000"/>
          <w:sz w:val="18"/>
          <w:szCs w:val="18"/>
        </w:rPr>
        <w:t>11.16</w:t>
      </w:r>
      <w:r w:rsidR="00E94838">
        <w:rPr>
          <w:rFonts w:ascii="Garamond" w:hAnsi="Garamond" w:cs="Arial"/>
          <w:color w:val="000000"/>
          <w:sz w:val="18"/>
          <w:szCs w:val="18"/>
        </w:rPr>
        <w:t xml:space="preserve"> (Industry Av</w:t>
      </w:r>
      <w:r w:rsidR="007E1AA9">
        <w:rPr>
          <w:rFonts w:ascii="Garamond" w:hAnsi="Garamond" w:cs="Arial"/>
          <w:color w:val="000000"/>
          <w:sz w:val="18"/>
          <w:szCs w:val="18"/>
        </w:rPr>
        <w:t>erage</w:t>
      </w:r>
      <w:r w:rsidR="00E94838">
        <w:rPr>
          <w:rFonts w:ascii="Garamond" w:hAnsi="Garamond" w:cs="Arial"/>
          <w:color w:val="000000"/>
          <w:sz w:val="18"/>
          <w:szCs w:val="18"/>
        </w:rPr>
        <w:t>: 14.51)</w:t>
      </w:r>
    </w:p>
    <w:p w14:paraId="2E054385" w14:textId="2B644C0B" w:rsidR="0001462B" w:rsidRDefault="00B22DC9" w:rsidP="0001462B">
      <w:pPr>
        <w:rPr>
          <w:rFonts w:ascii="Garamond" w:hAnsi="Garamond" w:cs="Arial"/>
          <w:color w:val="000000"/>
          <w:sz w:val="18"/>
          <w:szCs w:val="18"/>
        </w:rPr>
      </w:pPr>
      <w:r>
        <w:rPr>
          <w:rFonts w:ascii="Garamond" w:hAnsi="Garamond" w:cs="Arial"/>
          <w:color w:val="000000"/>
          <w:sz w:val="18"/>
          <w:szCs w:val="18"/>
        </w:rPr>
        <w:t>Governance</w:t>
      </w:r>
      <w:r w:rsidR="00E21938">
        <w:rPr>
          <w:rFonts w:ascii="Garamond" w:hAnsi="Garamond" w:cs="Arial"/>
          <w:color w:val="000000"/>
          <w:sz w:val="18"/>
          <w:szCs w:val="18"/>
        </w:rPr>
        <w:t xml:space="preserve"> Disclosure Score</w:t>
      </w:r>
      <w:r w:rsidR="00830286">
        <w:rPr>
          <w:rFonts w:ascii="Garamond" w:hAnsi="Garamond" w:cs="Arial"/>
          <w:color w:val="000000"/>
          <w:sz w:val="18"/>
          <w:szCs w:val="18"/>
        </w:rPr>
        <w:t>:</w:t>
      </w:r>
      <w:r>
        <w:rPr>
          <w:rFonts w:ascii="Garamond" w:hAnsi="Garamond" w:cs="Arial"/>
          <w:color w:val="000000"/>
          <w:sz w:val="18"/>
          <w:szCs w:val="18"/>
        </w:rPr>
        <w:t xml:space="preserve"> 48.21</w:t>
      </w:r>
      <w:r w:rsidR="00E94838">
        <w:rPr>
          <w:rFonts w:ascii="Garamond" w:hAnsi="Garamond" w:cs="Arial"/>
          <w:color w:val="000000"/>
          <w:sz w:val="18"/>
          <w:szCs w:val="18"/>
        </w:rPr>
        <w:t xml:space="preserve"> (Industry </w:t>
      </w:r>
      <w:r w:rsidR="007E1AA9">
        <w:rPr>
          <w:rFonts w:ascii="Garamond" w:hAnsi="Garamond" w:cs="Arial"/>
          <w:color w:val="000000"/>
          <w:sz w:val="18"/>
          <w:szCs w:val="18"/>
        </w:rPr>
        <w:t>Average</w:t>
      </w:r>
      <w:r w:rsidR="00E94838">
        <w:rPr>
          <w:rFonts w:ascii="Garamond" w:hAnsi="Garamond" w:cs="Arial"/>
          <w:color w:val="000000"/>
          <w:sz w:val="18"/>
          <w:szCs w:val="18"/>
        </w:rPr>
        <w:t>: 47.99)</w:t>
      </w:r>
    </w:p>
    <w:p w14:paraId="1AFC175E" w14:textId="64DF582D" w:rsidR="0001462B" w:rsidRPr="00D920E6" w:rsidRDefault="0001462B" w:rsidP="0001462B">
      <w:pPr>
        <w:rPr>
          <w:rFonts w:ascii="Garamond" w:hAnsi="Garamond" w:cs="Times New Roman"/>
          <w:sz w:val="18"/>
          <w:szCs w:val="18"/>
        </w:rPr>
      </w:pPr>
      <w:r>
        <w:rPr>
          <w:rFonts w:ascii="Garamond" w:hAnsi="Garamond" w:cs="Arial"/>
          <w:color w:val="000000"/>
          <w:sz w:val="18"/>
          <w:szCs w:val="18"/>
        </w:rPr>
        <w:t>Percent Women on Board</w:t>
      </w:r>
      <w:r w:rsidRPr="00D920E6">
        <w:rPr>
          <w:rFonts w:ascii="Garamond" w:hAnsi="Garamond" w:cs="Arial"/>
          <w:color w:val="000000"/>
          <w:sz w:val="18"/>
          <w:szCs w:val="18"/>
        </w:rPr>
        <w:t xml:space="preserve">: </w:t>
      </w:r>
      <w:r w:rsidR="00B22DC9">
        <w:rPr>
          <w:rFonts w:ascii="Garamond" w:hAnsi="Garamond" w:cs="Arial"/>
          <w:color w:val="000000"/>
          <w:sz w:val="18"/>
          <w:szCs w:val="18"/>
        </w:rPr>
        <w:t>45.45</w:t>
      </w:r>
      <w:r w:rsidR="00E94838">
        <w:rPr>
          <w:rFonts w:ascii="Garamond" w:hAnsi="Garamond" w:cs="Arial"/>
          <w:color w:val="000000"/>
          <w:sz w:val="18"/>
          <w:szCs w:val="18"/>
        </w:rPr>
        <w:t xml:space="preserve"> (Industry </w:t>
      </w:r>
      <w:r w:rsidR="007E1AA9">
        <w:rPr>
          <w:rFonts w:ascii="Garamond" w:hAnsi="Garamond" w:cs="Arial"/>
          <w:color w:val="000000"/>
          <w:sz w:val="18"/>
          <w:szCs w:val="18"/>
        </w:rPr>
        <w:t>Average</w:t>
      </w:r>
      <w:r w:rsidR="00E94838">
        <w:rPr>
          <w:rFonts w:ascii="Garamond" w:hAnsi="Garamond" w:cs="Arial"/>
          <w:color w:val="000000"/>
          <w:sz w:val="18"/>
          <w:szCs w:val="18"/>
        </w:rPr>
        <w:t>: 24.81)</w:t>
      </w:r>
    </w:p>
    <w:p w14:paraId="26F7EAF9" w14:textId="1B217B93" w:rsidR="00481556" w:rsidRDefault="00481556" w:rsidP="007B6BCD">
      <w:pPr>
        <w:rPr>
          <w:rFonts w:ascii="Garamond" w:hAnsi="Garamond" w:cs="Arial"/>
          <w:color w:val="000000"/>
          <w:sz w:val="18"/>
          <w:szCs w:val="18"/>
        </w:rPr>
      </w:pPr>
      <w:r>
        <w:rPr>
          <w:rFonts w:ascii="Garamond" w:hAnsi="Garamond" w:cs="Arial"/>
          <w:color w:val="000000"/>
          <w:sz w:val="18"/>
          <w:szCs w:val="18"/>
        </w:rPr>
        <w:t>Percent</w:t>
      </w:r>
      <w:r w:rsidR="00766B4C">
        <w:rPr>
          <w:rFonts w:ascii="Garamond" w:hAnsi="Garamond" w:cs="Arial"/>
          <w:color w:val="000000"/>
          <w:sz w:val="18"/>
          <w:szCs w:val="18"/>
        </w:rPr>
        <w:t xml:space="preserve"> of Female Executives</w:t>
      </w:r>
      <w:r w:rsidR="00830286">
        <w:rPr>
          <w:rFonts w:ascii="Garamond" w:hAnsi="Garamond" w:cs="Arial"/>
          <w:color w:val="000000"/>
          <w:sz w:val="18"/>
          <w:szCs w:val="18"/>
        </w:rPr>
        <w:t>:</w:t>
      </w:r>
      <w:r>
        <w:rPr>
          <w:rFonts w:ascii="Garamond" w:hAnsi="Garamond" w:cs="Arial"/>
          <w:color w:val="000000"/>
          <w:sz w:val="18"/>
          <w:szCs w:val="18"/>
        </w:rPr>
        <w:t xml:space="preserve"> 22.22</w:t>
      </w:r>
      <w:r w:rsidR="00E94838">
        <w:rPr>
          <w:rFonts w:ascii="Garamond" w:hAnsi="Garamond" w:cs="Arial"/>
          <w:color w:val="000000"/>
          <w:sz w:val="18"/>
          <w:szCs w:val="18"/>
        </w:rPr>
        <w:t xml:space="preserve"> (Industry </w:t>
      </w:r>
      <w:r w:rsidR="007E1AA9">
        <w:rPr>
          <w:rFonts w:ascii="Garamond" w:hAnsi="Garamond" w:cs="Arial"/>
          <w:color w:val="000000"/>
          <w:sz w:val="18"/>
          <w:szCs w:val="18"/>
        </w:rPr>
        <w:t>Average</w:t>
      </w:r>
      <w:r w:rsidR="00E94838">
        <w:rPr>
          <w:rFonts w:ascii="Garamond" w:hAnsi="Garamond" w:cs="Arial"/>
          <w:color w:val="000000"/>
          <w:sz w:val="18"/>
          <w:szCs w:val="18"/>
        </w:rPr>
        <w:t>: 23.93)</w:t>
      </w:r>
    </w:p>
    <w:p w14:paraId="1C42CC8D" w14:textId="74EC023A" w:rsidR="00481556" w:rsidRDefault="00481556" w:rsidP="007B6BCD">
      <w:pPr>
        <w:rPr>
          <w:rFonts w:ascii="Garamond" w:hAnsi="Garamond" w:cs="Arial"/>
          <w:color w:val="000000"/>
          <w:sz w:val="18"/>
          <w:szCs w:val="18"/>
        </w:rPr>
      </w:pPr>
      <w:r>
        <w:rPr>
          <w:rFonts w:ascii="Garamond" w:hAnsi="Garamond" w:cs="Arial"/>
          <w:color w:val="000000"/>
          <w:sz w:val="18"/>
          <w:szCs w:val="18"/>
        </w:rPr>
        <w:t>Percent of Independent Directors: 90.91</w:t>
      </w:r>
      <w:r w:rsidR="00E94838">
        <w:rPr>
          <w:rFonts w:ascii="Garamond" w:hAnsi="Garamond" w:cs="Arial"/>
          <w:color w:val="000000"/>
          <w:sz w:val="18"/>
          <w:szCs w:val="18"/>
        </w:rPr>
        <w:t xml:space="preserve"> (Industry </w:t>
      </w:r>
      <w:r w:rsidR="007E1AA9">
        <w:rPr>
          <w:rFonts w:ascii="Garamond" w:hAnsi="Garamond" w:cs="Arial"/>
          <w:color w:val="000000"/>
          <w:sz w:val="18"/>
          <w:szCs w:val="18"/>
        </w:rPr>
        <w:t>Average:</w:t>
      </w:r>
      <w:r w:rsidR="00E94838">
        <w:rPr>
          <w:rFonts w:ascii="Garamond" w:hAnsi="Garamond" w:cs="Arial"/>
          <w:color w:val="000000"/>
          <w:sz w:val="18"/>
          <w:szCs w:val="18"/>
        </w:rPr>
        <w:t xml:space="preserve"> 81.60)</w:t>
      </w:r>
    </w:p>
    <w:p w14:paraId="3B6A308E" w14:textId="77777777" w:rsidR="00481556" w:rsidRDefault="00481556" w:rsidP="007B6BCD">
      <w:pPr>
        <w:rPr>
          <w:rFonts w:ascii="Garamond" w:hAnsi="Garamond" w:cs="Arial"/>
          <w:color w:val="000000"/>
          <w:sz w:val="18"/>
          <w:szCs w:val="18"/>
        </w:rPr>
      </w:pPr>
    </w:p>
    <w:p w14:paraId="49AE0A06" w14:textId="77777777" w:rsidR="00481556" w:rsidRDefault="00481556" w:rsidP="007B6BCD">
      <w:pPr>
        <w:rPr>
          <w:rFonts w:ascii="Garamond" w:hAnsi="Garamond" w:cs="Arial"/>
          <w:color w:val="000000"/>
          <w:sz w:val="18"/>
          <w:szCs w:val="18"/>
        </w:rPr>
      </w:pPr>
    </w:p>
    <w:p w14:paraId="34C368FD" w14:textId="77777777" w:rsidR="00481556" w:rsidRDefault="00481556" w:rsidP="007B6BCD">
      <w:pPr>
        <w:rPr>
          <w:rFonts w:ascii="Garamond" w:hAnsi="Garamond" w:cs="Arial"/>
          <w:color w:val="000000"/>
          <w:sz w:val="18"/>
          <w:szCs w:val="18"/>
        </w:rPr>
      </w:pPr>
    </w:p>
    <w:p w14:paraId="479F7F76" w14:textId="77777777" w:rsidR="00481556" w:rsidRDefault="00481556" w:rsidP="007B6BCD">
      <w:pPr>
        <w:rPr>
          <w:rFonts w:ascii="Garamond" w:hAnsi="Garamond" w:cs="Arial"/>
          <w:color w:val="000000"/>
          <w:sz w:val="18"/>
          <w:szCs w:val="18"/>
        </w:rPr>
      </w:pPr>
    </w:p>
    <w:p w14:paraId="4CE9ABA1" w14:textId="77777777" w:rsidR="00481556" w:rsidRDefault="00481556" w:rsidP="007B6BCD">
      <w:pPr>
        <w:rPr>
          <w:rFonts w:ascii="Garamond" w:hAnsi="Garamond" w:cs="Arial"/>
          <w:color w:val="000000"/>
          <w:sz w:val="18"/>
          <w:szCs w:val="18"/>
        </w:rPr>
      </w:pPr>
    </w:p>
    <w:p w14:paraId="5352CA68" w14:textId="77777777" w:rsidR="00481556" w:rsidRDefault="00481556" w:rsidP="007B6BCD">
      <w:pPr>
        <w:rPr>
          <w:rFonts w:ascii="Garamond" w:hAnsi="Garamond" w:cs="Arial"/>
          <w:color w:val="000000"/>
          <w:sz w:val="18"/>
          <w:szCs w:val="18"/>
        </w:rPr>
      </w:pPr>
    </w:p>
    <w:p w14:paraId="096A3FE8" w14:textId="0FFE14FF" w:rsidR="00766B4C" w:rsidRDefault="00766B4C" w:rsidP="007B6BCD">
      <w:pPr>
        <w:rPr>
          <w:rFonts w:ascii="Garamond" w:hAnsi="Garamond"/>
          <w:b/>
        </w:rPr>
      </w:pPr>
      <w:r>
        <w:rPr>
          <w:rFonts w:ascii="Garamond" w:hAnsi="Garamond" w:cs="Arial"/>
          <w:color w:val="000000"/>
          <w:sz w:val="18"/>
          <w:szCs w:val="18"/>
        </w:rPr>
        <w:br/>
      </w:r>
    </w:p>
    <w:p w14:paraId="5C3D1EF1" w14:textId="77777777" w:rsidR="00766B4C" w:rsidRDefault="00766B4C" w:rsidP="007B6BCD">
      <w:pPr>
        <w:rPr>
          <w:rFonts w:ascii="Garamond" w:hAnsi="Garamond"/>
          <w:b/>
        </w:rPr>
      </w:pPr>
    </w:p>
    <w:p w14:paraId="54708CDB" w14:textId="4C2255A9" w:rsidR="007B6BCD" w:rsidRDefault="007B6BCD" w:rsidP="007B6BCD">
      <w:pPr>
        <w:rPr>
          <w:rFonts w:ascii="Garamond" w:hAnsi="Garamond"/>
          <w:b/>
        </w:rPr>
      </w:pPr>
      <w:r w:rsidRPr="00DC65EB">
        <w:rPr>
          <w:rFonts w:ascii="Garamond" w:hAnsi="Garamond"/>
          <w:b/>
        </w:rPr>
        <w:t>5-Year Stock Performance</w:t>
      </w:r>
    </w:p>
    <w:p w14:paraId="6DD9B7E4" w14:textId="6BA75EF6" w:rsidR="007B6BCD" w:rsidRPr="007B6BCD" w:rsidRDefault="003B6B39" w:rsidP="007B6BCD">
      <w:pPr>
        <w:rPr>
          <w:rFonts w:ascii="Garamond" w:eastAsia="Times New Roman" w:hAnsi="Garamond" w:cs="Times New Roman"/>
          <w:sz w:val="20"/>
          <w:szCs w:val="20"/>
        </w:rPr>
      </w:pPr>
      <w:r>
        <w:rPr>
          <w:noProof/>
        </w:rPr>
        <w:drawing>
          <wp:inline distT="0" distB="0" distL="0" distR="0" wp14:anchorId="235D6B4F" wp14:editId="14AE6DF4">
            <wp:extent cx="3192780" cy="1796854"/>
            <wp:effectExtent l="0" t="0" r="7620" b="0"/>
            <wp:docPr id="4" name="Picture 4" descr="https://lh3.googleusercontent.com/UH8PU6q8HVfAO0UuYajlxp2JOBBeyuUCQEEsXXH-gcUwXJulvu8ugss5dwrYWW0neNLjKQIA3NKJ8OKxVAv011_bw56Iz11Ft4po4pVEQTRpyex0bRWOCqFc1yMgYB5LzoIAUp0l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H8PU6q8HVfAO0UuYajlxp2JOBBeyuUCQEEsXXH-gcUwXJulvu8ugss5dwrYWW0neNLjKQIA3NKJ8OKxVAv011_bw56Iz11Ft4po4pVEQTRpyex0bRWOCqFc1yMgYB5LzoIAUp0lnD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8915" cy="1800307"/>
                    </a:xfrm>
                    <a:prstGeom prst="rect">
                      <a:avLst/>
                    </a:prstGeom>
                    <a:noFill/>
                    <a:ln>
                      <a:noFill/>
                    </a:ln>
                  </pic:spPr>
                </pic:pic>
              </a:graphicData>
            </a:graphic>
          </wp:inline>
        </w:drawing>
      </w:r>
    </w:p>
    <w:p w14:paraId="7F3FC2B3" w14:textId="77777777" w:rsidR="007B6BCD" w:rsidRPr="00AF783E" w:rsidRDefault="007B6BCD" w:rsidP="007B6BCD">
      <w:pPr>
        <w:jc w:val="both"/>
        <w:rPr>
          <w:sz w:val="18"/>
          <w:szCs w:val="18"/>
        </w:rPr>
      </w:pPr>
    </w:p>
    <w:p w14:paraId="5DC82968" w14:textId="77777777" w:rsidR="007B6BCD" w:rsidRPr="009C19DF" w:rsidRDefault="007B6BCD" w:rsidP="007B6BCD">
      <w:pPr>
        <w:jc w:val="both"/>
        <w:rPr>
          <w:rFonts w:ascii="Garamond" w:hAnsi="Garamond"/>
          <w:b/>
          <w:sz w:val="22"/>
          <w:szCs w:val="22"/>
        </w:rPr>
      </w:pPr>
      <w:r w:rsidRPr="009C19DF">
        <w:rPr>
          <w:rFonts w:ascii="Garamond" w:hAnsi="Garamond"/>
          <w:b/>
          <w:sz w:val="22"/>
          <w:szCs w:val="22"/>
        </w:rPr>
        <w:t>Competitive Analysis</w:t>
      </w:r>
    </w:p>
    <w:p w14:paraId="0F53FB03" w14:textId="0B07A379" w:rsidR="007B6BCD" w:rsidRDefault="002F6FDD" w:rsidP="007B6BCD">
      <w:pPr>
        <w:rPr>
          <w:rFonts w:ascii="Garamond" w:eastAsia="Times New Roman" w:hAnsi="Garamond" w:cs="Times New Roman"/>
          <w:color w:val="000000"/>
          <w:sz w:val="20"/>
          <w:szCs w:val="20"/>
        </w:rPr>
      </w:pPr>
      <w:proofErr w:type="spellStart"/>
      <w:r>
        <w:rPr>
          <w:rFonts w:ascii="Garamond" w:eastAsia="Times New Roman" w:hAnsi="Garamond" w:cs="Times New Roman"/>
          <w:color w:val="000000"/>
          <w:sz w:val="20"/>
          <w:szCs w:val="20"/>
        </w:rPr>
        <w:t>Ulta</w:t>
      </w:r>
      <w:proofErr w:type="spellEnd"/>
      <w:r>
        <w:rPr>
          <w:rFonts w:ascii="Garamond" w:eastAsia="Times New Roman" w:hAnsi="Garamond" w:cs="Times New Roman"/>
          <w:color w:val="000000"/>
          <w:sz w:val="20"/>
          <w:szCs w:val="20"/>
        </w:rPr>
        <w:t xml:space="preserve"> Beauty competes with department stores, specialty stores, drug stores, mass merchandisers and online businesses of national retailers and pure-ecommerce businesses. Its competitors include Sephora, Macy’s, Amazon, Estee Lauder, L’Oreal, Coty, and Procter &amp; Gamble. No one competitors sells as many different types of products or</w:t>
      </w:r>
      <w:r w:rsidR="00CC1AEA">
        <w:rPr>
          <w:rFonts w:ascii="Garamond" w:eastAsia="Times New Roman" w:hAnsi="Garamond" w:cs="Times New Roman"/>
          <w:color w:val="000000"/>
          <w:sz w:val="20"/>
          <w:szCs w:val="20"/>
        </w:rPr>
        <w:t xml:space="preserve"> offers the same services as </w:t>
      </w:r>
      <w:proofErr w:type="spellStart"/>
      <w:r w:rsidR="00CC1AEA">
        <w:rPr>
          <w:rFonts w:ascii="Garamond" w:eastAsia="Times New Roman" w:hAnsi="Garamond" w:cs="Times New Roman"/>
          <w:color w:val="000000"/>
          <w:sz w:val="20"/>
          <w:szCs w:val="20"/>
        </w:rPr>
        <w:t>Ulta</w:t>
      </w:r>
      <w:proofErr w:type="spellEnd"/>
      <w:r>
        <w:rPr>
          <w:rFonts w:ascii="Garamond" w:eastAsia="Times New Roman" w:hAnsi="Garamond" w:cs="Times New Roman"/>
          <w:color w:val="000000"/>
          <w:sz w:val="20"/>
          <w:szCs w:val="20"/>
        </w:rPr>
        <w:t>.</w:t>
      </w:r>
    </w:p>
    <w:p w14:paraId="5299DE83" w14:textId="77777777" w:rsidR="00C64112" w:rsidRPr="00766B4C" w:rsidRDefault="00C64112" w:rsidP="007B6BCD">
      <w:pPr>
        <w:rPr>
          <w:rFonts w:ascii="Garamond" w:eastAsia="Times New Roman" w:hAnsi="Garamond" w:cs="Arial"/>
          <w:color w:val="000000"/>
          <w:sz w:val="18"/>
          <w:szCs w:val="18"/>
          <w:highlight w:val="yellow"/>
        </w:rPr>
      </w:pPr>
    </w:p>
    <w:p w14:paraId="33F9E8C0" w14:textId="6A10751E" w:rsidR="007B6BCD" w:rsidRPr="009319DF" w:rsidRDefault="007B6BCD" w:rsidP="007B6BCD">
      <w:pPr>
        <w:rPr>
          <w:rFonts w:ascii="Garamond" w:eastAsia="Times New Roman" w:hAnsi="Garamond" w:cs="Arial"/>
          <w:b/>
          <w:color w:val="000000"/>
          <w:sz w:val="22"/>
          <w:szCs w:val="22"/>
        </w:rPr>
      </w:pPr>
      <w:r w:rsidRPr="009319DF">
        <w:rPr>
          <w:rFonts w:ascii="Garamond" w:eastAsia="Times New Roman" w:hAnsi="Garamond" w:cs="Arial"/>
          <w:b/>
          <w:color w:val="000000"/>
          <w:sz w:val="22"/>
          <w:szCs w:val="22"/>
        </w:rPr>
        <w:t>Competitive Advantages</w:t>
      </w:r>
    </w:p>
    <w:p w14:paraId="019B54CA" w14:textId="1D12A199" w:rsidR="00C64112" w:rsidRDefault="00D47AF4" w:rsidP="0031586E">
      <w:pPr>
        <w:jc w:val="both"/>
        <w:rPr>
          <w:rFonts w:ascii="Garamond" w:eastAsia="Times New Roman" w:hAnsi="Garamond" w:cs="Times New Roman"/>
          <w:color w:val="000000"/>
          <w:sz w:val="20"/>
          <w:szCs w:val="20"/>
        </w:rPr>
      </w:pPr>
      <w:proofErr w:type="spellStart"/>
      <w:r>
        <w:rPr>
          <w:rFonts w:ascii="Garamond" w:eastAsia="Times New Roman" w:hAnsi="Garamond" w:cs="Times New Roman"/>
          <w:color w:val="000000"/>
          <w:sz w:val="20"/>
          <w:szCs w:val="20"/>
        </w:rPr>
        <w:t>Ulta’s</w:t>
      </w:r>
      <w:proofErr w:type="spellEnd"/>
      <w:r>
        <w:rPr>
          <w:rFonts w:ascii="Garamond" w:eastAsia="Times New Roman" w:hAnsi="Garamond" w:cs="Times New Roman"/>
          <w:color w:val="000000"/>
          <w:sz w:val="20"/>
          <w:szCs w:val="20"/>
        </w:rPr>
        <w:t xml:space="preserve"> main competitive advantages are its customer experience, market penetration, and product offerings. </w:t>
      </w:r>
      <w:proofErr w:type="spellStart"/>
      <w:r>
        <w:rPr>
          <w:rFonts w:ascii="Garamond" w:eastAsia="Times New Roman" w:hAnsi="Garamond" w:cs="Times New Roman"/>
          <w:color w:val="000000"/>
          <w:sz w:val="20"/>
          <w:szCs w:val="20"/>
        </w:rPr>
        <w:t>Ulta</w:t>
      </w:r>
      <w:proofErr w:type="spellEnd"/>
      <w:r>
        <w:rPr>
          <w:rFonts w:ascii="Garamond" w:eastAsia="Times New Roman" w:hAnsi="Garamond" w:cs="Times New Roman"/>
          <w:color w:val="000000"/>
          <w:sz w:val="20"/>
          <w:szCs w:val="20"/>
        </w:rPr>
        <w:t xml:space="preserve"> is the only company in the market that offers non-commission based beauty consultants to help guests choose beauty products ranging across the entire spectrum, from mass market to prestige products. Additionally, </w:t>
      </w:r>
      <w:proofErr w:type="spellStart"/>
      <w:r>
        <w:rPr>
          <w:rFonts w:ascii="Garamond" w:eastAsia="Times New Roman" w:hAnsi="Garamond" w:cs="Times New Roman"/>
          <w:color w:val="000000"/>
          <w:sz w:val="20"/>
          <w:szCs w:val="20"/>
        </w:rPr>
        <w:t>Ulta</w:t>
      </w:r>
      <w:proofErr w:type="spellEnd"/>
      <w:r>
        <w:rPr>
          <w:rFonts w:ascii="Garamond" w:eastAsia="Times New Roman" w:hAnsi="Garamond" w:cs="Times New Roman"/>
          <w:color w:val="000000"/>
          <w:sz w:val="20"/>
          <w:szCs w:val="20"/>
        </w:rPr>
        <w:t xml:space="preserve"> has full-service salons in each of its stores. This allows guests to experiment with a new look, and purchase all materials necessary to maintain that look, all in one place. </w:t>
      </w:r>
      <w:proofErr w:type="spellStart"/>
      <w:r>
        <w:rPr>
          <w:rFonts w:ascii="Garamond" w:eastAsia="Times New Roman" w:hAnsi="Garamond" w:cs="Times New Roman"/>
          <w:color w:val="000000"/>
          <w:sz w:val="20"/>
          <w:szCs w:val="20"/>
        </w:rPr>
        <w:t>Ulta</w:t>
      </w:r>
      <w:proofErr w:type="spellEnd"/>
      <w:r>
        <w:rPr>
          <w:rFonts w:ascii="Garamond" w:eastAsia="Times New Roman" w:hAnsi="Garamond" w:cs="Times New Roman"/>
          <w:color w:val="000000"/>
          <w:sz w:val="20"/>
          <w:szCs w:val="20"/>
        </w:rPr>
        <w:t xml:space="preserve"> also benefits from having nearly 1,000 stores across the U.S. and increasingly strong base of ULTAMATE Rewards members. The convenience of its stores and benefits of its rewards program allows </w:t>
      </w:r>
      <w:proofErr w:type="spellStart"/>
      <w:r>
        <w:rPr>
          <w:rFonts w:ascii="Garamond" w:eastAsia="Times New Roman" w:hAnsi="Garamond" w:cs="Times New Roman"/>
          <w:color w:val="000000"/>
          <w:sz w:val="20"/>
          <w:szCs w:val="20"/>
        </w:rPr>
        <w:t>Ulta</w:t>
      </w:r>
      <w:proofErr w:type="spellEnd"/>
      <w:r>
        <w:rPr>
          <w:rFonts w:ascii="Garamond" w:eastAsia="Times New Roman" w:hAnsi="Garamond" w:cs="Times New Roman"/>
          <w:color w:val="000000"/>
          <w:sz w:val="20"/>
          <w:szCs w:val="20"/>
        </w:rPr>
        <w:t xml:space="preserve"> to best target beauty enthusiasts. </w:t>
      </w:r>
      <w:r w:rsidR="00123FB5">
        <w:rPr>
          <w:rFonts w:ascii="Garamond" w:eastAsia="Times New Roman" w:hAnsi="Garamond" w:cs="Times New Roman"/>
          <w:color w:val="000000"/>
          <w:sz w:val="20"/>
          <w:szCs w:val="20"/>
        </w:rPr>
        <w:t xml:space="preserve">Lastly, </w:t>
      </w:r>
      <w:proofErr w:type="spellStart"/>
      <w:r w:rsidR="00123FB5">
        <w:rPr>
          <w:rFonts w:ascii="Garamond" w:eastAsia="Times New Roman" w:hAnsi="Garamond" w:cs="Times New Roman"/>
          <w:color w:val="000000"/>
          <w:sz w:val="20"/>
          <w:szCs w:val="20"/>
        </w:rPr>
        <w:t>Ulta</w:t>
      </w:r>
      <w:proofErr w:type="spellEnd"/>
      <w:r w:rsidR="00123FB5">
        <w:rPr>
          <w:rFonts w:ascii="Garamond" w:eastAsia="Times New Roman" w:hAnsi="Garamond" w:cs="Times New Roman"/>
          <w:color w:val="000000"/>
          <w:sz w:val="20"/>
          <w:szCs w:val="20"/>
        </w:rPr>
        <w:t xml:space="preserve"> is unique in that it offers more than 20,000 products </w:t>
      </w:r>
      <w:r>
        <w:rPr>
          <w:rFonts w:ascii="Garamond" w:eastAsia="Times New Roman" w:hAnsi="Garamond" w:cs="Times New Roman"/>
          <w:color w:val="000000"/>
          <w:sz w:val="20"/>
          <w:szCs w:val="20"/>
        </w:rPr>
        <w:t>ranging from Maybelline to Dior</w:t>
      </w:r>
      <w:r w:rsidR="00123FB5">
        <w:rPr>
          <w:rFonts w:ascii="Garamond" w:eastAsia="Times New Roman" w:hAnsi="Garamond" w:cs="Times New Roman"/>
          <w:color w:val="000000"/>
          <w:sz w:val="20"/>
          <w:szCs w:val="20"/>
        </w:rPr>
        <w:t xml:space="preserve">. </w:t>
      </w:r>
    </w:p>
    <w:p w14:paraId="3F10815B" w14:textId="77777777" w:rsidR="00C64112" w:rsidRPr="00766B4C" w:rsidRDefault="00C64112" w:rsidP="0031586E">
      <w:pPr>
        <w:jc w:val="both"/>
        <w:rPr>
          <w:rFonts w:ascii="Garamond" w:eastAsia="Times New Roman" w:hAnsi="Garamond" w:cs="Arial"/>
          <w:color w:val="000000"/>
          <w:sz w:val="18"/>
          <w:szCs w:val="18"/>
          <w:highlight w:val="yellow"/>
        </w:rPr>
      </w:pPr>
    </w:p>
    <w:p w14:paraId="7E169680" w14:textId="77777777" w:rsidR="007B6BCD" w:rsidRPr="009319DF" w:rsidRDefault="007B6BCD" w:rsidP="007B6BCD">
      <w:pPr>
        <w:rPr>
          <w:rFonts w:ascii="Garamond" w:hAnsi="Garamond"/>
          <w:b/>
          <w:sz w:val="22"/>
          <w:szCs w:val="22"/>
        </w:rPr>
      </w:pPr>
      <w:r w:rsidRPr="009319DF">
        <w:rPr>
          <w:rFonts w:ascii="Garamond" w:hAnsi="Garamond"/>
          <w:b/>
          <w:sz w:val="22"/>
          <w:szCs w:val="22"/>
        </w:rPr>
        <w:t>Risks</w:t>
      </w:r>
    </w:p>
    <w:p w14:paraId="510F9F31" w14:textId="61E0A15D" w:rsidR="007B6BCD" w:rsidRDefault="00EE5984" w:rsidP="007B6BCD">
      <w:pPr>
        <w:rPr>
          <w:rFonts w:ascii="Garamond" w:eastAsia="Times New Roman" w:hAnsi="Garamond" w:cs="Times New Roman"/>
          <w:color w:val="000000"/>
          <w:sz w:val="20"/>
          <w:szCs w:val="20"/>
        </w:rPr>
      </w:pPr>
      <w:proofErr w:type="spellStart"/>
      <w:r>
        <w:rPr>
          <w:rFonts w:ascii="Garamond" w:eastAsia="Times New Roman" w:hAnsi="Garamond" w:cs="Times New Roman"/>
          <w:color w:val="000000"/>
          <w:sz w:val="20"/>
          <w:szCs w:val="20"/>
        </w:rPr>
        <w:t>Ulta</w:t>
      </w:r>
      <w:proofErr w:type="spellEnd"/>
      <w:r>
        <w:rPr>
          <w:rFonts w:ascii="Garamond" w:eastAsia="Times New Roman" w:hAnsi="Garamond" w:cs="Times New Roman"/>
          <w:color w:val="000000"/>
          <w:sz w:val="20"/>
          <w:szCs w:val="20"/>
        </w:rPr>
        <w:t xml:space="preserve"> Beauty faces risks that exist in the beauty industry. Selling discretionary products and services, </w:t>
      </w:r>
      <w:proofErr w:type="spellStart"/>
      <w:r>
        <w:rPr>
          <w:rFonts w:ascii="Garamond" w:eastAsia="Times New Roman" w:hAnsi="Garamond" w:cs="Times New Roman"/>
          <w:color w:val="000000"/>
          <w:sz w:val="20"/>
          <w:szCs w:val="20"/>
        </w:rPr>
        <w:t>Ulta</w:t>
      </w:r>
      <w:proofErr w:type="spellEnd"/>
      <w:r>
        <w:rPr>
          <w:rFonts w:ascii="Garamond" w:eastAsia="Times New Roman" w:hAnsi="Garamond" w:cs="Times New Roman"/>
          <w:color w:val="000000"/>
          <w:sz w:val="20"/>
          <w:szCs w:val="20"/>
        </w:rPr>
        <w:t xml:space="preserve"> needs a good economy to continue its high growth. There are also few barriers to entry for beauty products and salon services making the market highly competitive. </w:t>
      </w:r>
      <w:proofErr w:type="spellStart"/>
      <w:r>
        <w:rPr>
          <w:rFonts w:ascii="Garamond" w:eastAsia="Times New Roman" w:hAnsi="Garamond" w:cs="Times New Roman"/>
          <w:color w:val="000000"/>
          <w:sz w:val="20"/>
          <w:szCs w:val="20"/>
        </w:rPr>
        <w:t>Ulta</w:t>
      </w:r>
      <w:proofErr w:type="spellEnd"/>
      <w:r>
        <w:rPr>
          <w:rFonts w:ascii="Garamond" w:eastAsia="Times New Roman" w:hAnsi="Garamond" w:cs="Times New Roman"/>
          <w:color w:val="000000"/>
          <w:sz w:val="20"/>
          <w:szCs w:val="20"/>
        </w:rPr>
        <w:t xml:space="preserve"> also must effectively gauge beauty trends in order to have its stores stocked with the appropriate products in the right quantities during such trends. As well, social media reputation is v</w:t>
      </w:r>
      <w:r w:rsidR="00C64112">
        <w:rPr>
          <w:rFonts w:ascii="Garamond" w:eastAsia="Times New Roman" w:hAnsi="Garamond" w:cs="Times New Roman"/>
          <w:color w:val="000000"/>
          <w:sz w:val="20"/>
          <w:szCs w:val="20"/>
        </w:rPr>
        <w:t xml:space="preserve">ery important for this industry. Negative commentary regarding </w:t>
      </w:r>
      <w:proofErr w:type="spellStart"/>
      <w:r w:rsidR="00C64112">
        <w:rPr>
          <w:rFonts w:ascii="Garamond" w:eastAsia="Times New Roman" w:hAnsi="Garamond" w:cs="Times New Roman"/>
          <w:color w:val="000000"/>
          <w:sz w:val="20"/>
          <w:szCs w:val="20"/>
        </w:rPr>
        <w:t>Ulta</w:t>
      </w:r>
      <w:proofErr w:type="spellEnd"/>
      <w:r w:rsidR="00C64112">
        <w:rPr>
          <w:rFonts w:ascii="Garamond" w:eastAsia="Times New Roman" w:hAnsi="Garamond" w:cs="Times New Roman"/>
          <w:color w:val="000000"/>
          <w:sz w:val="20"/>
          <w:szCs w:val="20"/>
        </w:rPr>
        <w:t xml:space="preserve"> or its products could adversely affect growth as well. </w:t>
      </w:r>
    </w:p>
    <w:p w14:paraId="26B34A98" w14:textId="77777777" w:rsidR="00EE5984" w:rsidRPr="00AF783E" w:rsidRDefault="00EE5984" w:rsidP="007B6BCD">
      <w:pPr>
        <w:rPr>
          <w:rFonts w:ascii="Garamond" w:hAnsi="Garamond"/>
          <w:sz w:val="16"/>
          <w:szCs w:val="16"/>
        </w:rPr>
      </w:pPr>
    </w:p>
    <w:p w14:paraId="38522BA5" w14:textId="5F363CB8" w:rsidR="0001462B" w:rsidRPr="00907FFD" w:rsidRDefault="0001462B" w:rsidP="0001462B">
      <w:pPr>
        <w:rPr>
          <w:rFonts w:ascii="Garamond" w:hAnsi="Garamond"/>
          <w:b/>
          <w:sz w:val="20"/>
          <w:szCs w:val="20"/>
        </w:rPr>
      </w:pPr>
      <w:r>
        <w:rPr>
          <w:rFonts w:ascii="Garamond" w:hAnsi="Garamond"/>
          <w:b/>
          <w:sz w:val="20"/>
          <w:szCs w:val="20"/>
        </w:rPr>
        <w:t>R</w:t>
      </w:r>
      <w:r w:rsidRPr="00907FFD">
        <w:rPr>
          <w:rFonts w:ascii="Garamond" w:hAnsi="Garamond"/>
          <w:b/>
          <w:sz w:val="20"/>
          <w:szCs w:val="20"/>
        </w:rPr>
        <w:t>eport Prepared By:</w:t>
      </w:r>
    </w:p>
    <w:p w14:paraId="4361182E" w14:textId="3224B422" w:rsidR="0001462B" w:rsidRPr="00907FFD" w:rsidRDefault="00830286" w:rsidP="0001462B">
      <w:pPr>
        <w:rPr>
          <w:rFonts w:ascii="Garamond" w:eastAsia="Times New Roman" w:hAnsi="Garamond" w:cs="Arial"/>
          <w:color w:val="000000"/>
          <w:sz w:val="18"/>
          <w:szCs w:val="18"/>
        </w:rPr>
      </w:pPr>
      <w:r>
        <w:rPr>
          <w:rFonts w:ascii="Garamond" w:hAnsi="Garamond"/>
          <w:sz w:val="20"/>
          <w:szCs w:val="20"/>
        </w:rPr>
        <w:t>Jason Mraz and Tami Stawicki</w:t>
      </w:r>
      <w:r w:rsidR="0001462B" w:rsidRPr="00907FFD">
        <w:rPr>
          <w:rFonts w:ascii="Garamond" w:hAnsi="Garamond"/>
          <w:sz w:val="20"/>
          <w:szCs w:val="20"/>
        </w:rPr>
        <w:t xml:space="preserve"> on </w:t>
      </w:r>
      <w:r>
        <w:rPr>
          <w:rFonts w:ascii="Garamond" w:hAnsi="Garamond"/>
          <w:sz w:val="20"/>
          <w:szCs w:val="20"/>
        </w:rPr>
        <w:t>02/12/2017</w:t>
      </w:r>
    </w:p>
    <w:p w14:paraId="7EE9823C" w14:textId="4AA832CC" w:rsidR="0001462B" w:rsidRPr="00907FFD" w:rsidRDefault="0001462B" w:rsidP="0001462B">
      <w:pPr>
        <w:tabs>
          <w:tab w:val="left" w:pos="3753"/>
        </w:tabs>
        <w:rPr>
          <w:sz w:val="20"/>
          <w:szCs w:val="20"/>
        </w:rPr>
      </w:pPr>
      <w:r w:rsidRPr="00907FFD">
        <w:rPr>
          <w:rFonts w:ascii="Garamond" w:hAnsi="Garamond"/>
          <w:sz w:val="14"/>
          <w:szCs w:val="14"/>
        </w:rPr>
        <w:t>Sources:</w:t>
      </w:r>
      <w:r w:rsidR="00766B4C">
        <w:rPr>
          <w:rFonts w:ascii="Garamond" w:hAnsi="Garamond"/>
          <w:sz w:val="14"/>
          <w:szCs w:val="14"/>
        </w:rPr>
        <w:t xml:space="preserve"> Bloomberg</w:t>
      </w:r>
    </w:p>
    <w:p w14:paraId="40B69A81" w14:textId="77777777" w:rsidR="0001462B" w:rsidRPr="003F0169" w:rsidRDefault="0001462B" w:rsidP="00907FFD">
      <w:pPr>
        <w:rPr>
          <w:sz w:val="20"/>
          <w:szCs w:val="20"/>
        </w:rPr>
      </w:pPr>
    </w:p>
    <w:sectPr w:rsidR="0001462B" w:rsidRPr="003F0169" w:rsidSect="002F79CB">
      <w:type w:val="continuous"/>
      <w:pgSz w:w="12240" w:h="15840"/>
      <w:pgMar w:top="1440" w:right="576" w:bottom="648" w:left="576"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40CA9" w14:textId="77777777" w:rsidR="000C3B78" w:rsidRDefault="000C3B78" w:rsidP="00B36B24">
      <w:r>
        <w:separator/>
      </w:r>
    </w:p>
  </w:endnote>
  <w:endnote w:type="continuationSeparator" w:id="0">
    <w:p w14:paraId="4ED70EB6" w14:textId="77777777" w:rsidR="000C3B78" w:rsidRDefault="000C3B78" w:rsidP="00B3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9F3C" w14:textId="6DCF31CE" w:rsidR="00907FFD" w:rsidRPr="00907FFD" w:rsidRDefault="00907FFD" w:rsidP="0001462B">
    <w:pPr>
      <w:rPr>
        <w:sz w:val="20"/>
        <w:szCs w:val="20"/>
      </w:rPr>
    </w:pPr>
    <w:r>
      <w:rPr>
        <w:noProof/>
      </w:rPr>
      <w:drawing>
        <wp:anchor distT="0" distB="0" distL="114300" distR="114300" simplePos="0" relativeHeight="251656192" behindDoc="0" locked="0" layoutInCell="1" allowOverlap="1" wp14:anchorId="3D1F118A" wp14:editId="2DB777B9">
          <wp:simplePos x="0" y="0"/>
          <wp:positionH relativeFrom="column">
            <wp:posOffset>5814060</wp:posOffset>
          </wp:positionH>
          <wp:positionV relativeFrom="paragraph">
            <wp:posOffset>-48895</wp:posOffset>
          </wp:positionV>
          <wp:extent cx="800100" cy="570865"/>
          <wp:effectExtent l="0" t="0" r="12700" b="0"/>
          <wp:wrapThrough wrapText="bothSides">
            <wp:wrapPolygon edited="0">
              <wp:start x="0" y="0"/>
              <wp:lineTo x="0" y="20182"/>
              <wp:lineTo x="21257" y="20182"/>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 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570865"/>
                  </a:xfrm>
                  <a:prstGeom prst="rect">
                    <a:avLst/>
                  </a:prstGeom>
                </pic:spPr>
              </pic:pic>
            </a:graphicData>
          </a:graphic>
          <wp14:sizeRelH relativeFrom="page">
            <wp14:pctWidth>0</wp14:pctWidth>
          </wp14:sizeRelH>
          <wp14:sizeRelV relativeFrom="page">
            <wp14:pctHeight>0</wp14:pctHeight>
          </wp14:sizeRelV>
        </wp:anchor>
      </w:drawing>
    </w:r>
  </w:p>
  <w:p w14:paraId="481FA85F" w14:textId="496A6263" w:rsidR="00106FB6" w:rsidRDefault="0010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7E27A" w14:textId="77777777" w:rsidR="000C3B78" w:rsidRDefault="000C3B78" w:rsidP="00B36B24">
      <w:r>
        <w:separator/>
      </w:r>
    </w:p>
  </w:footnote>
  <w:footnote w:type="continuationSeparator" w:id="0">
    <w:p w14:paraId="016597FB" w14:textId="77777777" w:rsidR="000C3B78" w:rsidRDefault="000C3B78" w:rsidP="00B3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91BC" w14:textId="77777777" w:rsidR="00106FB6" w:rsidRDefault="0023653D">
    <w:pPr>
      <w:pStyle w:val="Header"/>
    </w:pPr>
    <w:r>
      <w:rPr>
        <w:noProof/>
      </w:rPr>
      <w:pict w14:anchorId="62570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28.5pt;height:228.5pt;z-index:-251658240;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09F0" w14:textId="77777777" w:rsidR="00106FB6" w:rsidRPr="00FF572C" w:rsidRDefault="0023653D">
    <w:pPr>
      <w:pStyle w:val="Header"/>
      <w:rPr>
        <w:rFonts w:ascii="Garamond" w:hAnsi="Garamond"/>
        <w:b/>
        <w:sz w:val="32"/>
        <w:szCs w:val="32"/>
      </w:rPr>
    </w:pPr>
    <w:r>
      <w:rPr>
        <w:rFonts w:ascii="Garamond" w:hAnsi="Garamond"/>
        <w:b/>
        <w:noProof/>
        <w:sz w:val="32"/>
        <w:szCs w:val="32"/>
      </w:rPr>
      <w:pict w14:anchorId="4066A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28.5pt;height:228.5pt;z-index:-251659264;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6BA24" w14:textId="77777777" w:rsidR="00106FB6" w:rsidRDefault="0023653D">
    <w:pPr>
      <w:pStyle w:val="Header"/>
    </w:pPr>
    <w:r>
      <w:rPr>
        <w:noProof/>
      </w:rPr>
      <w:pict w14:anchorId="0CE2A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28.5pt;height:228.5pt;z-index:-251657216;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6533"/>
    <w:multiLevelType w:val="hybridMultilevel"/>
    <w:tmpl w:val="602CD3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24"/>
    <w:rsid w:val="0001462B"/>
    <w:rsid w:val="00030F21"/>
    <w:rsid w:val="00072674"/>
    <w:rsid w:val="0007409C"/>
    <w:rsid w:val="000C3B78"/>
    <w:rsid w:val="000E19CA"/>
    <w:rsid w:val="00106FB6"/>
    <w:rsid w:val="00123FB5"/>
    <w:rsid w:val="00183F04"/>
    <w:rsid w:val="001875FE"/>
    <w:rsid w:val="00190D0A"/>
    <w:rsid w:val="001A4EC4"/>
    <w:rsid w:val="001B5F3F"/>
    <w:rsid w:val="001D42A4"/>
    <w:rsid w:val="0023653D"/>
    <w:rsid w:val="0024607D"/>
    <w:rsid w:val="002713CA"/>
    <w:rsid w:val="00280E12"/>
    <w:rsid w:val="00281B36"/>
    <w:rsid w:val="0029551F"/>
    <w:rsid w:val="002C6809"/>
    <w:rsid w:val="002F6656"/>
    <w:rsid w:val="002F6FDD"/>
    <w:rsid w:val="002F79CB"/>
    <w:rsid w:val="00315273"/>
    <w:rsid w:val="0031586E"/>
    <w:rsid w:val="00320755"/>
    <w:rsid w:val="003764F9"/>
    <w:rsid w:val="003B1318"/>
    <w:rsid w:val="003B6B39"/>
    <w:rsid w:val="003F0169"/>
    <w:rsid w:val="004134D9"/>
    <w:rsid w:val="00452001"/>
    <w:rsid w:val="00481556"/>
    <w:rsid w:val="004D25F3"/>
    <w:rsid w:val="005129C3"/>
    <w:rsid w:val="00540D68"/>
    <w:rsid w:val="00542D84"/>
    <w:rsid w:val="005A0A5C"/>
    <w:rsid w:val="005B396F"/>
    <w:rsid w:val="005E05F6"/>
    <w:rsid w:val="00635401"/>
    <w:rsid w:val="00663767"/>
    <w:rsid w:val="006E6504"/>
    <w:rsid w:val="007046C4"/>
    <w:rsid w:val="00722FEB"/>
    <w:rsid w:val="00723EA0"/>
    <w:rsid w:val="00725503"/>
    <w:rsid w:val="007350FC"/>
    <w:rsid w:val="00766B4C"/>
    <w:rsid w:val="007B6BCD"/>
    <w:rsid w:val="007D207F"/>
    <w:rsid w:val="007E1AA9"/>
    <w:rsid w:val="00830286"/>
    <w:rsid w:val="00864168"/>
    <w:rsid w:val="008833F7"/>
    <w:rsid w:val="008A1607"/>
    <w:rsid w:val="00907FFD"/>
    <w:rsid w:val="009319DF"/>
    <w:rsid w:val="0099298E"/>
    <w:rsid w:val="0099728A"/>
    <w:rsid w:val="009B41D1"/>
    <w:rsid w:val="009C19DF"/>
    <w:rsid w:val="009D6A50"/>
    <w:rsid w:val="009F3FB8"/>
    <w:rsid w:val="00A06C62"/>
    <w:rsid w:val="00A630AF"/>
    <w:rsid w:val="00A67BA8"/>
    <w:rsid w:val="00AA09B1"/>
    <w:rsid w:val="00AD1B8D"/>
    <w:rsid w:val="00AD6832"/>
    <w:rsid w:val="00AE3601"/>
    <w:rsid w:val="00AF783E"/>
    <w:rsid w:val="00B10101"/>
    <w:rsid w:val="00B22DC9"/>
    <w:rsid w:val="00B36B24"/>
    <w:rsid w:val="00BA0B7C"/>
    <w:rsid w:val="00C12ACF"/>
    <w:rsid w:val="00C21B3D"/>
    <w:rsid w:val="00C64112"/>
    <w:rsid w:val="00C77099"/>
    <w:rsid w:val="00CC1AEA"/>
    <w:rsid w:val="00CC5E37"/>
    <w:rsid w:val="00D3684B"/>
    <w:rsid w:val="00D47AF4"/>
    <w:rsid w:val="00D67D28"/>
    <w:rsid w:val="00D920E6"/>
    <w:rsid w:val="00DC65EB"/>
    <w:rsid w:val="00E050E1"/>
    <w:rsid w:val="00E21938"/>
    <w:rsid w:val="00E7193D"/>
    <w:rsid w:val="00E94838"/>
    <w:rsid w:val="00EE5984"/>
    <w:rsid w:val="00FB7D7A"/>
    <w:rsid w:val="00FF572C"/>
    <w:rsid w:val="00FF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3E5DD"/>
  <w14:defaultImageDpi w14:val="300"/>
  <w15:docId w15:val="{A5E07479-9331-4DB2-B0D4-C69DD035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24"/>
    <w:pPr>
      <w:tabs>
        <w:tab w:val="center" w:pos="4320"/>
        <w:tab w:val="right" w:pos="8640"/>
      </w:tabs>
    </w:pPr>
  </w:style>
  <w:style w:type="character" w:customStyle="1" w:styleId="HeaderChar">
    <w:name w:val="Header Char"/>
    <w:basedOn w:val="DefaultParagraphFont"/>
    <w:link w:val="Header"/>
    <w:uiPriority w:val="99"/>
    <w:rsid w:val="00B36B24"/>
  </w:style>
  <w:style w:type="paragraph" w:styleId="Footer">
    <w:name w:val="footer"/>
    <w:basedOn w:val="Normal"/>
    <w:link w:val="FooterChar"/>
    <w:uiPriority w:val="99"/>
    <w:unhideWhenUsed/>
    <w:rsid w:val="00B36B24"/>
    <w:pPr>
      <w:tabs>
        <w:tab w:val="center" w:pos="4320"/>
        <w:tab w:val="right" w:pos="8640"/>
      </w:tabs>
    </w:pPr>
  </w:style>
  <w:style w:type="character" w:customStyle="1" w:styleId="FooterChar">
    <w:name w:val="Footer Char"/>
    <w:basedOn w:val="DefaultParagraphFont"/>
    <w:link w:val="Footer"/>
    <w:uiPriority w:val="99"/>
    <w:rsid w:val="00B36B24"/>
  </w:style>
  <w:style w:type="paragraph" w:styleId="BalloonText">
    <w:name w:val="Balloon Text"/>
    <w:basedOn w:val="Normal"/>
    <w:link w:val="BalloonTextChar"/>
    <w:uiPriority w:val="99"/>
    <w:semiHidden/>
    <w:unhideWhenUsed/>
    <w:rsid w:val="00B36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B24"/>
    <w:rPr>
      <w:rFonts w:ascii="Lucida Grande" w:hAnsi="Lucida Grande" w:cs="Lucida Grande"/>
      <w:sz w:val="18"/>
      <w:szCs w:val="18"/>
    </w:rPr>
  </w:style>
  <w:style w:type="table" w:styleId="TableGrid">
    <w:name w:val="Table Grid"/>
    <w:basedOn w:val="TableNormal"/>
    <w:uiPriority w:val="59"/>
    <w:rsid w:val="00FF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CA"/>
    <w:pPr>
      <w:ind w:left="720"/>
      <w:contextualSpacing/>
    </w:pPr>
  </w:style>
  <w:style w:type="paragraph" w:styleId="NormalWeb">
    <w:name w:val="Normal (Web)"/>
    <w:basedOn w:val="Normal"/>
    <w:uiPriority w:val="99"/>
    <w:unhideWhenUsed/>
    <w:rsid w:val="00C21B3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7268">
      <w:bodyDiv w:val="1"/>
      <w:marLeft w:val="0"/>
      <w:marRight w:val="0"/>
      <w:marTop w:val="0"/>
      <w:marBottom w:val="0"/>
      <w:divBdr>
        <w:top w:val="none" w:sz="0" w:space="0" w:color="auto"/>
        <w:left w:val="none" w:sz="0" w:space="0" w:color="auto"/>
        <w:bottom w:val="none" w:sz="0" w:space="0" w:color="auto"/>
        <w:right w:val="none" w:sz="0" w:space="0" w:color="auto"/>
      </w:divBdr>
    </w:div>
    <w:div w:id="134488406">
      <w:bodyDiv w:val="1"/>
      <w:marLeft w:val="0"/>
      <w:marRight w:val="0"/>
      <w:marTop w:val="0"/>
      <w:marBottom w:val="0"/>
      <w:divBdr>
        <w:top w:val="none" w:sz="0" w:space="0" w:color="auto"/>
        <w:left w:val="none" w:sz="0" w:space="0" w:color="auto"/>
        <w:bottom w:val="none" w:sz="0" w:space="0" w:color="auto"/>
        <w:right w:val="none" w:sz="0" w:space="0" w:color="auto"/>
      </w:divBdr>
    </w:div>
    <w:div w:id="347489378">
      <w:bodyDiv w:val="1"/>
      <w:marLeft w:val="0"/>
      <w:marRight w:val="0"/>
      <w:marTop w:val="0"/>
      <w:marBottom w:val="0"/>
      <w:divBdr>
        <w:top w:val="none" w:sz="0" w:space="0" w:color="auto"/>
        <w:left w:val="none" w:sz="0" w:space="0" w:color="auto"/>
        <w:bottom w:val="none" w:sz="0" w:space="0" w:color="auto"/>
        <w:right w:val="none" w:sz="0" w:space="0" w:color="auto"/>
      </w:divBdr>
    </w:div>
    <w:div w:id="926966770">
      <w:bodyDiv w:val="1"/>
      <w:marLeft w:val="0"/>
      <w:marRight w:val="0"/>
      <w:marTop w:val="0"/>
      <w:marBottom w:val="0"/>
      <w:divBdr>
        <w:top w:val="none" w:sz="0" w:space="0" w:color="auto"/>
        <w:left w:val="none" w:sz="0" w:space="0" w:color="auto"/>
        <w:bottom w:val="none" w:sz="0" w:space="0" w:color="auto"/>
        <w:right w:val="none" w:sz="0" w:space="0" w:color="auto"/>
      </w:divBdr>
    </w:div>
    <w:div w:id="998122248">
      <w:bodyDiv w:val="1"/>
      <w:marLeft w:val="0"/>
      <w:marRight w:val="0"/>
      <w:marTop w:val="0"/>
      <w:marBottom w:val="0"/>
      <w:divBdr>
        <w:top w:val="none" w:sz="0" w:space="0" w:color="auto"/>
        <w:left w:val="none" w:sz="0" w:space="0" w:color="auto"/>
        <w:bottom w:val="none" w:sz="0" w:space="0" w:color="auto"/>
        <w:right w:val="none" w:sz="0" w:space="0" w:color="auto"/>
      </w:divBdr>
    </w:div>
    <w:div w:id="1049837196">
      <w:bodyDiv w:val="1"/>
      <w:marLeft w:val="0"/>
      <w:marRight w:val="0"/>
      <w:marTop w:val="0"/>
      <w:marBottom w:val="0"/>
      <w:divBdr>
        <w:top w:val="none" w:sz="0" w:space="0" w:color="auto"/>
        <w:left w:val="none" w:sz="0" w:space="0" w:color="auto"/>
        <w:bottom w:val="none" w:sz="0" w:space="0" w:color="auto"/>
        <w:right w:val="none" w:sz="0" w:space="0" w:color="auto"/>
      </w:divBdr>
    </w:div>
    <w:div w:id="1266498566">
      <w:bodyDiv w:val="1"/>
      <w:marLeft w:val="0"/>
      <w:marRight w:val="0"/>
      <w:marTop w:val="0"/>
      <w:marBottom w:val="0"/>
      <w:divBdr>
        <w:top w:val="none" w:sz="0" w:space="0" w:color="auto"/>
        <w:left w:val="none" w:sz="0" w:space="0" w:color="auto"/>
        <w:bottom w:val="none" w:sz="0" w:space="0" w:color="auto"/>
        <w:right w:val="none" w:sz="0" w:space="0" w:color="auto"/>
      </w:divBdr>
    </w:div>
    <w:div w:id="1330983615">
      <w:bodyDiv w:val="1"/>
      <w:marLeft w:val="0"/>
      <w:marRight w:val="0"/>
      <w:marTop w:val="0"/>
      <w:marBottom w:val="0"/>
      <w:divBdr>
        <w:top w:val="none" w:sz="0" w:space="0" w:color="auto"/>
        <w:left w:val="none" w:sz="0" w:space="0" w:color="auto"/>
        <w:bottom w:val="none" w:sz="0" w:space="0" w:color="auto"/>
        <w:right w:val="none" w:sz="0" w:space="0" w:color="auto"/>
      </w:divBdr>
    </w:div>
    <w:div w:id="1377464313">
      <w:bodyDiv w:val="1"/>
      <w:marLeft w:val="0"/>
      <w:marRight w:val="0"/>
      <w:marTop w:val="0"/>
      <w:marBottom w:val="0"/>
      <w:divBdr>
        <w:top w:val="none" w:sz="0" w:space="0" w:color="auto"/>
        <w:left w:val="none" w:sz="0" w:space="0" w:color="auto"/>
        <w:bottom w:val="none" w:sz="0" w:space="0" w:color="auto"/>
        <w:right w:val="none" w:sz="0" w:space="0" w:color="auto"/>
      </w:divBdr>
    </w:div>
    <w:div w:id="1618443030">
      <w:bodyDiv w:val="1"/>
      <w:marLeft w:val="0"/>
      <w:marRight w:val="0"/>
      <w:marTop w:val="0"/>
      <w:marBottom w:val="0"/>
      <w:divBdr>
        <w:top w:val="none" w:sz="0" w:space="0" w:color="auto"/>
        <w:left w:val="none" w:sz="0" w:space="0" w:color="auto"/>
        <w:bottom w:val="none" w:sz="0" w:space="0" w:color="auto"/>
        <w:right w:val="none" w:sz="0" w:space="0" w:color="auto"/>
      </w:divBdr>
    </w:div>
    <w:div w:id="1733384126">
      <w:bodyDiv w:val="1"/>
      <w:marLeft w:val="0"/>
      <w:marRight w:val="0"/>
      <w:marTop w:val="0"/>
      <w:marBottom w:val="0"/>
      <w:divBdr>
        <w:top w:val="none" w:sz="0" w:space="0" w:color="auto"/>
        <w:left w:val="none" w:sz="0" w:space="0" w:color="auto"/>
        <w:bottom w:val="none" w:sz="0" w:space="0" w:color="auto"/>
        <w:right w:val="none" w:sz="0" w:space="0" w:color="auto"/>
      </w:divBdr>
    </w:div>
    <w:div w:id="1769085184">
      <w:bodyDiv w:val="1"/>
      <w:marLeft w:val="0"/>
      <w:marRight w:val="0"/>
      <w:marTop w:val="0"/>
      <w:marBottom w:val="0"/>
      <w:divBdr>
        <w:top w:val="none" w:sz="0" w:space="0" w:color="auto"/>
        <w:left w:val="none" w:sz="0" w:space="0" w:color="auto"/>
        <w:bottom w:val="none" w:sz="0" w:space="0" w:color="auto"/>
        <w:right w:val="none" w:sz="0" w:space="0" w:color="auto"/>
      </w:divBdr>
    </w:div>
    <w:div w:id="1860435973">
      <w:bodyDiv w:val="1"/>
      <w:marLeft w:val="0"/>
      <w:marRight w:val="0"/>
      <w:marTop w:val="0"/>
      <w:marBottom w:val="0"/>
      <w:divBdr>
        <w:top w:val="none" w:sz="0" w:space="0" w:color="auto"/>
        <w:left w:val="none" w:sz="0" w:space="0" w:color="auto"/>
        <w:bottom w:val="none" w:sz="0" w:space="0" w:color="auto"/>
        <w:right w:val="none" w:sz="0" w:space="0" w:color="auto"/>
      </w:divBdr>
    </w:div>
    <w:div w:id="2130082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MacLean</dc:creator>
  <cp:keywords/>
  <dc:description/>
  <cp:lastModifiedBy>Bloomberg General</cp:lastModifiedBy>
  <cp:revision>2</cp:revision>
  <cp:lastPrinted>2016-02-08T19:12:00Z</cp:lastPrinted>
  <dcterms:created xsi:type="dcterms:W3CDTF">2017-04-18T15:05:00Z</dcterms:created>
  <dcterms:modified xsi:type="dcterms:W3CDTF">2017-04-18T15:05:00Z</dcterms:modified>
</cp:coreProperties>
</file>