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469" w:tblpY="361"/>
        <w:tblW w:w="7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5"/>
      </w:tblGrid>
      <w:tr w:rsidR="00542D84" w:rsidRPr="00FF572C" w14:paraId="70B5C110" w14:textId="77777777" w:rsidTr="00542D84">
        <w:trPr>
          <w:trHeight w:val="720"/>
        </w:trPr>
        <w:tc>
          <w:tcPr>
            <w:tcW w:w="7155" w:type="dxa"/>
          </w:tcPr>
          <w:p w14:paraId="79C5135A" w14:textId="5B6DCFFC" w:rsidR="00542D84" w:rsidRPr="00864168" w:rsidRDefault="00726609" w:rsidP="007B6BCD">
            <w:pPr>
              <w:rPr>
                <w:rFonts w:ascii="Garamond" w:hAnsi="Garamond"/>
                <w:b/>
                <w:sz w:val="30"/>
                <w:szCs w:val="30"/>
              </w:rPr>
            </w:pPr>
            <w:bookmarkStart w:id="0" w:name="_GoBack"/>
            <w:bookmarkEnd w:id="0"/>
            <w:r>
              <w:rPr>
                <w:rFonts w:ascii="Garamond" w:hAnsi="Garamond"/>
                <w:b/>
                <w:sz w:val="30"/>
                <w:szCs w:val="30"/>
              </w:rPr>
              <w:t>STAG Industrial</w:t>
            </w:r>
            <w:r w:rsidR="00871EBA">
              <w:rPr>
                <w:rFonts w:ascii="Garamond" w:hAnsi="Garamond"/>
                <w:b/>
                <w:sz w:val="30"/>
                <w:szCs w:val="30"/>
              </w:rPr>
              <w:t xml:space="preserve"> </w:t>
            </w:r>
            <w:r w:rsidR="00542D84" w:rsidRPr="00864168">
              <w:rPr>
                <w:rFonts w:ascii="Garamond" w:hAnsi="Garamond"/>
                <w:b/>
                <w:sz w:val="30"/>
                <w:szCs w:val="30"/>
              </w:rPr>
              <w:t xml:space="preserve"> (NYSE: </w:t>
            </w:r>
            <w:r>
              <w:rPr>
                <w:rFonts w:ascii="Garamond" w:hAnsi="Garamond"/>
                <w:b/>
                <w:sz w:val="30"/>
                <w:szCs w:val="30"/>
              </w:rPr>
              <w:t>STAG</w:t>
            </w:r>
            <w:r w:rsidR="00542D84">
              <w:rPr>
                <w:rFonts w:ascii="Garamond" w:hAnsi="Garamond"/>
                <w:b/>
                <w:sz w:val="30"/>
                <w:szCs w:val="30"/>
              </w:rPr>
              <w:t>)</w:t>
            </w:r>
          </w:p>
          <w:p w14:paraId="188452E4" w14:textId="5153ADC8" w:rsidR="00542D84" w:rsidRPr="00FF572C" w:rsidRDefault="00542D84" w:rsidP="00726609">
            <w:pPr>
              <w:rPr>
                <w:rFonts w:ascii="Garamond" w:hAnsi="Garamond"/>
              </w:rPr>
            </w:pPr>
            <w:r w:rsidRPr="00864168">
              <w:rPr>
                <w:rFonts w:ascii="Garamond" w:hAnsi="Garamond"/>
                <w:b/>
              </w:rPr>
              <w:t xml:space="preserve">Sector: </w:t>
            </w:r>
            <w:r w:rsidR="00726609">
              <w:rPr>
                <w:rFonts w:ascii="Garamond" w:hAnsi="Garamond"/>
                <w:b/>
              </w:rPr>
              <w:t>REIT</w:t>
            </w:r>
          </w:p>
        </w:tc>
      </w:tr>
    </w:tbl>
    <w:tbl>
      <w:tblPr>
        <w:tblStyle w:val="TableGrid"/>
        <w:tblW w:w="114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1509"/>
        <w:gridCol w:w="1777"/>
        <w:gridCol w:w="1821"/>
        <w:gridCol w:w="918"/>
        <w:gridCol w:w="1509"/>
        <w:gridCol w:w="1687"/>
        <w:gridCol w:w="788"/>
      </w:tblGrid>
      <w:tr w:rsidR="005B396F" w14:paraId="78F32F81" w14:textId="30D8E2F7" w:rsidTr="00E26FBF">
        <w:trPr>
          <w:trHeight w:val="506"/>
        </w:trPr>
        <w:tc>
          <w:tcPr>
            <w:tcW w:w="1421" w:type="dxa"/>
          </w:tcPr>
          <w:p w14:paraId="35A4C8E4" w14:textId="77777777" w:rsidR="007B6BCD" w:rsidRDefault="005B396F" w:rsidP="007B6BCD">
            <w:pPr>
              <w:jc w:val="center"/>
              <w:rPr>
                <w:rFonts w:ascii="Garamond" w:hAnsi="Garamond"/>
                <w:b/>
                <w:sz w:val="22"/>
                <w:szCs w:val="22"/>
              </w:rPr>
            </w:pPr>
            <w:r>
              <w:rPr>
                <w:rFonts w:ascii="Garamond" w:hAnsi="Garamond"/>
                <w:b/>
                <w:sz w:val="22"/>
                <w:szCs w:val="22"/>
              </w:rPr>
              <w:t>Target Price</w:t>
            </w:r>
          </w:p>
          <w:p w14:paraId="73A27060" w14:textId="7EF39F71" w:rsidR="005B396F" w:rsidRDefault="005B396F" w:rsidP="007B6BCD">
            <w:pPr>
              <w:jc w:val="center"/>
              <w:rPr>
                <w:rFonts w:ascii="Garamond" w:hAnsi="Garamond"/>
                <w:sz w:val="22"/>
                <w:szCs w:val="22"/>
              </w:rPr>
            </w:pPr>
            <w:r>
              <w:rPr>
                <w:rFonts w:ascii="Garamond" w:hAnsi="Garamond"/>
                <w:sz w:val="22"/>
                <w:szCs w:val="22"/>
              </w:rPr>
              <w:t>$</w:t>
            </w:r>
            <w:r w:rsidR="00F05CBC">
              <w:rPr>
                <w:rFonts w:ascii="Garamond" w:hAnsi="Garamond"/>
                <w:sz w:val="22"/>
                <w:szCs w:val="22"/>
              </w:rPr>
              <w:t>30.42</w:t>
            </w:r>
          </w:p>
          <w:p w14:paraId="62F0052C" w14:textId="0DBBAB2C" w:rsidR="007B6BCD" w:rsidRPr="007B6BCD" w:rsidRDefault="007B6BCD" w:rsidP="007B6BCD">
            <w:pPr>
              <w:jc w:val="center"/>
              <w:rPr>
                <w:rFonts w:ascii="Garamond" w:hAnsi="Garamond"/>
                <w:sz w:val="10"/>
                <w:szCs w:val="10"/>
              </w:rPr>
            </w:pPr>
          </w:p>
        </w:tc>
        <w:tc>
          <w:tcPr>
            <w:tcW w:w="1509" w:type="dxa"/>
          </w:tcPr>
          <w:p w14:paraId="2D0346A5" w14:textId="77777777" w:rsidR="005B396F" w:rsidRPr="00280E12" w:rsidRDefault="005B396F" w:rsidP="007B6BCD">
            <w:pPr>
              <w:jc w:val="center"/>
              <w:rPr>
                <w:rFonts w:ascii="Garamond" w:hAnsi="Garamond"/>
                <w:b/>
                <w:sz w:val="22"/>
                <w:szCs w:val="22"/>
              </w:rPr>
            </w:pPr>
            <w:r w:rsidRPr="00280E12">
              <w:rPr>
                <w:rFonts w:ascii="Garamond" w:hAnsi="Garamond"/>
                <w:b/>
                <w:sz w:val="22"/>
                <w:szCs w:val="22"/>
              </w:rPr>
              <w:t>Current Price</w:t>
            </w:r>
          </w:p>
          <w:p w14:paraId="71BA03BA" w14:textId="7EB85B09" w:rsidR="005B396F" w:rsidRPr="00280E12" w:rsidRDefault="005B396F" w:rsidP="00726609">
            <w:pPr>
              <w:jc w:val="center"/>
              <w:rPr>
                <w:rFonts w:ascii="Garamond" w:hAnsi="Garamond"/>
                <w:sz w:val="22"/>
                <w:szCs w:val="22"/>
              </w:rPr>
            </w:pPr>
            <w:r w:rsidRPr="00280E12">
              <w:rPr>
                <w:rFonts w:ascii="Garamond" w:hAnsi="Garamond"/>
                <w:sz w:val="22"/>
                <w:szCs w:val="22"/>
              </w:rPr>
              <w:t>$</w:t>
            </w:r>
            <w:r w:rsidR="00F8386D">
              <w:rPr>
                <w:rFonts w:ascii="Garamond" w:hAnsi="Garamond"/>
                <w:sz w:val="22"/>
                <w:szCs w:val="22"/>
              </w:rPr>
              <w:t>24.08</w:t>
            </w:r>
          </w:p>
        </w:tc>
        <w:tc>
          <w:tcPr>
            <w:tcW w:w="1777" w:type="dxa"/>
          </w:tcPr>
          <w:p w14:paraId="082DE3F8" w14:textId="77777777" w:rsidR="005B396F" w:rsidRPr="00280E12" w:rsidRDefault="005B396F" w:rsidP="007B6BCD">
            <w:pPr>
              <w:jc w:val="center"/>
              <w:rPr>
                <w:rFonts w:ascii="Garamond" w:hAnsi="Garamond"/>
                <w:b/>
                <w:sz w:val="22"/>
                <w:szCs w:val="22"/>
              </w:rPr>
            </w:pPr>
            <w:r w:rsidRPr="00280E12">
              <w:rPr>
                <w:rFonts w:ascii="Garamond" w:hAnsi="Garamond"/>
                <w:b/>
                <w:sz w:val="22"/>
                <w:szCs w:val="22"/>
              </w:rPr>
              <w:t>52 Week High</w:t>
            </w:r>
          </w:p>
          <w:p w14:paraId="638F5C0F" w14:textId="39A8ACED" w:rsidR="005B396F" w:rsidRPr="00280E12" w:rsidRDefault="005B396F" w:rsidP="00053A98">
            <w:pPr>
              <w:jc w:val="center"/>
              <w:rPr>
                <w:rFonts w:ascii="Garamond" w:hAnsi="Garamond"/>
                <w:sz w:val="22"/>
                <w:szCs w:val="22"/>
              </w:rPr>
            </w:pPr>
            <w:r w:rsidRPr="00280E12">
              <w:rPr>
                <w:rFonts w:ascii="Garamond" w:hAnsi="Garamond"/>
                <w:sz w:val="22"/>
                <w:szCs w:val="22"/>
              </w:rPr>
              <w:t>$</w:t>
            </w:r>
            <w:r w:rsidR="00053A98">
              <w:rPr>
                <w:rFonts w:ascii="Garamond" w:hAnsi="Garamond"/>
                <w:sz w:val="22"/>
                <w:szCs w:val="22"/>
              </w:rPr>
              <w:t>25.51</w:t>
            </w:r>
          </w:p>
        </w:tc>
        <w:tc>
          <w:tcPr>
            <w:tcW w:w="1821" w:type="dxa"/>
          </w:tcPr>
          <w:p w14:paraId="0DCBA9C8" w14:textId="77777777" w:rsidR="005B396F" w:rsidRPr="00280E12" w:rsidRDefault="005B396F" w:rsidP="007B6BCD">
            <w:pPr>
              <w:jc w:val="center"/>
              <w:rPr>
                <w:rFonts w:ascii="Garamond" w:hAnsi="Garamond"/>
                <w:b/>
                <w:sz w:val="22"/>
                <w:szCs w:val="22"/>
              </w:rPr>
            </w:pPr>
            <w:r w:rsidRPr="00280E12">
              <w:rPr>
                <w:rFonts w:ascii="Garamond" w:hAnsi="Garamond"/>
                <w:b/>
                <w:sz w:val="22"/>
                <w:szCs w:val="22"/>
              </w:rPr>
              <w:t>52 Week Low</w:t>
            </w:r>
          </w:p>
          <w:p w14:paraId="593D1A92" w14:textId="106B30D8" w:rsidR="005B396F" w:rsidRPr="00280E12" w:rsidRDefault="005B396F" w:rsidP="001B5F3F">
            <w:pPr>
              <w:jc w:val="center"/>
              <w:rPr>
                <w:rFonts w:ascii="Garamond" w:hAnsi="Garamond"/>
                <w:sz w:val="22"/>
                <w:szCs w:val="22"/>
              </w:rPr>
            </w:pPr>
            <w:r w:rsidRPr="00280E12">
              <w:rPr>
                <w:rFonts w:ascii="Garamond" w:hAnsi="Garamond"/>
                <w:sz w:val="22"/>
                <w:szCs w:val="22"/>
              </w:rPr>
              <w:t>$</w:t>
            </w:r>
            <w:r w:rsidR="00F8386D">
              <w:rPr>
                <w:rFonts w:ascii="Garamond" w:hAnsi="Garamond"/>
                <w:sz w:val="22"/>
                <w:szCs w:val="22"/>
              </w:rPr>
              <w:t>14.99</w:t>
            </w:r>
          </w:p>
        </w:tc>
        <w:tc>
          <w:tcPr>
            <w:tcW w:w="918" w:type="dxa"/>
          </w:tcPr>
          <w:p w14:paraId="183146BB" w14:textId="5F003305" w:rsidR="005B396F" w:rsidRPr="00280E12" w:rsidRDefault="00053A98" w:rsidP="007B6BCD">
            <w:pPr>
              <w:jc w:val="center"/>
              <w:rPr>
                <w:rFonts w:ascii="Garamond" w:hAnsi="Garamond"/>
                <w:b/>
                <w:sz w:val="22"/>
                <w:szCs w:val="22"/>
              </w:rPr>
            </w:pPr>
            <w:r>
              <w:rPr>
                <w:rFonts w:ascii="Garamond" w:hAnsi="Garamond"/>
                <w:b/>
                <w:sz w:val="22"/>
                <w:szCs w:val="22"/>
              </w:rPr>
              <w:t>P/FFO</w:t>
            </w:r>
          </w:p>
          <w:p w14:paraId="357338CB" w14:textId="02869464" w:rsidR="005B396F" w:rsidRPr="00280E12" w:rsidRDefault="00F8386D" w:rsidP="007B6BCD">
            <w:pPr>
              <w:jc w:val="center"/>
              <w:rPr>
                <w:rFonts w:ascii="Garamond" w:hAnsi="Garamond"/>
                <w:sz w:val="22"/>
                <w:szCs w:val="22"/>
              </w:rPr>
            </w:pPr>
            <w:r>
              <w:rPr>
                <w:rFonts w:ascii="Garamond" w:hAnsi="Garamond"/>
                <w:sz w:val="22"/>
                <w:szCs w:val="22"/>
              </w:rPr>
              <w:t>15.29</w:t>
            </w:r>
          </w:p>
        </w:tc>
        <w:tc>
          <w:tcPr>
            <w:tcW w:w="1509" w:type="dxa"/>
          </w:tcPr>
          <w:p w14:paraId="20569AD1" w14:textId="43BEFA5C" w:rsidR="005B396F" w:rsidRPr="00280E12" w:rsidRDefault="005B396F" w:rsidP="007B6BCD">
            <w:pPr>
              <w:jc w:val="center"/>
              <w:rPr>
                <w:rFonts w:ascii="Garamond" w:hAnsi="Garamond"/>
                <w:b/>
                <w:sz w:val="22"/>
                <w:szCs w:val="22"/>
              </w:rPr>
            </w:pPr>
            <w:r w:rsidRPr="00280E12">
              <w:rPr>
                <w:rFonts w:ascii="Garamond" w:hAnsi="Garamond"/>
                <w:b/>
                <w:sz w:val="22"/>
                <w:szCs w:val="22"/>
              </w:rPr>
              <w:t>Market Cap.</w:t>
            </w:r>
          </w:p>
          <w:p w14:paraId="357DF9F3" w14:textId="748FA19F" w:rsidR="005B396F" w:rsidRPr="00280E12" w:rsidRDefault="00A67BA8" w:rsidP="00053A98">
            <w:pPr>
              <w:jc w:val="center"/>
              <w:rPr>
                <w:rFonts w:ascii="Garamond" w:hAnsi="Garamond"/>
                <w:sz w:val="22"/>
                <w:szCs w:val="22"/>
              </w:rPr>
            </w:pPr>
            <w:r>
              <w:rPr>
                <w:rFonts w:ascii="Garamond" w:hAnsi="Garamond"/>
                <w:sz w:val="22"/>
                <w:szCs w:val="22"/>
              </w:rPr>
              <w:t>$</w:t>
            </w:r>
            <w:r w:rsidR="00053A98">
              <w:rPr>
                <w:rFonts w:ascii="Garamond" w:hAnsi="Garamond"/>
                <w:sz w:val="22"/>
                <w:szCs w:val="22"/>
              </w:rPr>
              <w:t>1.9 BN</w:t>
            </w:r>
          </w:p>
        </w:tc>
        <w:tc>
          <w:tcPr>
            <w:tcW w:w="1687" w:type="dxa"/>
          </w:tcPr>
          <w:p w14:paraId="3CEAB7B1" w14:textId="0869E286" w:rsidR="005B396F" w:rsidRPr="00280E12" w:rsidRDefault="005B396F" w:rsidP="007B6BCD">
            <w:pPr>
              <w:jc w:val="center"/>
              <w:rPr>
                <w:rFonts w:ascii="Garamond" w:hAnsi="Garamond"/>
                <w:b/>
                <w:sz w:val="22"/>
                <w:szCs w:val="22"/>
              </w:rPr>
            </w:pPr>
            <w:r w:rsidRPr="00280E12">
              <w:rPr>
                <w:rFonts w:ascii="Garamond" w:hAnsi="Garamond"/>
                <w:b/>
                <w:sz w:val="22"/>
                <w:szCs w:val="22"/>
              </w:rPr>
              <w:t>Dividend Yield</w:t>
            </w:r>
          </w:p>
          <w:p w14:paraId="1395E808" w14:textId="54F4228F" w:rsidR="005B396F" w:rsidRPr="00280E12" w:rsidRDefault="00F8386D" w:rsidP="00871EBA">
            <w:pPr>
              <w:jc w:val="center"/>
              <w:rPr>
                <w:rFonts w:ascii="Garamond" w:hAnsi="Garamond"/>
                <w:sz w:val="22"/>
                <w:szCs w:val="22"/>
              </w:rPr>
            </w:pPr>
            <w:r>
              <w:rPr>
                <w:rFonts w:ascii="Garamond" w:hAnsi="Garamond"/>
                <w:sz w:val="22"/>
                <w:szCs w:val="22"/>
              </w:rPr>
              <w:t>5.8</w:t>
            </w:r>
            <w:r w:rsidR="005B396F" w:rsidRPr="00280E12">
              <w:rPr>
                <w:rFonts w:ascii="Garamond" w:hAnsi="Garamond"/>
                <w:sz w:val="22"/>
                <w:szCs w:val="22"/>
              </w:rPr>
              <w:t>%</w:t>
            </w:r>
          </w:p>
        </w:tc>
        <w:tc>
          <w:tcPr>
            <w:tcW w:w="788" w:type="dxa"/>
          </w:tcPr>
          <w:p w14:paraId="7748EF34" w14:textId="3CCB8399" w:rsidR="005B396F" w:rsidRDefault="005B396F" w:rsidP="007B6BCD">
            <w:pPr>
              <w:jc w:val="center"/>
              <w:rPr>
                <w:rFonts w:ascii="Garamond" w:hAnsi="Garamond"/>
                <w:b/>
                <w:sz w:val="22"/>
                <w:szCs w:val="22"/>
              </w:rPr>
            </w:pPr>
            <w:r>
              <w:rPr>
                <w:rFonts w:ascii="Garamond" w:hAnsi="Garamond"/>
                <w:b/>
                <w:sz w:val="22"/>
                <w:szCs w:val="22"/>
              </w:rPr>
              <w:t>Beta</w:t>
            </w:r>
          </w:p>
          <w:p w14:paraId="0B87E42B" w14:textId="6976AA34" w:rsidR="005B396F" w:rsidRPr="005B396F" w:rsidRDefault="00053A98" w:rsidP="007B6BCD">
            <w:pPr>
              <w:jc w:val="center"/>
              <w:rPr>
                <w:rFonts w:ascii="Garamond" w:hAnsi="Garamond"/>
                <w:sz w:val="22"/>
                <w:szCs w:val="22"/>
              </w:rPr>
            </w:pPr>
            <w:r>
              <w:rPr>
                <w:rFonts w:ascii="Garamond" w:hAnsi="Garamond"/>
                <w:sz w:val="22"/>
                <w:szCs w:val="22"/>
              </w:rPr>
              <w:t>1.02</w:t>
            </w:r>
          </w:p>
        </w:tc>
      </w:tr>
    </w:tbl>
    <w:p w14:paraId="2E289672" w14:textId="36F60C2C" w:rsidR="00A630AF" w:rsidRDefault="00E26FBF" w:rsidP="007B6BCD">
      <w:pPr>
        <w:rPr>
          <w:sz w:val="10"/>
          <w:szCs w:val="10"/>
        </w:rPr>
        <w:sectPr w:rsidR="00A630AF" w:rsidSect="0001462B">
          <w:headerReference w:type="even" r:id="rId7"/>
          <w:headerReference w:type="default" r:id="rId8"/>
          <w:footerReference w:type="default" r:id="rId9"/>
          <w:headerReference w:type="first" r:id="rId10"/>
          <w:pgSz w:w="12240" w:h="15840"/>
          <w:pgMar w:top="1152" w:right="1800" w:bottom="720" w:left="1080" w:header="720" w:footer="432" w:gutter="0"/>
          <w:cols w:space="720"/>
          <w:docGrid w:linePitch="360"/>
        </w:sectPr>
      </w:pPr>
      <w:r>
        <w:rPr>
          <w:noProof/>
        </w:rPr>
        <w:drawing>
          <wp:anchor distT="0" distB="0" distL="114300" distR="114300" simplePos="0" relativeHeight="251658240" behindDoc="1" locked="0" layoutInCell="1" allowOverlap="1" wp14:anchorId="004686C6" wp14:editId="3E3786C1">
            <wp:simplePos x="0" y="0"/>
            <wp:positionH relativeFrom="column">
              <wp:posOffset>5700472</wp:posOffset>
            </wp:positionH>
            <wp:positionV relativeFrom="paragraph">
              <wp:posOffset>-949325</wp:posOffset>
            </wp:positionV>
            <wp:extent cx="1183657" cy="472802"/>
            <wp:effectExtent l="0" t="0" r="0" b="3810"/>
            <wp:wrapNone/>
            <wp:docPr id="11" name="Picture 11" descr="https://lh6.googleusercontent.com/wzJ3-0_QQ7x9F7LKbjjsRpKsGDLGo08QaicL725dHgoQe9PG7GpEqpCOfJwoAEk7FBz30XZkMYn1GI2tm6Z5OjVx5rvAIHXLqAGYuvfGL0S6xi308FxehYP_vShevJTlCXstrlxRS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wzJ3-0_QQ7x9F7LKbjjsRpKsGDLGo08QaicL725dHgoQe9PG7GpEqpCOfJwoAEk7FBz30XZkMYn1GI2tm6Z5OjVx5rvAIHXLqAGYuvfGL0S6xi308FxehYP_vShevJTlCXstrlxRSq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657" cy="4728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1FAC7" w14:textId="77777777" w:rsidR="00A630AF" w:rsidRPr="00D45E38" w:rsidRDefault="00A630AF" w:rsidP="007B6BCD">
      <w:pPr>
        <w:rPr>
          <w:rFonts w:ascii="Garamond" w:hAnsi="Garamond"/>
          <w:b/>
          <w:sz w:val="22"/>
          <w:szCs w:val="22"/>
        </w:rPr>
      </w:pPr>
      <w:r w:rsidRPr="00D45E38">
        <w:rPr>
          <w:rFonts w:ascii="Garamond" w:hAnsi="Garamond"/>
          <w:b/>
          <w:sz w:val="22"/>
          <w:szCs w:val="22"/>
        </w:rPr>
        <w:t>Business Description</w:t>
      </w:r>
    </w:p>
    <w:p w14:paraId="6A6D3C67" w14:textId="69C117CB" w:rsidR="00871EBA" w:rsidRPr="00D45E38" w:rsidRDefault="00D5472B" w:rsidP="00871EBA">
      <w:pPr>
        <w:pStyle w:val="NormalWeb"/>
        <w:spacing w:before="0" w:beforeAutospacing="0" w:after="160" w:afterAutospacing="0"/>
        <w:rPr>
          <w:rFonts w:ascii="Garamond" w:hAnsi="Garamond"/>
          <w:szCs w:val="22"/>
        </w:rPr>
      </w:pPr>
      <w:r w:rsidRPr="00D45E38">
        <w:rPr>
          <w:rFonts w:ascii="Garamond" w:hAnsi="Garamond"/>
          <w:szCs w:val="22"/>
        </w:rPr>
        <w:t xml:space="preserve">STAG is a REIT that invests in and operates industrial single-tenant properties in the United States. 87% of all properties owned by STAG are either warehouses or distribution properties, and the average asset price of each property is between $5-15 million. Additionally, a common characteristic among STAG properties is that a majority are in secondary markets (high exposure to the mid-west) where the average rentable space is between 25-200M net rentable square footage. In terms of industry exposure, STAG’s tenants are diversified across industries, with the greatest exposure to automotive, air freight, and industrial equipment. </w:t>
      </w:r>
    </w:p>
    <w:p w14:paraId="2F145BD1" w14:textId="77777777" w:rsidR="00A630AF" w:rsidRPr="00D45E38" w:rsidRDefault="00A630AF" w:rsidP="007B6BCD">
      <w:pPr>
        <w:jc w:val="both"/>
        <w:rPr>
          <w:rFonts w:ascii="Garamond" w:hAnsi="Garamond"/>
          <w:b/>
          <w:sz w:val="22"/>
          <w:szCs w:val="22"/>
        </w:rPr>
      </w:pPr>
      <w:r w:rsidRPr="00D45E38">
        <w:rPr>
          <w:rFonts w:ascii="Garamond" w:hAnsi="Garamond"/>
          <w:b/>
          <w:sz w:val="22"/>
          <w:szCs w:val="22"/>
        </w:rPr>
        <w:t>Industry Trends</w:t>
      </w:r>
    </w:p>
    <w:p w14:paraId="60B729A6" w14:textId="5FCA9800" w:rsidR="00907FFD" w:rsidRPr="00D45E38" w:rsidRDefault="00871EBA" w:rsidP="007B6BCD">
      <w:pPr>
        <w:jc w:val="both"/>
        <w:rPr>
          <w:rFonts w:ascii="Garamond" w:hAnsi="Garamond"/>
          <w:b/>
          <w:sz w:val="20"/>
          <w:szCs w:val="22"/>
        </w:rPr>
      </w:pPr>
      <w:r w:rsidRPr="00D45E38">
        <w:rPr>
          <w:rFonts w:ascii="Garamond" w:hAnsi="Garamond"/>
          <w:sz w:val="20"/>
          <w:szCs w:val="22"/>
        </w:rPr>
        <w:t xml:space="preserve">The </w:t>
      </w:r>
      <w:r w:rsidR="00E6578B" w:rsidRPr="00D45E38">
        <w:rPr>
          <w:rFonts w:ascii="Garamond" w:hAnsi="Garamond"/>
          <w:sz w:val="20"/>
          <w:szCs w:val="22"/>
        </w:rPr>
        <w:t xml:space="preserve">REIT industry ended 2016 with total returns of 9.3%. While the REIT market faced a rate focused valuation in 2016 it is expected to return to fundamental valuation in 2017. A large portion of REITs are dealing with bond maturities in the face of rising interest rates to come. The retail REIT sector has been facing problems with tenant bankruptcies and decline in brick and mortar retail trends. However the industrial REIT sector looks positive due to the executive administration’s job and manufacturing outlook and proposals. The industrial REIT sector has been preforming well with decreasing vacancy rates and increasing effective rent rates. The industrial REITs ended the 2016 year with 30.2% total return. Other economic indicators such as unemployment and consumer confidence contribute to positive overall industrial REIT sector outlook. </w:t>
      </w:r>
      <w:r w:rsidR="00F62284" w:rsidRPr="00D45E38">
        <w:rPr>
          <w:rFonts w:ascii="Garamond" w:hAnsi="Garamond"/>
          <w:sz w:val="20"/>
          <w:szCs w:val="22"/>
        </w:rPr>
        <w:t xml:space="preserve">The RMZ index ended the week at 1163, not far off from the 52 week high of 1280. </w:t>
      </w:r>
    </w:p>
    <w:p w14:paraId="5BF5D15C" w14:textId="77777777" w:rsidR="00871EBA" w:rsidRPr="00D45E38" w:rsidRDefault="00871EBA" w:rsidP="007B6BCD">
      <w:pPr>
        <w:jc w:val="both"/>
        <w:rPr>
          <w:rFonts w:ascii="Garamond" w:hAnsi="Garamond"/>
          <w:b/>
          <w:sz w:val="22"/>
          <w:szCs w:val="22"/>
        </w:rPr>
      </w:pPr>
    </w:p>
    <w:p w14:paraId="24B66CF6" w14:textId="77777777" w:rsidR="00A630AF" w:rsidRPr="00D45E38" w:rsidRDefault="00A630AF" w:rsidP="007B6BCD">
      <w:pPr>
        <w:jc w:val="both"/>
        <w:rPr>
          <w:rFonts w:ascii="Garamond" w:hAnsi="Garamond"/>
          <w:b/>
          <w:sz w:val="22"/>
          <w:szCs w:val="22"/>
        </w:rPr>
      </w:pPr>
      <w:r w:rsidRPr="00D45E38">
        <w:rPr>
          <w:rFonts w:ascii="Garamond" w:hAnsi="Garamond"/>
          <w:b/>
          <w:sz w:val="22"/>
          <w:szCs w:val="22"/>
        </w:rPr>
        <w:t>Investment Thesis</w:t>
      </w:r>
    </w:p>
    <w:p w14:paraId="5E656C88" w14:textId="349C59B8" w:rsidR="007B6BCD" w:rsidRPr="00D45E38" w:rsidRDefault="00311317" w:rsidP="007B6BCD">
      <w:pPr>
        <w:rPr>
          <w:rFonts w:ascii="Garamond" w:eastAsia="Times New Roman" w:hAnsi="Garamond" w:cs="Times New Roman"/>
          <w:sz w:val="18"/>
          <w:szCs w:val="20"/>
        </w:rPr>
      </w:pPr>
      <w:r w:rsidRPr="00D45E38">
        <w:rPr>
          <w:rFonts w:ascii="Garamond" w:hAnsi="Garamond"/>
          <w:sz w:val="20"/>
          <w:szCs w:val="22"/>
        </w:rPr>
        <w:t>STAG Industrial</w:t>
      </w:r>
      <w:r w:rsidR="00871EBA" w:rsidRPr="00D45E38">
        <w:rPr>
          <w:rFonts w:ascii="Garamond" w:hAnsi="Garamond"/>
          <w:sz w:val="20"/>
          <w:szCs w:val="22"/>
        </w:rPr>
        <w:t xml:space="preserve"> will deliver long run value due to its</w:t>
      </w:r>
      <w:r w:rsidRPr="00D45E38">
        <w:rPr>
          <w:rFonts w:ascii="Garamond" w:hAnsi="Garamond"/>
          <w:sz w:val="20"/>
          <w:szCs w:val="22"/>
        </w:rPr>
        <w:t xml:space="preserve"> potential future market opportunities that are under tapped, disciplined management and financial philosophy, and its aggressive growth strategy. STAG is positioned for growth, with market penetration of only 1% of its target asset classes</w:t>
      </w:r>
      <w:r w:rsidR="007D0C17" w:rsidRPr="00D45E38">
        <w:rPr>
          <w:rFonts w:ascii="Garamond" w:hAnsi="Garamond"/>
          <w:sz w:val="20"/>
          <w:szCs w:val="22"/>
        </w:rPr>
        <w:t xml:space="preserve"> in a very fragmented market</w:t>
      </w:r>
      <w:r w:rsidRPr="00D45E38">
        <w:rPr>
          <w:rFonts w:ascii="Garamond" w:hAnsi="Garamond"/>
          <w:sz w:val="20"/>
          <w:szCs w:val="22"/>
        </w:rPr>
        <w:t xml:space="preserve">. The management team has led a disciplined system of maintaining strong balance sheets and returning value to shareholders. Lastly STAG is only in the beginning </w:t>
      </w:r>
      <w:r w:rsidR="009177D3" w:rsidRPr="00D45E38">
        <w:rPr>
          <w:rFonts w:ascii="Garamond" w:hAnsi="Garamond"/>
          <w:sz w:val="20"/>
          <w:szCs w:val="22"/>
        </w:rPr>
        <w:t xml:space="preserve">of its growth stage with </w:t>
      </w:r>
      <w:r w:rsidRPr="00D45E38">
        <w:rPr>
          <w:rFonts w:ascii="Garamond" w:hAnsi="Garamond"/>
          <w:sz w:val="20"/>
          <w:szCs w:val="22"/>
        </w:rPr>
        <w:t xml:space="preserve">launching an IPO in 2011 and now having over $1.9B in the acquisition pipeline. </w:t>
      </w:r>
      <w:r w:rsidR="00B75F6E" w:rsidRPr="00D45E38">
        <w:rPr>
          <w:rFonts w:ascii="Garamond" w:hAnsi="Garamond"/>
          <w:sz w:val="20"/>
          <w:szCs w:val="22"/>
        </w:rPr>
        <w:t>Its</w:t>
      </w:r>
      <w:r w:rsidR="004D518D" w:rsidRPr="00D45E38">
        <w:rPr>
          <w:rFonts w:ascii="Garamond" w:hAnsi="Garamond"/>
          <w:sz w:val="20"/>
          <w:szCs w:val="22"/>
        </w:rPr>
        <w:t xml:space="preserve"> current price is undervalued</w:t>
      </w:r>
      <w:r w:rsidR="00871EBA" w:rsidRPr="00D45E38">
        <w:rPr>
          <w:rFonts w:ascii="Garamond" w:hAnsi="Garamond"/>
          <w:sz w:val="20"/>
          <w:szCs w:val="22"/>
        </w:rPr>
        <w:t xml:space="preserve"> and has upside potential.</w:t>
      </w:r>
    </w:p>
    <w:tbl>
      <w:tblPr>
        <w:tblStyle w:val="TableGrid"/>
        <w:tblW w:w="5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661"/>
      </w:tblGrid>
      <w:tr w:rsidR="00D45E38" w:rsidRPr="00D45E38" w14:paraId="44A5E45B" w14:textId="77777777" w:rsidTr="00CC5E37">
        <w:trPr>
          <w:trHeight w:val="1366"/>
        </w:trPr>
        <w:tc>
          <w:tcPr>
            <w:tcW w:w="3060" w:type="dxa"/>
          </w:tcPr>
          <w:p w14:paraId="045C452E" w14:textId="16E6048E" w:rsidR="00871EBA" w:rsidRPr="00D45E38" w:rsidRDefault="00871EBA" w:rsidP="007B6BCD">
            <w:pPr>
              <w:rPr>
                <w:rFonts w:ascii="Garamond" w:hAnsi="Garamond"/>
                <w:b/>
                <w:sz w:val="22"/>
                <w:szCs w:val="22"/>
              </w:rPr>
            </w:pPr>
          </w:p>
          <w:p w14:paraId="793DD0C5" w14:textId="7418F5B6" w:rsidR="007B6BCD" w:rsidRPr="00D45E38" w:rsidRDefault="007B6BCD" w:rsidP="007B6BCD">
            <w:pPr>
              <w:rPr>
                <w:rFonts w:ascii="Garamond" w:hAnsi="Garamond"/>
                <w:b/>
                <w:sz w:val="22"/>
                <w:szCs w:val="22"/>
              </w:rPr>
            </w:pPr>
            <w:r w:rsidRPr="00D45E38">
              <w:rPr>
                <w:rFonts w:ascii="Garamond" w:hAnsi="Garamond"/>
                <w:b/>
                <w:sz w:val="22"/>
                <w:szCs w:val="22"/>
              </w:rPr>
              <w:t>Valuation Assumptions</w:t>
            </w:r>
          </w:p>
          <w:p w14:paraId="537F0D27" w14:textId="020DFA06" w:rsidR="007B6BCD" w:rsidRPr="00D45E38" w:rsidRDefault="007B6BCD" w:rsidP="007B6BCD">
            <w:pPr>
              <w:rPr>
                <w:rFonts w:ascii="Garamond" w:hAnsi="Garamond"/>
                <w:sz w:val="18"/>
                <w:szCs w:val="18"/>
              </w:rPr>
            </w:pPr>
            <w:r w:rsidRPr="00D45E38">
              <w:rPr>
                <w:rFonts w:ascii="Garamond" w:hAnsi="Garamond"/>
                <w:sz w:val="18"/>
                <w:szCs w:val="18"/>
              </w:rPr>
              <w:t xml:space="preserve">WACC: </w:t>
            </w:r>
            <w:r w:rsidR="00F05CBC" w:rsidRPr="00D45E38">
              <w:rPr>
                <w:rFonts w:ascii="Garamond" w:hAnsi="Garamond"/>
                <w:sz w:val="18"/>
                <w:szCs w:val="18"/>
              </w:rPr>
              <w:t>7</w:t>
            </w:r>
            <w:r w:rsidR="00871EBA" w:rsidRPr="00D45E38">
              <w:rPr>
                <w:rFonts w:ascii="Garamond" w:hAnsi="Garamond"/>
                <w:sz w:val="18"/>
                <w:szCs w:val="18"/>
              </w:rPr>
              <w:t>.00</w:t>
            </w:r>
            <w:r w:rsidRPr="00D45E38">
              <w:rPr>
                <w:rFonts w:ascii="Garamond" w:hAnsi="Garamond"/>
                <w:sz w:val="18"/>
                <w:szCs w:val="18"/>
              </w:rPr>
              <w:t>%</w:t>
            </w:r>
          </w:p>
          <w:p w14:paraId="4C28671C" w14:textId="3728284D" w:rsidR="007B6BCD" w:rsidRPr="00D45E38" w:rsidRDefault="00F05CBC" w:rsidP="007B6BCD">
            <w:pPr>
              <w:rPr>
                <w:rFonts w:ascii="Garamond" w:hAnsi="Garamond"/>
                <w:sz w:val="18"/>
                <w:szCs w:val="18"/>
              </w:rPr>
            </w:pPr>
            <w:r w:rsidRPr="00D45E38">
              <w:rPr>
                <w:rFonts w:ascii="Garamond" w:hAnsi="Garamond"/>
                <w:sz w:val="18"/>
                <w:szCs w:val="18"/>
              </w:rPr>
              <w:t xml:space="preserve">Perpetuity </w:t>
            </w:r>
            <w:r w:rsidR="007B6BCD" w:rsidRPr="00D45E38">
              <w:rPr>
                <w:rFonts w:ascii="Garamond" w:hAnsi="Garamond"/>
                <w:sz w:val="18"/>
                <w:szCs w:val="18"/>
              </w:rPr>
              <w:t xml:space="preserve">Growth Rate: </w:t>
            </w:r>
            <w:r w:rsidRPr="00D45E38">
              <w:rPr>
                <w:rFonts w:ascii="Garamond" w:hAnsi="Garamond"/>
                <w:sz w:val="18"/>
                <w:szCs w:val="18"/>
              </w:rPr>
              <w:t>2.2</w:t>
            </w:r>
            <w:r w:rsidR="007B6BCD" w:rsidRPr="00D45E38">
              <w:rPr>
                <w:rFonts w:ascii="Garamond" w:hAnsi="Garamond"/>
                <w:sz w:val="18"/>
                <w:szCs w:val="18"/>
              </w:rPr>
              <w:t>%</w:t>
            </w:r>
          </w:p>
          <w:p w14:paraId="1A9EE67F" w14:textId="7B5CE4F2" w:rsidR="00F05CBC" w:rsidRPr="00D45E38" w:rsidRDefault="00F05CBC" w:rsidP="007B6BCD">
            <w:pPr>
              <w:rPr>
                <w:rFonts w:ascii="Garamond" w:hAnsi="Garamond"/>
                <w:sz w:val="18"/>
                <w:szCs w:val="18"/>
              </w:rPr>
            </w:pPr>
            <w:r w:rsidRPr="00D45E38">
              <w:rPr>
                <w:rFonts w:ascii="Garamond" w:hAnsi="Garamond"/>
                <w:sz w:val="18"/>
                <w:szCs w:val="18"/>
              </w:rPr>
              <w:t>3 Stages of Growth: 25%, 15%, 10%</w:t>
            </w:r>
          </w:p>
          <w:p w14:paraId="166E0C99" w14:textId="77777777" w:rsidR="00871EBA" w:rsidRPr="00D45E38" w:rsidRDefault="00F05CBC" w:rsidP="00871EBA">
            <w:pPr>
              <w:rPr>
                <w:rFonts w:ascii="Garamond" w:hAnsi="Garamond"/>
                <w:sz w:val="18"/>
                <w:szCs w:val="18"/>
              </w:rPr>
            </w:pPr>
            <w:r w:rsidRPr="00D45E38">
              <w:rPr>
                <w:rFonts w:ascii="Garamond" w:hAnsi="Garamond"/>
                <w:sz w:val="18"/>
                <w:szCs w:val="18"/>
              </w:rPr>
              <w:t>NOWC: adjusted as portion of revenues</w:t>
            </w:r>
          </w:p>
          <w:p w14:paraId="031D11D9" w14:textId="748533F0" w:rsidR="00F05CBC" w:rsidRPr="00D45E38" w:rsidRDefault="00F05CBC" w:rsidP="00871EBA">
            <w:pPr>
              <w:rPr>
                <w:rFonts w:ascii="Garamond" w:hAnsi="Garamond"/>
                <w:sz w:val="18"/>
                <w:szCs w:val="18"/>
              </w:rPr>
            </w:pPr>
            <w:r w:rsidRPr="00D45E38">
              <w:rPr>
                <w:rFonts w:ascii="Garamond" w:hAnsi="Garamond"/>
                <w:sz w:val="18"/>
                <w:szCs w:val="18"/>
              </w:rPr>
              <w:t xml:space="preserve">Depreciation: 50%-40% of revenue </w:t>
            </w:r>
          </w:p>
          <w:p w14:paraId="2ECDB2B3" w14:textId="60B4E2CF" w:rsidR="00F05CBC" w:rsidRPr="00D45E38" w:rsidRDefault="00F05CBC" w:rsidP="00871EBA">
            <w:pPr>
              <w:rPr>
                <w:rFonts w:ascii="Garamond" w:hAnsi="Garamond"/>
                <w:sz w:val="18"/>
                <w:szCs w:val="18"/>
              </w:rPr>
            </w:pPr>
          </w:p>
        </w:tc>
        <w:tc>
          <w:tcPr>
            <w:tcW w:w="2661" w:type="dxa"/>
          </w:tcPr>
          <w:p w14:paraId="62D69D45" w14:textId="77777777" w:rsidR="00871EBA" w:rsidRPr="00D45E38" w:rsidRDefault="00871EBA" w:rsidP="007B6BCD">
            <w:pPr>
              <w:rPr>
                <w:rFonts w:ascii="Garamond" w:hAnsi="Garamond"/>
                <w:b/>
                <w:sz w:val="22"/>
                <w:szCs w:val="22"/>
              </w:rPr>
            </w:pPr>
          </w:p>
          <w:p w14:paraId="6C931331" w14:textId="77777777" w:rsidR="007B6BCD" w:rsidRPr="00D45E38" w:rsidRDefault="007B6BCD" w:rsidP="007B6BCD">
            <w:pPr>
              <w:rPr>
                <w:rFonts w:ascii="Garamond" w:hAnsi="Garamond"/>
                <w:b/>
                <w:sz w:val="22"/>
                <w:szCs w:val="22"/>
              </w:rPr>
            </w:pPr>
            <w:r w:rsidRPr="00D45E38">
              <w:rPr>
                <w:rFonts w:ascii="Garamond" w:hAnsi="Garamond"/>
                <w:b/>
                <w:sz w:val="22"/>
                <w:szCs w:val="22"/>
              </w:rPr>
              <w:t>Key Financials</w:t>
            </w:r>
          </w:p>
          <w:p w14:paraId="238CF22D" w14:textId="0E147311" w:rsidR="009F3FB8" w:rsidRPr="00D45E38" w:rsidRDefault="00F05CBC" w:rsidP="001A4EC4">
            <w:pPr>
              <w:rPr>
                <w:rFonts w:ascii="Garamond" w:hAnsi="Garamond"/>
                <w:sz w:val="18"/>
                <w:szCs w:val="18"/>
              </w:rPr>
            </w:pPr>
            <w:r w:rsidRPr="00D45E38">
              <w:rPr>
                <w:rFonts w:ascii="Garamond" w:hAnsi="Garamond"/>
                <w:sz w:val="18"/>
                <w:szCs w:val="18"/>
              </w:rPr>
              <w:t>DCF</w:t>
            </w:r>
            <w:r w:rsidR="00871EBA" w:rsidRPr="00D45E38">
              <w:rPr>
                <w:rFonts w:ascii="Garamond" w:hAnsi="Garamond"/>
                <w:sz w:val="18"/>
                <w:szCs w:val="18"/>
              </w:rPr>
              <w:t xml:space="preserve"> Stock Price: $</w:t>
            </w:r>
            <w:r w:rsidRPr="00D45E38">
              <w:rPr>
                <w:rFonts w:ascii="Garamond" w:hAnsi="Garamond"/>
                <w:sz w:val="18"/>
                <w:szCs w:val="18"/>
              </w:rPr>
              <w:t>30.44</w:t>
            </w:r>
          </w:p>
          <w:p w14:paraId="73862E7B" w14:textId="418F1916" w:rsidR="00F05CBC" w:rsidRPr="00D45E38" w:rsidRDefault="00F05CBC" w:rsidP="001A4EC4">
            <w:pPr>
              <w:rPr>
                <w:rFonts w:ascii="Garamond" w:hAnsi="Garamond"/>
                <w:sz w:val="18"/>
                <w:szCs w:val="18"/>
              </w:rPr>
            </w:pPr>
            <w:r w:rsidRPr="00D45E38">
              <w:rPr>
                <w:rFonts w:ascii="Garamond" w:hAnsi="Garamond"/>
                <w:sz w:val="18"/>
                <w:szCs w:val="18"/>
              </w:rPr>
              <w:t>DDM Stock Price: $27.82</w:t>
            </w:r>
          </w:p>
          <w:p w14:paraId="5758D76F" w14:textId="184CD21A" w:rsidR="00871EBA" w:rsidRPr="00D45E38" w:rsidRDefault="00F05CBC" w:rsidP="001A4EC4">
            <w:pPr>
              <w:rPr>
                <w:rFonts w:ascii="Garamond" w:hAnsi="Garamond"/>
                <w:sz w:val="18"/>
                <w:szCs w:val="18"/>
              </w:rPr>
            </w:pPr>
            <w:r w:rsidRPr="00D45E38">
              <w:rPr>
                <w:rFonts w:ascii="Garamond" w:hAnsi="Garamond"/>
                <w:sz w:val="18"/>
                <w:szCs w:val="18"/>
              </w:rPr>
              <w:t>Stock Price Multiples: $32.99</w:t>
            </w:r>
          </w:p>
          <w:p w14:paraId="064DAA20" w14:textId="078B392C" w:rsidR="00871EBA" w:rsidRPr="00D45E38" w:rsidRDefault="00F05CBC" w:rsidP="001A4EC4">
            <w:pPr>
              <w:rPr>
                <w:rFonts w:ascii="Garamond" w:hAnsi="Garamond"/>
                <w:sz w:val="18"/>
                <w:szCs w:val="18"/>
              </w:rPr>
            </w:pPr>
            <w:r w:rsidRPr="00D45E38">
              <w:rPr>
                <w:rFonts w:ascii="Garamond" w:hAnsi="Garamond"/>
                <w:sz w:val="18"/>
                <w:szCs w:val="18"/>
              </w:rPr>
              <w:t xml:space="preserve">Weighted: 1/3 each </w:t>
            </w:r>
          </w:p>
          <w:p w14:paraId="244D4D94" w14:textId="3230BDEA" w:rsidR="00871EBA" w:rsidRPr="00D45E38" w:rsidRDefault="00F05CBC" w:rsidP="001A4EC4">
            <w:pPr>
              <w:rPr>
                <w:sz w:val="18"/>
                <w:szCs w:val="18"/>
              </w:rPr>
            </w:pPr>
            <w:r w:rsidRPr="00D45E38">
              <w:rPr>
                <w:rFonts w:ascii="Garamond" w:hAnsi="Garamond"/>
                <w:sz w:val="18"/>
                <w:szCs w:val="18"/>
              </w:rPr>
              <w:t>Intrinsic Value: $30.42</w:t>
            </w:r>
          </w:p>
        </w:tc>
      </w:tr>
      <w:tr w:rsidR="00D45E38" w:rsidRPr="00D45E38" w14:paraId="5CE241D8" w14:textId="77777777" w:rsidTr="00CC5E37">
        <w:trPr>
          <w:trHeight w:val="222"/>
        </w:trPr>
        <w:tc>
          <w:tcPr>
            <w:tcW w:w="3060" w:type="dxa"/>
          </w:tcPr>
          <w:p w14:paraId="427003DB" w14:textId="6C843735" w:rsidR="001A4EC4" w:rsidRPr="00D45E38" w:rsidRDefault="001A4EC4" w:rsidP="007B6BCD">
            <w:pPr>
              <w:rPr>
                <w:rFonts w:ascii="Garamond" w:hAnsi="Garamond"/>
                <w:b/>
                <w:sz w:val="22"/>
                <w:szCs w:val="22"/>
              </w:rPr>
            </w:pPr>
          </w:p>
        </w:tc>
        <w:tc>
          <w:tcPr>
            <w:tcW w:w="2661" w:type="dxa"/>
          </w:tcPr>
          <w:p w14:paraId="5E50CD56" w14:textId="77777777" w:rsidR="001A4EC4" w:rsidRPr="00D45E38" w:rsidRDefault="001A4EC4" w:rsidP="007B6BCD">
            <w:pPr>
              <w:rPr>
                <w:rFonts w:ascii="Garamond" w:hAnsi="Garamond"/>
                <w:b/>
                <w:sz w:val="22"/>
                <w:szCs w:val="22"/>
              </w:rPr>
            </w:pPr>
          </w:p>
        </w:tc>
      </w:tr>
    </w:tbl>
    <w:p w14:paraId="42FD9E8B" w14:textId="77777777" w:rsidR="0001462B" w:rsidRPr="00D45E38" w:rsidRDefault="0001462B" w:rsidP="0001462B">
      <w:pPr>
        <w:rPr>
          <w:rFonts w:ascii="Garamond" w:hAnsi="Garamond"/>
          <w:b/>
          <w:sz w:val="22"/>
          <w:szCs w:val="22"/>
        </w:rPr>
      </w:pPr>
      <w:r w:rsidRPr="00D45E38">
        <w:rPr>
          <w:rFonts w:ascii="Garamond" w:hAnsi="Garamond"/>
          <w:b/>
          <w:sz w:val="22"/>
          <w:szCs w:val="22"/>
        </w:rPr>
        <w:t>Corporate Social Responsibility</w:t>
      </w:r>
    </w:p>
    <w:p w14:paraId="2E054385" w14:textId="55594A3B" w:rsidR="0001462B" w:rsidRPr="00D45E38" w:rsidRDefault="00FC17EE" w:rsidP="00EE4BFA">
      <w:pPr>
        <w:rPr>
          <w:rFonts w:ascii="Garamond" w:hAnsi="Garamond" w:cs="Arial"/>
          <w:sz w:val="18"/>
          <w:szCs w:val="18"/>
        </w:rPr>
      </w:pPr>
      <w:r w:rsidRPr="00D45E38">
        <w:rPr>
          <w:rFonts w:ascii="Garamond" w:hAnsi="Garamond" w:cs="Arial"/>
          <w:sz w:val="18"/>
          <w:szCs w:val="18"/>
        </w:rPr>
        <w:t>% Nonexecutive Directors on Board 85% (Industry 76%)</w:t>
      </w:r>
    </w:p>
    <w:p w14:paraId="1AFC175E" w14:textId="17236977" w:rsidR="0001462B" w:rsidRPr="00D45E38" w:rsidRDefault="00FC17EE" w:rsidP="0001462B">
      <w:pPr>
        <w:rPr>
          <w:rFonts w:ascii="Garamond" w:hAnsi="Garamond" w:cs="Times New Roman"/>
          <w:sz w:val="18"/>
          <w:szCs w:val="18"/>
        </w:rPr>
      </w:pPr>
      <w:r w:rsidRPr="00D45E38">
        <w:rPr>
          <w:rFonts w:ascii="Garamond" w:hAnsi="Garamond" w:cs="Times New Roman"/>
          <w:sz w:val="18"/>
          <w:szCs w:val="18"/>
        </w:rPr>
        <w:t xml:space="preserve">Independent Audit Committee Chairperson – Present </w:t>
      </w:r>
    </w:p>
    <w:p w14:paraId="5E5C5CAC" w14:textId="723B2F00" w:rsidR="00871EBA" w:rsidRPr="00D45E38" w:rsidRDefault="00FC17EE" w:rsidP="007B6BCD">
      <w:pPr>
        <w:rPr>
          <w:rFonts w:ascii="Garamond" w:hAnsi="Garamond" w:cs="Arial"/>
          <w:sz w:val="18"/>
          <w:szCs w:val="18"/>
        </w:rPr>
      </w:pPr>
      <w:r w:rsidRPr="00D45E38">
        <w:rPr>
          <w:rFonts w:ascii="Garamond" w:hAnsi="Garamond" w:cs="Arial"/>
          <w:sz w:val="18"/>
          <w:szCs w:val="18"/>
        </w:rPr>
        <w:t xml:space="preserve">Whistleblower Policy –Present </w:t>
      </w:r>
    </w:p>
    <w:p w14:paraId="638708C9" w14:textId="483DAF6E" w:rsidR="00FC17EE" w:rsidRPr="00D45E38" w:rsidRDefault="00FC17EE" w:rsidP="007B6BCD">
      <w:pPr>
        <w:rPr>
          <w:rFonts w:ascii="Garamond" w:hAnsi="Garamond" w:cs="Arial"/>
          <w:sz w:val="18"/>
          <w:szCs w:val="18"/>
        </w:rPr>
      </w:pPr>
      <w:r w:rsidRPr="00D45E38">
        <w:rPr>
          <w:rFonts w:ascii="Garamond" w:hAnsi="Garamond" w:cs="Arial"/>
          <w:sz w:val="18"/>
          <w:szCs w:val="18"/>
        </w:rPr>
        <w:t xml:space="preserve">Code of Ethics and Governance Policy- Present </w:t>
      </w:r>
    </w:p>
    <w:p w14:paraId="5D81AACC" w14:textId="52824D7E" w:rsidR="00FC17EE" w:rsidRPr="00D45E38" w:rsidRDefault="00FC17EE" w:rsidP="007B6BCD">
      <w:pPr>
        <w:rPr>
          <w:rFonts w:ascii="Garamond" w:hAnsi="Garamond" w:cs="Arial"/>
          <w:sz w:val="18"/>
          <w:szCs w:val="18"/>
        </w:rPr>
      </w:pPr>
      <w:r w:rsidRPr="00D45E38">
        <w:rPr>
          <w:rFonts w:ascii="Garamond" w:hAnsi="Garamond" w:cs="Arial"/>
          <w:sz w:val="18"/>
          <w:szCs w:val="18"/>
        </w:rPr>
        <w:t>Community Ranking by CSR Hub 60 out of 100</w:t>
      </w:r>
    </w:p>
    <w:p w14:paraId="26C58619" w14:textId="77777777" w:rsidR="00154501" w:rsidRPr="00D45E38" w:rsidRDefault="00154501" w:rsidP="007B6BCD">
      <w:pPr>
        <w:rPr>
          <w:rFonts w:ascii="Garamond" w:hAnsi="Garamond"/>
          <w:b/>
        </w:rPr>
      </w:pPr>
    </w:p>
    <w:p w14:paraId="3ADCD011" w14:textId="072D11B0" w:rsidR="009633AC" w:rsidRPr="00D45E38" w:rsidRDefault="007B6BCD" w:rsidP="007B6BCD">
      <w:pPr>
        <w:rPr>
          <w:rFonts w:ascii="Garamond" w:hAnsi="Garamond"/>
          <w:b/>
          <w:sz w:val="16"/>
          <w:szCs w:val="16"/>
        </w:rPr>
      </w:pPr>
      <w:r w:rsidRPr="00D45E38">
        <w:rPr>
          <w:rFonts w:ascii="Garamond" w:hAnsi="Garamond"/>
          <w:b/>
        </w:rPr>
        <w:t>5-Year Stock Performance</w:t>
      </w:r>
    </w:p>
    <w:p w14:paraId="6DD9B7E4" w14:textId="522594D6" w:rsidR="007B6BCD" w:rsidRPr="00D45E38" w:rsidRDefault="009633AC" w:rsidP="007B6BCD">
      <w:pPr>
        <w:rPr>
          <w:rFonts w:ascii="Garamond" w:eastAsia="Times New Roman" w:hAnsi="Garamond" w:cs="Times New Roman"/>
          <w:sz w:val="20"/>
          <w:szCs w:val="20"/>
        </w:rPr>
      </w:pPr>
      <w:r w:rsidRPr="00D45E38">
        <w:rPr>
          <w:noProof/>
        </w:rPr>
        <w:drawing>
          <wp:inline distT="0" distB="0" distL="0" distR="0" wp14:anchorId="5D96B9FA" wp14:editId="13E4F8B3">
            <wp:extent cx="3463290" cy="2062256"/>
            <wp:effectExtent l="0" t="0" r="3810" b="0"/>
            <wp:docPr id="2" name="Picture 2" descr="https://lh3.googleusercontent.com/UXds8TH21VHUrDd4FWzSQYZXnAkY1mmTiAm3znFcm5acWiwOWw8JaMhSTWid9sIRb1U2VV1-J2Dh54Ms2ppp_JdNnQ59Bz-WX4ZB8lAHQ9RZSNWcTOibgZJ1w0GPXodoE0XyOQfk9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Xds8TH21VHUrDd4FWzSQYZXnAkY1mmTiAm3znFcm5acWiwOWw8JaMhSTWid9sIRb1U2VV1-J2Dh54Ms2ppp_JdNnQ59Bz-WX4ZB8lAHQ9RZSNWcTOibgZJ1w0GPXodoE0XyOQfk9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3290" cy="2062256"/>
                    </a:xfrm>
                    <a:prstGeom prst="rect">
                      <a:avLst/>
                    </a:prstGeom>
                    <a:noFill/>
                    <a:ln>
                      <a:noFill/>
                    </a:ln>
                  </pic:spPr>
                </pic:pic>
              </a:graphicData>
            </a:graphic>
          </wp:inline>
        </w:drawing>
      </w:r>
    </w:p>
    <w:p w14:paraId="7F3FC2B3" w14:textId="77777777" w:rsidR="007B6BCD" w:rsidRPr="00D45E38" w:rsidRDefault="007B6BCD" w:rsidP="007B6BCD">
      <w:pPr>
        <w:jc w:val="both"/>
        <w:rPr>
          <w:sz w:val="18"/>
          <w:szCs w:val="18"/>
        </w:rPr>
      </w:pPr>
    </w:p>
    <w:p w14:paraId="5DC82968" w14:textId="77777777" w:rsidR="007B6BCD" w:rsidRPr="00D45E38" w:rsidRDefault="007B6BCD" w:rsidP="007B6BCD">
      <w:pPr>
        <w:jc w:val="both"/>
        <w:rPr>
          <w:rFonts w:ascii="Garamond" w:hAnsi="Garamond"/>
          <w:b/>
          <w:sz w:val="22"/>
          <w:szCs w:val="22"/>
        </w:rPr>
      </w:pPr>
      <w:r w:rsidRPr="00D45E38">
        <w:rPr>
          <w:rFonts w:ascii="Garamond" w:hAnsi="Garamond"/>
          <w:b/>
          <w:sz w:val="22"/>
          <w:szCs w:val="22"/>
        </w:rPr>
        <w:t>Competitive Analysis</w:t>
      </w:r>
    </w:p>
    <w:p w14:paraId="0F53FB03" w14:textId="58FEAEA5" w:rsidR="007B6BCD" w:rsidRPr="00D45E38" w:rsidRDefault="007D0C17" w:rsidP="007B6BCD">
      <w:pPr>
        <w:rPr>
          <w:rFonts w:ascii="Garamond" w:eastAsia="Times New Roman" w:hAnsi="Garamond" w:cs="Arial"/>
          <w:sz w:val="16"/>
          <w:szCs w:val="18"/>
        </w:rPr>
      </w:pPr>
      <w:r w:rsidRPr="00D45E38">
        <w:rPr>
          <w:rFonts w:ascii="Garamond" w:hAnsi="Garamond"/>
          <w:sz w:val="20"/>
          <w:szCs w:val="22"/>
        </w:rPr>
        <w:t>STAG Industrial</w:t>
      </w:r>
      <w:r w:rsidR="00871EBA" w:rsidRPr="00D45E38">
        <w:rPr>
          <w:rFonts w:ascii="Garamond" w:hAnsi="Garamond"/>
          <w:sz w:val="20"/>
          <w:szCs w:val="22"/>
        </w:rPr>
        <w:t xml:space="preserve"> competes with </w:t>
      </w:r>
      <w:r w:rsidRPr="00D45E38">
        <w:rPr>
          <w:rFonts w:ascii="Garamond" w:hAnsi="Garamond"/>
          <w:sz w:val="20"/>
          <w:szCs w:val="22"/>
        </w:rPr>
        <w:t xml:space="preserve">a specified group in the REIT sector. The industrial sector, which </w:t>
      </w:r>
      <w:r w:rsidR="00173F51" w:rsidRPr="00D45E38">
        <w:rPr>
          <w:rFonts w:ascii="Garamond" w:hAnsi="Garamond"/>
          <w:sz w:val="20"/>
          <w:szCs w:val="22"/>
        </w:rPr>
        <w:t>finances</w:t>
      </w:r>
      <w:r w:rsidRPr="00D45E38">
        <w:rPr>
          <w:rFonts w:ascii="Garamond" w:hAnsi="Garamond"/>
          <w:sz w:val="20"/>
          <w:szCs w:val="22"/>
        </w:rPr>
        <w:t xml:space="preserve"> and manages industrial </w:t>
      </w:r>
      <w:r w:rsidR="00173F51" w:rsidRPr="00D45E38">
        <w:rPr>
          <w:rFonts w:ascii="Garamond" w:hAnsi="Garamond"/>
          <w:sz w:val="20"/>
          <w:szCs w:val="22"/>
        </w:rPr>
        <w:t>warehouses</w:t>
      </w:r>
      <w:r w:rsidRPr="00D45E38">
        <w:rPr>
          <w:rFonts w:ascii="Garamond" w:hAnsi="Garamond"/>
          <w:sz w:val="20"/>
          <w:szCs w:val="22"/>
        </w:rPr>
        <w:t xml:space="preserve"> and</w:t>
      </w:r>
      <w:r w:rsidR="00173F51" w:rsidRPr="00D45E38">
        <w:rPr>
          <w:rFonts w:ascii="Garamond" w:hAnsi="Garamond"/>
          <w:sz w:val="20"/>
          <w:szCs w:val="22"/>
        </w:rPr>
        <w:t xml:space="preserve"> other industrials light manufacturing</w:t>
      </w:r>
      <w:r w:rsidRPr="00D45E38">
        <w:rPr>
          <w:rFonts w:ascii="Garamond" w:hAnsi="Garamond"/>
          <w:sz w:val="20"/>
          <w:szCs w:val="22"/>
        </w:rPr>
        <w:t xml:space="preserve"> buildings</w:t>
      </w:r>
      <w:r w:rsidR="00173F51" w:rsidRPr="00D45E38">
        <w:rPr>
          <w:rFonts w:ascii="Garamond" w:hAnsi="Garamond"/>
          <w:sz w:val="20"/>
          <w:szCs w:val="22"/>
        </w:rPr>
        <w:t>,</w:t>
      </w:r>
      <w:r w:rsidRPr="00D45E38">
        <w:rPr>
          <w:rFonts w:ascii="Garamond" w:hAnsi="Garamond"/>
          <w:sz w:val="20"/>
          <w:szCs w:val="22"/>
        </w:rPr>
        <w:t xml:space="preserve"> can be broken down into primary and </w:t>
      </w:r>
      <w:r w:rsidR="00173F51" w:rsidRPr="00D45E38">
        <w:rPr>
          <w:rFonts w:ascii="Garamond" w:hAnsi="Garamond"/>
          <w:sz w:val="20"/>
          <w:szCs w:val="22"/>
        </w:rPr>
        <w:t>secondary</w:t>
      </w:r>
      <w:r w:rsidRPr="00D45E38">
        <w:rPr>
          <w:rFonts w:ascii="Garamond" w:hAnsi="Garamond"/>
          <w:sz w:val="20"/>
          <w:szCs w:val="22"/>
        </w:rPr>
        <w:t xml:space="preserve"> markets.</w:t>
      </w:r>
      <w:r w:rsidR="00173F51" w:rsidRPr="00D45E38">
        <w:rPr>
          <w:rFonts w:ascii="Garamond" w:hAnsi="Garamond"/>
          <w:sz w:val="20"/>
          <w:szCs w:val="22"/>
        </w:rPr>
        <w:t xml:space="preserve"> STAG primarily competes in the secondary market. </w:t>
      </w:r>
      <w:r w:rsidRPr="00D45E38">
        <w:rPr>
          <w:rFonts w:ascii="Garamond" w:hAnsi="Garamond"/>
          <w:sz w:val="20"/>
          <w:szCs w:val="22"/>
        </w:rPr>
        <w:t xml:space="preserve"> </w:t>
      </w:r>
      <w:r w:rsidR="00173F51" w:rsidRPr="00D45E38">
        <w:rPr>
          <w:rFonts w:ascii="Garamond" w:hAnsi="Garamond"/>
          <w:sz w:val="20"/>
          <w:szCs w:val="22"/>
        </w:rPr>
        <w:t xml:space="preserve">STAG’s main competitors include: Prologis Inc., Duke Realty Corp., DCT Industrial Trust, First Industrial Realty, </w:t>
      </w:r>
      <w:proofErr w:type="spellStart"/>
      <w:r w:rsidR="00173F51" w:rsidRPr="00D45E38">
        <w:rPr>
          <w:rFonts w:ascii="Garamond" w:hAnsi="Garamond"/>
          <w:sz w:val="20"/>
          <w:szCs w:val="22"/>
        </w:rPr>
        <w:t>Eastgroup</w:t>
      </w:r>
      <w:proofErr w:type="spellEnd"/>
      <w:r w:rsidR="00173F51" w:rsidRPr="00D45E38">
        <w:rPr>
          <w:rFonts w:ascii="Garamond" w:hAnsi="Garamond"/>
          <w:sz w:val="20"/>
          <w:szCs w:val="22"/>
        </w:rPr>
        <w:t xml:space="preserve"> Properties, Rexford Industrial Realty, and </w:t>
      </w:r>
      <w:proofErr w:type="spellStart"/>
      <w:r w:rsidR="00173F51" w:rsidRPr="00D45E38">
        <w:rPr>
          <w:rFonts w:ascii="Garamond" w:hAnsi="Garamond"/>
          <w:sz w:val="20"/>
          <w:szCs w:val="22"/>
        </w:rPr>
        <w:t>Terreno</w:t>
      </w:r>
      <w:proofErr w:type="spellEnd"/>
      <w:r w:rsidR="00173F51" w:rsidRPr="00D45E38">
        <w:rPr>
          <w:rFonts w:ascii="Garamond" w:hAnsi="Garamond"/>
          <w:sz w:val="20"/>
          <w:szCs w:val="22"/>
        </w:rPr>
        <w:t xml:space="preserve"> Realty.</w:t>
      </w:r>
      <w:r w:rsidR="00C3135D" w:rsidRPr="00D45E38">
        <w:rPr>
          <w:rFonts w:ascii="Garamond" w:hAnsi="Garamond"/>
          <w:sz w:val="20"/>
          <w:szCs w:val="22"/>
        </w:rPr>
        <w:t xml:space="preserve"> These competitors were also used in the comparables value analysis. </w:t>
      </w:r>
      <w:r w:rsidR="00173F51" w:rsidRPr="00D45E38">
        <w:rPr>
          <w:rFonts w:ascii="Garamond" w:hAnsi="Garamond"/>
          <w:sz w:val="20"/>
          <w:szCs w:val="22"/>
        </w:rPr>
        <w:t xml:space="preserve"> </w:t>
      </w:r>
    </w:p>
    <w:p w14:paraId="42037104" w14:textId="77777777" w:rsidR="00871EBA" w:rsidRPr="00D45E38" w:rsidRDefault="00871EBA" w:rsidP="007B6BCD">
      <w:pPr>
        <w:rPr>
          <w:rFonts w:ascii="Garamond" w:eastAsia="Times New Roman" w:hAnsi="Garamond" w:cs="Arial"/>
          <w:b/>
          <w:sz w:val="22"/>
          <w:szCs w:val="22"/>
        </w:rPr>
      </w:pPr>
    </w:p>
    <w:p w14:paraId="33F9E8C0" w14:textId="77777777" w:rsidR="007B6BCD" w:rsidRPr="00D45E38" w:rsidRDefault="007B6BCD" w:rsidP="007B6BCD">
      <w:pPr>
        <w:rPr>
          <w:rFonts w:ascii="Garamond" w:eastAsia="Times New Roman" w:hAnsi="Garamond" w:cs="Arial"/>
          <w:b/>
          <w:sz w:val="22"/>
          <w:szCs w:val="22"/>
        </w:rPr>
      </w:pPr>
      <w:r w:rsidRPr="00D45E38">
        <w:rPr>
          <w:rFonts w:ascii="Garamond" w:eastAsia="Times New Roman" w:hAnsi="Garamond" w:cs="Arial"/>
          <w:b/>
          <w:sz w:val="22"/>
          <w:szCs w:val="22"/>
        </w:rPr>
        <w:t>Competitive Advantages</w:t>
      </w:r>
    </w:p>
    <w:p w14:paraId="0BFCD8D2" w14:textId="333F9772" w:rsidR="007B6BCD" w:rsidRPr="00D45E38" w:rsidRDefault="00D5472B" w:rsidP="007B6BCD">
      <w:pPr>
        <w:rPr>
          <w:rFonts w:ascii="Garamond" w:eastAsia="Times New Roman" w:hAnsi="Garamond" w:cs="Times New Roman"/>
          <w:sz w:val="20"/>
          <w:szCs w:val="20"/>
        </w:rPr>
      </w:pPr>
      <w:r w:rsidRPr="00D45E38">
        <w:rPr>
          <w:rFonts w:ascii="Garamond" w:eastAsia="Times New Roman" w:hAnsi="Garamond" w:cs="Times New Roman"/>
          <w:sz w:val="20"/>
          <w:szCs w:val="20"/>
        </w:rPr>
        <w:t>STAG holds several key competitive advantages. Firstly, they maintain a very attractive dividend yield around 6% that is paid out monthly. A large portion of REIT’s value lies in their dividend yield as over 90% of FFO needs to be paid out as a dividend, and STAG’s yield beats out many competitors. A second competitive advantage for STAG is their portfolio diversification. Given the inherent riskiness of leasing to individual tenants, STAGs superior diversification strategy across industries, tenants, and geographies makes for a risk-averse investment thesis. Finally, STAG has strong financials and significant liquidity to fund future growth, with nearly $500M of immediate liquidity available and a conservative capital structure comprised of only 33% debt. STAG’s financial strength allows for flexibility in volatile economic conditions</w:t>
      </w:r>
    </w:p>
    <w:p w14:paraId="27EA5DD8" w14:textId="77777777" w:rsidR="005F44B2" w:rsidRPr="002D671F" w:rsidRDefault="005F44B2" w:rsidP="007B6BCD">
      <w:pPr>
        <w:rPr>
          <w:rFonts w:ascii="Garamond" w:eastAsia="Times New Roman" w:hAnsi="Garamond" w:cs="Arial"/>
          <w:sz w:val="12"/>
          <w:szCs w:val="12"/>
        </w:rPr>
      </w:pPr>
    </w:p>
    <w:p w14:paraId="7E169680" w14:textId="77777777" w:rsidR="007B6BCD" w:rsidRPr="00D45E38" w:rsidRDefault="007B6BCD" w:rsidP="007B6BCD">
      <w:pPr>
        <w:rPr>
          <w:rFonts w:ascii="Garamond" w:hAnsi="Garamond"/>
          <w:b/>
          <w:sz w:val="22"/>
          <w:szCs w:val="22"/>
        </w:rPr>
      </w:pPr>
      <w:r w:rsidRPr="00D45E38">
        <w:rPr>
          <w:rFonts w:ascii="Garamond" w:hAnsi="Garamond"/>
          <w:b/>
          <w:sz w:val="22"/>
          <w:szCs w:val="22"/>
        </w:rPr>
        <w:t>Risks</w:t>
      </w:r>
    </w:p>
    <w:p w14:paraId="5D652F8D" w14:textId="49010ED5" w:rsidR="00907FFD" w:rsidRPr="00D45E38" w:rsidRDefault="00D5472B" w:rsidP="00D67D28">
      <w:pPr>
        <w:jc w:val="both"/>
        <w:rPr>
          <w:rFonts w:ascii="Garamond" w:eastAsia="Times New Roman" w:hAnsi="Garamond" w:cs="Times New Roman"/>
          <w:sz w:val="20"/>
          <w:szCs w:val="20"/>
        </w:rPr>
      </w:pPr>
      <w:r w:rsidRPr="00D45E38">
        <w:rPr>
          <w:rFonts w:ascii="Garamond" w:eastAsia="Times New Roman" w:hAnsi="Garamond" w:cs="Times New Roman"/>
          <w:sz w:val="20"/>
          <w:szCs w:val="20"/>
        </w:rPr>
        <w:t xml:space="preserve">The primary risk STAG faces is an economic downturn. The secondary markets are generally a leading indicator of economic pressures, meaning STAG could struggle if tenant defaults rise as demand is not as high in their target markets. Additionally, 60% of STAG’s outstanding leases expire within the next 5 years, meaning that the short-term will truly be a test for management’s competency. Management has stated that the supply-demand balance of their markets is currently fully stable, so they do not anticipate any issues in renewing leases. Finally, STAG pays out 99.8% of their FFO as dividends. This was an intentional strategy </w:t>
      </w:r>
      <w:r w:rsidR="00D45E38" w:rsidRPr="00D45E38">
        <w:rPr>
          <w:rFonts w:ascii="Garamond" w:eastAsia="Times New Roman" w:hAnsi="Garamond" w:cs="Times New Roman"/>
          <w:sz w:val="20"/>
          <w:szCs w:val="20"/>
        </w:rPr>
        <w:t xml:space="preserve">to garner interest among equity owners by issuing a high monthly dividend, and management will seek to lower this payout as </w:t>
      </w:r>
      <w:proofErr w:type="spellStart"/>
      <w:r w:rsidR="00D45E38" w:rsidRPr="00D45E38">
        <w:rPr>
          <w:rFonts w:ascii="Garamond" w:eastAsia="Times New Roman" w:hAnsi="Garamond" w:cs="Times New Roman"/>
          <w:sz w:val="20"/>
          <w:szCs w:val="20"/>
        </w:rPr>
        <w:t>cashflows</w:t>
      </w:r>
      <w:proofErr w:type="spellEnd"/>
      <w:r w:rsidR="00D45E38" w:rsidRPr="00D45E38">
        <w:rPr>
          <w:rFonts w:ascii="Garamond" w:eastAsia="Times New Roman" w:hAnsi="Garamond" w:cs="Times New Roman"/>
          <w:sz w:val="20"/>
          <w:szCs w:val="20"/>
        </w:rPr>
        <w:t xml:space="preserve"> increase. </w:t>
      </w:r>
    </w:p>
    <w:p w14:paraId="510F9F31" w14:textId="77777777" w:rsidR="007B6BCD" w:rsidRPr="00D45E38" w:rsidRDefault="007B6BCD" w:rsidP="007B6BCD">
      <w:pPr>
        <w:rPr>
          <w:rFonts w:ascii="Garamond" w:hAnsi="Garamond"/>
          <w:sz w:val="16"/>
          <w:szCs w:val="16"/>
        </w:rPr>
      </w:pPr>
    </w:p>
    <w:p w14:paraId="38522BA5" w14:textId="5F363CB8" w:rsidR="0001462B" w:rsidRPr="00D45E38" w:rsidRDefault="0001462B" w:rsidP="0001462B">
      <w:pPr>
        <w:rPr>
          <w:rFonts w:ascii="Garamond" w:hAnsi="Garamond"/>
          <w:b/>
          <w:sz w:val="20"/>
          <w:szCs w:val="20"/>
        </w:rPr>
      </w:pPr>
      <w:r w:rsidRPr="00D45E38">
        <w:rPr>
          <w:rFonts w:ascii="Garamond" w:hAnsi="Garamond"/>
          <w:b/>
          <w:sz w:val="20"/>
          <w:szCs w:val="20"/>
        </w:rPr>
        <w:t>Report Prepared By:</w:t>
      </w:r>
    </w:p>
    <w:p w14:paraId="4361182E" w14:textId="4DCE2AFA" w:rsidR="0001462B" w:rsidRPr="00907FFD" w:rsidRDefault="00BC74A0" w:rsidP="0001462B">
      <w:pPr>
        <w:rPr>
          <w:rFonts w:ascii="Garamond" w:eastAsia="Times New Roman" w:hAnsi="Garamond" w:cs="Arial"/>
          <w:color w:val="000000"/>
          <w:sz w:val="18"/>
          <w:szCs w:val="18"/>
        </w:rPr>
      </w:pPr>
      <w:r>
        <w:rPr>
          <w:rFonts w:ascii="Garamond" w:hAnsi="Garamond"/>
          <w:sz w:val="20"/>
          <w:szCs w:val="20"/>
        </w:rPr>
        <w:t>Sean Phelan</w:t>
      </w:r>
      <w:r w:rsidR="00871EBA">
        <w:rPr>
          <w:rFonts w:ascii="Garamond" w:hAnsi="Garamond"/>
          <w:sz w:val="20"/>
          <w:szCs w:val="20"/>
        </w:rPr>
        <w:t xml:space="preserve"> and Roma </w:t>
      </w:r>
      <w:proofErr w:type="spellStart"/>
      <w:r w:rsidR="00871EBA">
        <w:rPr>
          <w:rFonts w:ascii="Garamond" w:hAnsi="Garamond"/>
          <w:sz w:val="20"/>
          <w:szCs w:val="20"/>
        </w:rPr>
        <w:t>Romaniv</w:t>
      </w:r>
      <w:proofErr w:type="spellEnd"/>
      <w:r w:rsidR="0001462B" w:rsidRPr="00907FFD">
        <w:rPr>
          <w:rFonts w:ascii="Garamond" w:hAnsi="Garamond"/>
          <w:sz w:val="20"/>
          <w:szCs w:val="20"/>
        </w:rPr>
        <w:t xml:space="preserve"> on </w:t>
      </w:r>
      <w:r>
        <w:rPr>
          <w:rFonts w:ascii="Garamond" w:hAnsi="Garamond"/>
          <w:sz w:val="20"/>
          <w:szCs w:val="20"/>
        </w:rPr>
        <w:t>02/12</w:t>
      </w:r>
      <w:r w:rsidR="0001462B" w:rsidRPr="00907FFD">
        <w:rPr>
          <w:rFonts w:ascii="Garamond" w:hAnsi="Garamond"/>
          <w:sz w:val="20"/>
          <w:szCs w:val="20"/>
        </w:rPr>
        <w:t>/201</w:t>
      </w:r>
      <w:r>
        <w:rPr>
          <w:rFonts w:ascii="Garamond" w:hAnsi="Garamond"/>
          <w:sz w:val="20"/>
          <w:szCs w:val="20"/>
        </w:rPr>
        <w:t>7</w:t>
      </w:r>
    </w:p>
    <w:p w14:paraId="40B69A81" w14:textId="71FA64EF" w:rsidR="0001462B" w:rsidRPr="003F0169" w:rsidRDefault="0001462B" w:rsidP="00316611">
      <w:pPr>
        <w:tabs>
          <w:tab w:val="left" w:pos="3753"/>
        </w:tabs>
        <w:rPr>
          <w:sz w:val="20"/>
          <w:szCs w:val="20"/>
        </w:rPr>
      </w:pPr>
      <w:r w:rsidRPr="00907FFD">
        <w:rPr>
          <w:rFonts w:ascii="Garamond" w:hAnsi="Garamond"/>
          <w:sz w:val="14"/>
          <w:szCs w:val="14"/>
        </w:rPr>
        <w:t xml:space="preserve">Sources: </w:t>
      </w:r>
      <w:r w:rsidR="00C57404">
        <w:rPr>
          <w:rFonts w:ascii="Garamond" w:hAnsi="Garamond"/>
          <w:sz w:val="14"/>
          <w:szCs w:val="14"/>
        </w:rPr>
        <w:t>Bloomberg</w:t>
      </w:r>
      <w:r w:rsidR="00BC74A0">
        <w:rPr>
          <w:rFonts w:ascii="Garamond" w:hAnsi="Garamond"/>
          <w:sz w:val="14"/>
          <w:szCs w:val="14"/>
        </w:rPr>
        <w:t xml:space="preserve">, STAG </w:t>
      </w:r>
      <w:r w:rsidR="005F44B2">
        <w:rPr>
          <w:rFonts w:ascii="Garamond" w:hAnsi="Garamond"/>
          <w:sz w:val="14"/>
          <w:szCs w:val="14"/>
        </w:rPr>
        <w:t xml:space="preserve">Annual </w:t>
      </w:r>
      <w:r w:rsidR="00BC74A0">
        <w:rPr>
          <w:rFonts w:ascii="Garamond" w:hAnsi="Garamond"/>
          <w:sz w:val="14"/>
          <w:szCs w:val="14"/>
        </w:rPr>
        <w:t xml:space="preserve">&amp; Quarterly </w:t>
      </w:r>
      <w:r w:rsidR="005F44B2">
        <w:rPr>
          <w:rFonts w:ascii="Garamond" w:hAnsi="Garamond"/>
          <w:sz w:val="14"/>
          <w:szCs w:val="14"/>
        </w:rPr>
        <w:t>Report</w:t>
      </w:r>
      <w:r w:rsidR="00BC74A0">
        <w:rPr>
          <w:rFonts w:ascii="Garamond" w:hAnsi="Garamond"/>
          <w:sz w:val="14"/>
          <w:szCs w:val="14"/>
        </w:rPr>
        <w:t>s</w:t>
      </w:r>
      <w:r w:rsidR="00C57404">
        <w:rPr>
          <w:rFonts w:ascii="Garamond" w:hAnsi="Garamond"/>
          <w:sz w:val="14"/>
          <w:szCs w:val="14"/>
        </w:rPr>
        <w:t>, REIT Magazine, CSR Hub</w:t>
      </w:r>
    </w:p>
    <w:sectPr w:rsidR="0001462B" w:rsidRPr="003F0169" w:rsidSect="002F79CB">
      <w:type w:val="continuous"/>
      <w:pgSz w:w="12240" w:h="15840"/>
      <w:pgMar w:top="1440" w:right="576" w:bottom="648" w:left="576"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E9EE4" w14:textId="77777777" w:rsidR="00A15AA2" w:rsidRDefault="00A15AA2" w:rsidP="00B36B24">
      <w:r>
        <w:separator/>
      </w:r>
    </w:p>
  </w:endnote>
  <w:endnote w:type="continuationSeparator" w:id="0">
    <w:p w14:paraId="287B10F4" w14:textId="77777777" w:rsidR="00A15AA2" w:rsidRDefault="00A15AA2" w:rsidP="00B3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9F3C" w14:textId="6DCF31CE" w:rsidR="00A15AA2" w:rsidRPr="00907FFD" w:rsidRDefault="00A15AA2" w:rsidP="0001462B">
    <w:pPr>
      <w:rPr>
        <w:sz w:val="20"/>
        <w:szCs w:val="20"/>
      </w:rPr>
    </w:pPr>
    <w:r>
      <w:rPr>
        <w:noProof/>
      </w:rPr>
      <w:drawing>
        <wp:anchor distT="0" distB="0" distL="114300" distR="114300" simplePos="0" relativeHeight="251656192" behindDoc="0" locked="0" layoutInCell="1" allowOverlap="1" wp14:anchorId="3D1F118A" wp14:editId="2DB777B9">
          <wp:simplePos x="0" y="0"/>
          <wp:positionH relativeFrom="column">
            <wp:posOffset>5814060</wp:posOffset>
          </wp:positionH>
          <wp:positionV relativeFrom="paragraph">
            <wp:posOffset>-48895</wp:posOffset>
          </wp:positionV>
          <wp:extent cx="800100" cy="570865"/>
          <wp:effectExtent l="0" t="0" r="12700" b="0"/>
          <wp:wrapThrough wrapText="bothSides">
            <wp:wrapPolygon edited="0">
              <wp:start x="0" y="0"/>
              <wp:lineTo x="0" y="20182"/>
              <wp:lineTo x="21257" y="20182"/>
              <wp:lineTo x="2125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 Logo.jpg"/>
                  <pic:cNvPicPr/>
                </pic:nvPicPr>
                <pic:blipFill>
                  <a:blip r:embed="rId1">
                    <a:extLst>
                      <a:ext uri="{28A0092B-C50C-407E-A947-70E740481C1C}">
                        <a14:useLocalDpi xmlns:a14="http://schemas.microsoft.com/office/drawing/2010/main" val="0"/>
                      </a:ext>
                    </a:extLst>
                  </a:blip>
                  <a:stretch>
                    <a:fillRect/>
                  </a:stretch>
                </pic:blipFill>
                <pic:spPr>
                  <a:xfrm>
                    <a:off x="0" y="0"/>
                    <a:ext cx="800100" cy="570865"/>
                  </a:xfrm>
                  <a:prstGeom prst="rect">
                    <a:avLst/>
                  </a:prstGeom>
                </pic:spPr>
              </pic:pic>
            </a:graphicData>
          </a:graphic>
          <wp14:sizeRelH relativeFrom="page">
            <wp14:pctWidth>0</wp14:pctWidth>
          </wp14:sizeRelH>
          <wp14:sizeRelV relativeFrom="page">
            <wp14:pctHeight>0</wp14:pctHeight>
          </wp14:sizeRelV>
        </wp:anchor>
      </w:drawing>
    </w:r>
  </w:p>
  <w:p w14:paraId="481FA85F" w14:textId="496A6263" w:rsidR="00A15AA2" w:rsidRDefault="00A15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24D07" w14:textId="77777777" w:rsidR="00A15AA2" w:rsidRDefault="00A15AA2" w:rsidP="00B36B24">
      <w:r>
        <w:separator/>
      </w:r>
    </w:p>
  </w:footnote>
  <w:footnote w:type="continuationSeparator" w:id="0">
    <w:p w14:paraId="4B3C0D2E" w14:textId="77777777" w:rsidR="00A15AA2" w:rsidRDefault="00A15AA2" w:rsidP="00B3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91BC" w14:textId="77777777" w:rsidR="00A15AA2" w:rsidRDefault="00D85EA2">
    <w:pPr>
      <w:pStyle w:val="Header"/>
    </w:pPr>
    <w:r>
      <w:rPr>
        <w:noProof/>
      </w:rPr>
      <w:pict w14:anchorId="62570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28.5pt;height:228.5pt;z-index:-251658240;mso-wrap-edited:f;mso-position-horizontal:center;mso-position-horizontal-relative:margin;mso-position-vertical:center;mso-position-vertical-relative:margin" wrapcoords="9348 0 8356 141 5807 849 5665 1133 4036 2124 2691 3399 1770 4532 1062 5665 566 6798 212 7931 -70 9064 -70 12464 212 13597 566 14730 1062 15863 1699 16925 2549 18059 3965 19333 5523 20325 5665 20537 8569 21458 9419 21529 9277 21458 8994 21458 12535 21458 12251 21458 12110 21529 13030 21458 15792 20537 17704 19192 18908 18059 19829 16925 20962 14730 21316 13597 21529 12464 21600 11401 21600 9560 21316 7931 20962 6798 20396 5665 19758 4532 18838 3399 17563 2266 16359 1416 15863 1133 15721 849 13172 141 12180 0 9348 0">
          <v:imagedata r:id="rId1" o:title="UConn 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209F0" w14:textId="77777777" w:rsidR="00A15AA2" w:rsidRPr="00FF572C" w:rsidRDefault="00D85EA2">
    <w:pPr>
      <w:pStyle w:val="Header"/>
      <w:rPr>
        <w:rFonts w:ascii="Garamond" w:hAnsi="Garamond"/>
        <w:b/>
        <w:sz w:val="32"/>
        <w:szCs w:val="32"/>
      </w:rPr>
    </w:pPr>
    <w:r>
      <w:rPr>
        <w:rFonts w:ascii="Garamond" w:hAnsi="Garamond"/>
        <w:b/>
        <w:noProof/>
        <w:sz w:val="32"/>
        <w:szCs w:val="32"/>
      </w:rPr>
      <w:pict w14:anchorId="4066A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228.5pt;height:228.5pt;z-index:-251659264;mso-wrap-edited:f;mso-position-horizontal:center;mso-position-horizontal-relative:margin;mso-position-vertical:center;mso-position-vertical-relative:margin" wrapcoords="9348 0 8356 141 5807 849 5665 1133 4036 2124 2691 3399 1770 4532 1062 5665 566 6798 212 7931 -70 9064 -70 12464 212 13597 566 14730 1062 15863 1699 16925 2549 18059 3965 19333 5523 20325 5665 20537 8569 21458 9419 21529 9277 21458 8994 21458 12535 21458 12251 21458 12110 21529 13030 21458 15792 20537 17704 19192 18908 18059 19829 16925 20962 14730 21316 13597 21529 12464 21600 11401 21600 9560 21316 7931 20962 6798 20396 5665 19758 4532 18838 3399 17563 2266 16359 1416 15863 1133 15721 849 13172 141 12180 0 9348 0">
          <v:imagedata r:id="rId1" o:title="UConn 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6BA24" w14:textId="77777777" w:rsidR="00A15AA2" w:rsidRDefault="00D85EA2">
    <w:pPr>
      <w:pStyle w:val="Header"/>
    </w:pPr>
    <w:r>
      <w:rPr>
        <w:noProof/>
      </w:rPr>
      <w:pict w14:anchorId="0CE2A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28.5pt;height:228.5pt;z-index:-251657216;mso-wrap-edited:f;mso-position-horizontal:center;mso-position-horizontal-relative:margin;mso-position-vertical:center;mso-position-vertical-relative:margin" wrapcoords="9348 0 8356 141 5807 849 5665 1133 4036 2124 2691 3399 1770 4532 1062 5665 566 6798 212 7931 -70 9064 -70 12464 212 13597 566 14730 1062 15863 1699 16925 2549 18059 3965 19333 5523 20325 5665 20537 8569 21458 9419 21529 9277 21458 8994 21458 12535 21458 12251 21458 12110 21529 13030 21458 15792 20537 17704 19192 18908 18059 19829 16925 20962 14730 21316 13597 21529 12464 21600 11401 21600 9560 21316 7931 20962 6798 20396 5665 19758 4532 18838 3399 17563 2266 16359 1416 15863 1133 15721 849 13172 141 12180 0 9348 0">
          <v:imagedata r:id="rId1" o:title="UConn 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16533"/>
    <w:multiLevelType w:val="hybridMultilevel"/>
    <w:tmpl w:val="602CD3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24"/>
    <w:rsid w:val="00005EE2"/>
    <w:rsid w:val="0001462B"/>
    <w:rsid w:val="00030F21"/>
    <w:rsid w:val="00036B32"/>
    <w:rsid w:val="00053A98"/>
    <w:rsid w:val="00072674"/>
    <w:rsid w:val="0007409C"/>
    <w:rsid w:val="0008685C"/>
    <w:rsid w:val="000E19CA"/>
    <w:rsid w:val="00106FB6"/>
    <w:rsid w:val="00154501"/>
    <w:rsid w:val="00173F51"/>
    <w:rsid w:val="00183F04"/>
    <w:rsid w:val="001875FE"/>
    <w:rsid w:val="001A4EC4"/>
    <w:rsid w:val="001B5F3F"/>
    <w:rsid w:val="001D42A4"/>
    <w:rsid w:val="0024607D"/>
    <w:rsid w:val="002713CA"/>
    <w:rsid w:val="00280E12"/>
    <w:rsid w:val="00281B36"/>
    <w:rsid w:val="002906AE"/>
    <w:rsid w:val="002D671F"/>
    <w:rsid w:val="002F6656"/>
    <w:rsid w:val="002F79CB"/>
    <w:rsid w:val="00311317"/>
    <w:rsid w:val="00315273"/>
    <w:rsid w:val="00316611"/>
    <w:rsid w:val="00320755"/>
    <w:rsid w:val="003F0169"/>
    <w:rsid w:val="004134D9"/>
    <w:rsid w:val="00430680"/>
    <w:rsid w:val="00452001"/>
    <w:rsid w:val="004D25F3"/>
    <w:rsid w:val="004D518D"/>
    <w:rsid w:val="005129C3"/>
    <w:rsid w:val="00542D84"/>
    <w:rsid w:val="005A0A5C"/>
    <w:rsid w:val="005B396F"/>
    <w:rsid w:val="005F44B2"/>
    <w:rsid w:val="006257DB"/>
    <w:rsid w:val="00663767"/>
    <w:rsid w:val="006E6504"/>
    <w:rsid w:val="007046C4"/>
    <w:rsid w:val="00722FEB"/>
    <w:rsid w:val="00723EA0"/>
    <w:rsid w:val="00725503"/>
    <w:rsid w:val="00726609"/>
    <w:rsid w:val="007350FC"/>
    <w:rsid w:val="007B6BCD"/>
    <w:rsid w:val="007D0C17"/>
    <w:rsid w:val="007D207F"/>
    <w:rsid w:val="00864168"/>
    <w:rsid w:val="00871EBA"/>
    <w:rsid w:val="008833F7"/>
    <w:rsid w:val="008A1607"/>
    <w:rsid w:val="00907FFD"/>
    <w:rsid w:val="0091753C"/>
    <w:rsid w:val="009177D3"/>
    <w:rsid w:val="009633AC"/>
    <w:rsid w:val="0099298E"/>
    <w:rsid w:val="009B41D1"/>
    <w:rsid w:val="009F3FB8"/>
    <w:rsid w:val="00A06C62"/>
    <w:rsid w:val="00A15AA2"/>
    <w:rsid w:val="00A630AF"/>
    <w:rsid w:val="00A67BA8"/>
    <w:rsid w:val="00AD1B8D"/>
    <w:rsid w:val="00AE3601"/>
    <w:rsid w:val="00AF783E"/>
    <w:rsid w:val="00B36B24"/>
    <w:rsid w:val="00B75F6E"/>
    <w:rsid w:val="00BC74A0"/>
    <w:rsid w:val="00C12ACF"/>
    <w:rsid w:val="00C21B3D"/>
    <w:rsid w:val="00C3135D"/>
    <w:rsid w:val="00C57404"/>
    <w:rsid w:val="00C77099"/>
    <w:rsid w:val="00CC5E37"/>
    <w:rsid w:val="00D3684B"/>
    <w:rsid w:val="00D37954"/>
    <w:rsid w:val="00D45E38"/>
    <w:rsid w:val="00D5472B"/>
    <w:rsid w:val="00D67D28"/>
    <w:rsid w:val="00D85EA2"/>
    <w:rsid w:val="00D920E6"/>
    <w:rsid w:val="00DC65EB"/>
    <w:rsid w:val="00DD773C"/>
    <w:rsid w:val="00E050E1"/>
    <w:rsid w:val="00E26FBF"/>
    <w:rsid w:val="00E6578B"/>
    <w:rsid w:val="00E7193D"/>
    <w:rsid w:val="00E93308"/>
    <w:rsid w:val="00EE4BFA"/>
    <w:rsid w:val="00F05CBC"/>
    <w:rsid w:val="00F62284"/>
    <w:rsid w:val="00F8386D"/>
    <w:rsid w:val="00FB7D7A"/>
    <w:rsid w:val="00FC17EE"/>
    <w:rsid w:val="00FF5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3E5DD"/>
  <w14:defaultImageDpi w14:val="300"/>
  <w15:docId w15:val="{E05C39B9-7177-4C0F-B6F6-C6B65212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B24"/>
    <w:pPr>
      <w:tabs>
        <w:tab w:val="center" w:pos="4320"/>
        <w:tab w:val="right" w:pos="8640"/>
      </w:tabs>
    </w:pPr>
  </w:style>
  <w:style w:type="character" w:customStyle="1" w:styleId="HeaderChar">
    <w:name w:val="Header Char"/>
    <w:basedOn w:val="DefaultParagraphFont"/>
    <w:link w:val="Header"/>
    <w:uiPriority w:val="99"/>
    <w:rsid w:val="00B36B24"/>
  </w:style>
  <w:style w:type="paragraph" w:styleId="Footer">
    <w:name w:val="footer"/>
    <w:basedOn w:val="Normal"/>
    <w:link w:val="FooterChar"/>
    <w:uiPriority w:val="99"/>
    <w:unhideWhenUsed/>
    <w:rsid w:val="00B36B24"/>
    <w:pPr>
      <w:tabs>
        <w:tab w:val="center" w:pos="4320"/>
        <w:tab w:val="right" w:pos="8640"/>
      </w:tabs>
    </w:pPr>
  </w:style>
  <w:style w:type="character" w:customStyle="1" w:styleId="FooterChar">
    <w:name w:val="Footer Char"/>
    <w:basedOn w:val="DefaultParagraphFont"/>
    <w:link w:val="Footer"/>
    <w:uiPriority w:val="99"/>
    <w:rsid w:val="00B36B24"/>
  </w:style>
  <w:style w:type="paragraph" w:styleId="BalloonText">
    <w:name w:val="Balloon Text"/>
    <w:basedOn w:val="Normal"/>
    <w:link w:val="BalloonTextChar"/>
    <w:uiPriority w:val="99"/>
    <w:semiHidden/>
    <w:unhideWhenUsed/>
    <w:rsid w:val="00B36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B24"/>
    <w:rPr>
      <w:rFonts w:ascii="Lucida Grande" w:hAnsi="Lucida Grande" w:cs="Lucida Grande"/>
      <w:sz w:val="18"/>
      <w:szCs w:val="18"/>
    </w:rPr>
  </w:style>
  <w:style w:type="table" w:styleId="TableGrid">
    <w:name w:val="Table Grid"/>
    <w:basedOn w:val="TableNormal"/>
    <w:uiPriority w:val="59"/>
    <w:rsid w:val="00FF5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CA"/>
    <w:pPr>
      <w:ind w:left="720"/>
      <w:contextualSpacing/>
    </w:pPr>
  </w:style>
  <w:style w:type="paragraph" w:styleId="NormalWeb">
    <w:name w:val="Normal (Web)"/>
    <w:basedOn w:val="Normal"/>
    <w:uiPriority w:val="99"/>
    <w:unhideWhenUsed/>
    <w:rsid w:val="00C21B3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7268">
      <w:bodyDiv w:val="1"/>
      <w:marLeft w:val="0"/>
      <w:marRight w:val="0"/>
      <w:marTop w:val="0"/>
      <w:marBottom w:val="0"/>
      <w:divBdr>
        <w:top w:val="none" w:sz="0" w:space="0" w:color="auto"/>
        <w:left w:val="none" w:sz="0" w:space="0" w:color="auto"/>
        <w:bottom w:val="none" w:sz="0" w:space="0" w:color="auto"/>
        <w:right w:val="none" w:sz="0" w:space="0" w:color="auto"/>
      </w:divBdr>
    </w:div>
    <w:div w:id="134488406">
      <w:bodyDiv w:val="1"/>
      <w:marLeft w:val="0"/>
      <w:marRight w:val="0"/>
      <w:marTop w:val="0"/>
      <w:marBottom w:val="0"/>
      <w:divBdr>
        <w:top w:val="none" w:sz="0" w:space="0" w:color="auto"/>
        <w:left w:val="none" w:sz="0" w:space="0" w:color="auto"/>
        <w:bottom w:val="none" w:sz="0" w:space="0" w:color="auto"/>
        <w:right w:val="none" w:sz="0" w:space="0" w:color="auto"/>
      </w:divBdr>
    </w:div>
    <w:div w:id="347489378">
      <w:bodyDiv w:val="1"/>
      <w:marLeft w:val="0"/>
      <w:marRight w:val="0"/>
      <w:marTop w:val="0"/>
      <w:marBottom w:val="0"/>
      <w:divBdr>
        <w:top w:val="none" w:sz="0" w:space="0" w:color="auto"/>
        <w:left w:val="none" w:sz="0" w:space="0" w:color="auto"/>
        <w:bottom w:val="none" w:sz="0" w:space="0" w:color="auto"/>
        <w:right w:val="none" w:sz="0" w:space="0" w:color="auto"/>
      </w:divBdr>
    </w:div>
    <w:div w:id="926966770">
      <w:bodyDiv w:val="1"/>
      <w:marLeft w:val="0"/>
      <w:marRight w:val="0"/>
      <w:marTop w:val="0"/>
      <w:marBottom w:val="0"/>
      <w:divBdr>
        <w:top w:val="none" w:sz="0" w:space="0" w:color="auto"/>
        <w:left w:val="none" w:sz="0" w:space="0" w:color="auto"/>
        <w:bottom w:val="none" w:sz="0" w:space="0" w:color="auto"/>
        <w:right w:val="none" w:sz="0" w:space="0" w:color="auto"/>
      </w:divBdr>
    </w:div>
    <w:div w:id="998122248">
      <w:bodyDiv w:val="1"/>
      <w:marLeft w:val="0"/>
      <w:marRight w:val="0"/>
      <w:marTop w:val="0"/>
      <w:marBottom w:val="0"/>
      <w:divBdr>
        <w:top w:val="none" w:sz="0" w:space="0" w:color="auto"/>
        <w:left w:val="none" w:sz="0" w:space="0" w:color="auto"/>
        <w:bottom w:val="none" w:sz="0" w:space="0" w:color="auto"/>
        <w:right w:val="none" w:sz="0" w:space="0" w:color="auto"/>
      </w:divBdr>
    </w:div>
    <w:div w:id="1049837196">
      <w:bodyDiv w:val="1"/>
      <w:marLeft w:val="0"/>
      <w:marRight w:val="0"/>
      <w:marTop w:val="0"/>
      <w:marBottom w:val="0"/>
      <w:divBdr>
        <w:top w:val="none" w:sz="0" w:space="0" w:color="auto"/>
        <w:left w:val="none" w:sz="0" w:space="0" w:color="auto"/>
        <w:bottom w:val="none" w:sz="0" w:space="0" w:color="auto"/>
        <w:right w:val="none" w:sz="0" w:space="0" w:color="auto"/>
      </w:divBdr>
    </w:div>
    <w:div w:id="1266498566">
      <w:bodyDiv w:val="1"/>
      <w:marLeft w:val="0"/>
      <w:marRight w:val="0"/>
      <w:marTop w:val="0"/>
      <w:marBottom w:val="0"/>
      <w:divBdr>
        <w:top w:val="none" w:sz="0" w:space="0" w:color="auto"/>
        <w:left w:val="none" w:sz="0" w:space="0" w:color="auto"/>
        <w:bottom w:val="none" w:sz="0" w:space="0" w:color="auto"/>
        <w:right w:val="none" w:sz="0" w:space="0" w:color="auto"/>
      </w:divBdr>
    </w:div>
    <w:div w:id="1330983615">
      <w:bodyDiv w:val="1"/>
      <w:marLeft w:val="0"/>
      <w:marRight w:val="0"/>
      <w:marTop w:val="0"/>
      <w:marBottom w:val="0"/>
      <w:divBdr>
        <w:top w:val="none" w:sz="0" w:space="0" w:color="auto"/>
        <w:left w:val="none" w:sz="0" w:space="0" w:color="auto"/>
        <w:bottom w:val="none" w:sz="0" w:space="0" w:color="auto"/>
        <w:right w:val="none" w:sz="0" w:space="0" w:color="auto"/>
      </w:divBdr>
    </w:div>
    <w:div w:id="1377464313">
      <w:bodyDiv w:val="1"/>
      <w:marLeft w:val="0"/>
      <w:marRight w:val="0"/>
      <w:marTop w:val="0"/>
      <w:marBottom w:val="0"/>
      <w:divBdr>
        <w:top w:val="none" w:sz="0" w:space="0" w:color="auto"/>
        <w:left w:val="none" w:sz="0" w:space="0" w:color="auto"/>
        <w:bottom w:val="none" w:sz="0" w:space="0" w:color="auto"/>
        <w:right w:val="none" w:sz="0" w:space="0" w:color="auto"/>
      </w:divBdr>
    </w:div>
    <w:div w:id="1618443030">
      <w:bodyDiv w:val="1"/>
      <w:marLeft w:val="0"/>
      <w:marRight w:val="0"/>
      <w:marTop w:val="0"/>
      <w:marBottom w:val="0"/>
      <w:divBdr>
        <w:top w:val="none" w:sz="0" w:space="0" w:color="auto"/>
        <w:left w:val="none" w:sz="0" w:space="0" w:color="auto"/>
        <w:bottom w:val="none" w:sz="0" w:space="0" w:color="auto"/>
        <w:right w:val="none" w:sz="0" w:space="0" w:color="auto"/>
      </w:divBdr>
    </w:div>
    <w:div w:id="1620990806">
      <w:bodyDiv w:val="1"/>
      <w:marLeft w:val="0"/>
      <w:marRight w:val="0"/>
      <w:marTop w:val="0"/>
      <w:marBottom w:val="0"/>
      <w:divBdr>
        <w:top w:val="none" w:sz="0" w:space="0" w:color="auto"/>
        <w:left w:val="none" w:sz="0" w:space="0" w:color="auto"/>
        <w:bottom w:val="none" w:sz="0" w:space="0" w:color="auto"/>
        <w:right w:val="none" w:sz="0" w:space="0" w:color="auto"/>
      </w:divBdr>
    </w:div>
    <w:div w:id="1733384126">
      <w:bodyDiv w:val="1"/>
      <w:marLeft w:val="0"/>
      <w:marRight w:val="0"/>
      <w:marTop w:val="0"/>
      <w:marBottom w:val="0"/>
      <w:divBdr>
        <w:top w:val="none" w:sz="0" w:space="0" w:color="auto"/>
        <w:left w:val="none" w:sz="0" w:space="0" w:color="auto"/>
        <w:bottom w:val="none" w:sz="0" w:space="0" w:color="auto"/>
        <w:right w:val="none" w:sz="0" w:space="0" w:color="auto"/>
      </w:divBdr>
    </w:div>
    <w:div w:id="1769085184">
      <w:bodyDiv w:val="1"/>
      <w:marLeft w:val="0"/>
      <w:marRight w:val="0"/>
      <w:marTop w:val="0"/>
      <w:marBottom w:val="0"/>
      <w:divBdr>
        <w:top w:val="none" w:sz="0" w:space="0" w:color="auto"/>
        <w:left w:val="none" w:sz="0" w:space="0" w:color="auto"/>
        <w:bottom w:val="none" w:sz="0" w:space="0" w:color="auto"/>
        <w:right w:val="none" w:sz="0" w:space="0" w:color="auto"/>
      </w:divBdr>
    </w:div>
    <w:div w:id="1860435973">
      <w:bodyDiv w:val="1"/>
      <w:marLeft w:val="0"/>
      <w:marRight w:val="0"/>
      <w:marTop w:val="0"/>
      <w:marBottom w:val="0"/>
      <w:divBdr>
        <w:top w:val="none" w:sz="0" w:space="0" w:color="auto"/>
        <w:left w:val="none" w:sz="0" w:space="0" w:color="auto"/>
        <w:bottom w:val="none" w:sz="0" w:space="0" w:color="auto"/>
        <w:right w:val="none" w:sz="0" w:space="0" w:color="auto"/>
      </w:divBdr>
    </w:div>
    <w:div w:id="2130082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MacLean</dc:creator>
  <cp:keywords/>
  <dc:description/>
  <cp:lastModifiedBy>Bloomberg General</cp:lastModifiedBy>
  <cp:revision>2</cp:revision>
  <cp:lastPrinted>2016-02-08T19:12:00Z</cp:lastPrinted>
  <dcterms:created xsi:type="dcterms:W3CDTF">2017-04-18T15:05:00Z</dcterms:created>
  <dcterms:modified xsi:type="dcterms:W3CDTF">2017-04-18T15:05:00Z</dcterms:modified>
</cp:coreProperties>
</file>