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7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tblGrid>
      <w:tr w:rsidR="00542D84" w:rsidRPr="00AF4347" w14:paraId="70B5C110" w14:textId="77777777" w:rsidTr="006B72BA">
        <w:trPr>
          <w:trHeight w:val="630"/>
        </w:trPr>
        <w:tc>
          <w:tcPr>
            <w:tcW w:w="7155" w:type="dxa"/>
          </w:tcPr>
          <w:p w14:paraId="79C5135A" w14:textId="14676F94" w:rsidR="00542D84" w:rsidRPr="00AF4347" w:rsidRDefault="00D0505E" w:rsidP="007B6BCD">
            <w:pPr>
              <w:rPr>
                <w:rFonts w:ascii="Garamond" w:hAnsi="Garamond"/>
                <w:b/>
                <w:sz w:val="30"/>
                <w:szCs w:val="30"/>
              </w:rPr>
            </w:pPr>
            <w:r w:rsidRPr="00AF4347">
              <w:rPr>
                <w:rFonts w:ascii="Garamond" w:hAnsi="Garamond"/>
                <w:b/>
                <w:sz w:val="30"/>
                <w:szCs w:val="30"/>
              </w:rPr>
              <w:t>People’s United Financial, Inc.</w:t>
            </w:r>
            <w:r w:rsidR="00542D84" w:rsidRPr="00AF4347">
              <w:rPr>
                <w:rFonts w:ascii="Garamond" w:hAnsi="Garamond"/>
                <w:b/>
                <w:sz w:val="30"/>
                <w:szCs w:val="30"/>
              </w:rPr>
              <w:t xml:space="preserve"> (NYSE: </w:t>
            </w:r>
            <w:r w:rsidRPr="00AF4347">
              <w:rPr>
                <w:rFonts w:ascii="Garamond" w:hAnsi="Garamond"/>
                <w:b/>
                <w:sz w:val="30"/>
                <w:szCs w:val="30"/>
              </w:rPr>
              <w:t>PBCT</w:t>
            </w:r>
            <w:r w:rsidR="00542D84" w:rsidRPr="00AF4347">
              <w:rPr>
                <w:rFonts w:ascii="Garamond" w:hAnsi="Garamond"/>
                <w:b/>
                <w:sz w:val="30"/>
                <w:szCs w:val="30"/>
              </w:rPr>
              <w:t>)</w:t>
            </w:r>
          </w:p>
          <w:p w14:paraId="188452E4" w14:textId="569EC836" w:rsidR="00542D84" w:rsidRPr="00AF4347" w:rsidRDefault="00542D84" w:rsidP="00D0505E">
            <w:pPr>
              <w:rPr>
                <w:rFonts w:ascii="Garamond" w:hAnsi="Garamond"/>
              </w:rPr>
            </w:pPr>
            <w:r w:rsidRPr="00AF4347">
              <w:rPr>
                <w:rFonts w:ascii="Garamond" w:hAnsi="Garamond"/>
                <w:b/>
              </w:rPr>
              <w:t xml:space="preserve">Sector: </w:t>
            </w:r>
            <w:r w:rsidR="00D0505E" w:rsidRPr="00AF4347">
              <w:rPr>
                <w:rFonts w:ascii="Garamond" w:hAnsi="Garamond"/>
                <w:b/>
              </w:rPr>
              <w:t>Financials</w:t>
            </w:r>
          </w:p>
        </w:tc>
      </w:tr>
    </w:tbl>
    <w:tbl>
      <w:tblPr>
        <w:tblStyle w:val="TableGrid"/>
        <w:tblW w:w="114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1513"/>
        <w:gridCol w:w="1783"/>
        <w:gridCol w:w="1827"/>
        <w:gridCol w:w="890"/>
        <w:gridCol w:w="1513"/>
        <w:gridCol w:w="1691"/>
        <w:gridCol w:w="789"/>
      </w:tblGrid>
      <w:tr w:rsidR="00821B89" w:rsidRPr="00AF4347" w14:paraId="78F32F81" w14:textId="30D8E2F7" w:rsidTr="00CF4582">
        <w:trPr>
          <w:trHeight w:val="360"/>
        </w:trPr>
        <w:tc>
          <w:tcPr>
            <w:tcW w:w="1424" w:type="dxa"/>
          </w:tcPr>
          <w:p w14:paraId="35A4C8E4" w14:textId="77777777" w:rsidR="007B6BCD" w:rsidRPr="00AF4347" w:rsidRDefault="005B396F" w:rsidP="007B6BCD">
            <w:pPr>
              <w:jc w:val="center"/>
              <w:rPr>
                <w:rFonts w:ascii="Garamond" w:hAnsi="Garamond"/>
                <w:b/>
                <w:sz w:val="22"/>
                <w:szCs w:val="22"/>
              </w:rPr>
            </w:pPr>
            <w:r w:rsidRPr="00AF4347">
              <w:rPr>
                <w:rFonts w:ascii="Garamond" w:hAnsi="Garamond"/>
                <w:b/>
                <w:sz w:val="22"/>
                <w:szCs w:val="22"/>
              </w:rPr>
              <w:lastRenderedPageBreak/>
              <w:t>Target Price</w:t>
            </w:r>
          </w:p>
          <w:p w14:paraId="73A27060" w14:textId="41E8742D" w:rsidR="005B396F" w:rsidRPr="00AF4347" w:rsidRDefault="005B396F" w:rsidP="007B6BCD">
            <w:pPr>
              <w:jc w:val="center"/>
              <w:rPr>
                <w:rFonts w:ascii="Garamond" w:hAnsi="Garamond"/>
                <w:sz w:val="22"/>
                <w:szCs w:val="22"/>
              </w:rPr>
            </w:pPr>
            <w:r w:rsidRPr="00AF4347">
              <w:rPr>
                <w:rFonts w:ascii="Garamond" w:hAnsi="Garamond"/>
                <w:sz w:val="22"/>
                <w:szCs w:val="22"/>
              </w:rPr>
              <w:t>$</w:t>
            </w:r>
            <w:r w:rsidR="00D0505E" w:rsidRPr="00AF4347">
              <w:rPr>
                <w:rFonts w:ascii="Garamond" w:hAnsi="Garamond"/>
                <w:sz w:val="22"/>
                <w:szCs w:val="22"/>
              </w:rPr>
              <w:t>20.78</w:t>
            </w:r>
          </w:p>
          <w:p w14:paraId="62F0052C" w14:textId="0DBBAB2C" w:rsidR="007B6BCD" w:rsidRPr="00AF4347" w:rsidRDefault="007B6BCD" w:rsidP="007B6BCD">
            <w:pPr>
              <w:jc w:val="center"/>
              <w:rPr>
                <w:rFonts w:ascii="Garamond" w:hAnsi="Garamond"/>
                <w:sz w:val="10"/>
                <w:szCs w:val="10"/>
              </w:rPr>
            </w:pPr>
          </w:p>
        </w:tc>
        <w:tc>
          <w:tcPr>
            <w:tcW w:w="1513" w:type="dxa"/>
          </w:tcPr>
          <w:p w14:paraId="2D0346A5" w14:textId="77777777" w:rsidR="005B396F" w:rsidRPr="00AF4347" w:rsidRDefault="005B396F" w:rsidP="007B6BCD">
            <w:pPr>
              <w:jc w:val="center"/>
              <w:rPr>
                <w:rFonts w:ascii="Garamond" w:hAnsi="Garamond"/>
                <w:b/>
                <w:sz w:val="22"/>
                <w:szCs w:val="22"/>
              </w:rPr>
            </w:pPr>
            <w:r w:rsidRPr="00AF4347">
              <w:rPr>
                <w:rFonts w:ascii="Garamond" w:hAnsi="Garamond"/>
                <w:b/>
                <w:sz w:val="22"/>
                <w:szCs w:val="22"/>
              </w:rPr>
              <w:t>Current Price</w:t>
            </w:r>
          </w:p>
          <w:p w14:paraId="71BA03BA" w14:textId="47C7114A" w:rsidR="005B396F" w:rsidRPr="00AF4347" w:rsidRDefault="00821B89" w:rsidP="00D0505E">
            <w:pPr>
              <w:jc w:val="center"/>
              <w:rPr>
                <w:rFonts w:ascii="Garamond" w:hAnsi="Garamond"/>
                <w:sz w:val="22"/>
                <w:szCs w:val="22"/>
              </w:rPr>
            </w:pPr>
            <w:r w:rsidRPr="00AF4347">
              <w:rPr>
                <w:rFonts w:ascii="Garamond" w:hAnsi="Garamond"/>
                <w:sz w:val="22"/>
                <w:szCs w:val="22"/>
              </w:rPr>
              <w:t>$</w:t>
            </w:r>
            <w:r w:rsidR="00D0505E" w:rsidRPr="00AF4347">
              <w:rPr>
                <w:rFonts w:ascii="Garamond" w:hAnsi="Garamond"/>
                <w:sz w:val="22"/>
                <w:szCs w:val="22"/>
              </w:rPr>
              <w:t>17.70</w:t>
            </w:r>
          </w:p>
        </w:tc>
        <w:tc>
          <w:tcPr>
            <w:tcW w:w="1783" w:type="dxa"/>
          </w:tcPr>
          <w:p w14:paraId="082DE3F8" w14:textId="77777777" w:rsidR="005B396F" w:rsidRPr="00AF4347" w:rsidRDefault="005B396F" w:rsidP="007B6BCD">
            <w:pPr>
              <w:jc w:val="center"/>
              <w:rPr>
                <w:rFonts w:ascii="Garamond" w:hAnsi="Garamond"/>
                <w:b/>
                <w:sz w:val="22"/>
                <w:szCs w:val="22"/>
              </w:rPr>
            </w:pPr>
            <w:r w:rsidRPr="00AF4347">
              <w:rPr>
                <w:rFonts w:ascii="Garamond" w:hAnsi="Garamond"/>
                <w:b/>
                <w:sz w:val="22"/>
                <w:szCs w:val="22"/>
              </w:rPr>
              <w:t>52 Week High</w:t>
            </w:r>
          </w:p>
          <w:p w14:paraId="638F5C0F" w14:textId="058D443E" w:rsidR="005B396F" w:rsidRPr="00AF4347" w:rsidRDefault="005B396F" w:rsidP="00821B89">
            <w:pPr>
              <w:jc w:val="center"/>
              <w:rPr>
                <w:rFonts w:ascii="Garamond" w:hAnsi="Garamond"/>
                <w:sz w:val="22"/>
                <w:szCs w:val="22"/>
              </w:rPr>
            </w:pPr>
            <w:r w:rsidRPr="00AF4347">
              <w:rPr>
                <w:rFonts w:ascii="Garamond" w:hAnsi="Garamond"/>
                <w:sz w:val="22"/>
                <w:szCs w:val="22"/>
              </w:rPr>
              <w:t>$</w:t>
            </w:r>
            <w:r w:rsidR="00D0505E" w:rsidRPr="00AF4347">
              <w:rPr>
                <w:rFonts w:ascii="Garamond" w:hAnsi="Garamond"/>
                <w:sz w:val="22"/>
                <w:szCs w:val="22"/>
              </w:rPr>
              <w:t>20.13</w:t>
            </w:r>
          </w:p>
        </w:tc>
        <w:tc>
          <w:tcPr>
            <w:tcW w:w="1827" w:type="dxa"/>
          </w:tcPr>
          <w:p w14:paraId="0DCBA9C8" w14:textId="77777777" w:rsidR="005B396F" w:rsidRPr="00AF4347" w:rsidRDefault="005B396F" w:rsidP="007B6BCD">
            <w:pPr>
              <w:jc w:val="center"/>
              <w:rPr>
                <w:rFonts w:ascii="Garamond" w:hAnsi="Garamond"/>
                <w:b/>
                <w:sz w:val="22"/>
                <w:szCs w:val="22"/>
              </w:rPr>
            </w:pPr>
            <w:r w:rsidRPr="00AF4347">
              <w:rPr>
                <w:rFonts w:ascii="Garamond" w:hAnsi="Garamond"/>
                <w:b/>
                <w:sz w:val="22"/>
                <w:szCs w:val="22"/>
              </w:rPr>
              <w:t>52 Week Low</w:t>
            </w:r>
          </w:p>
          <w:p w14:paraId="593D1A92" w14:textId="1AB9A635" w:rsidR="005B396F" w:rsidRPr="00AF4347" w:rsidRDefault="005B396F" w:rsidP="00022B94">
            <w:pPr>
              <w:jc w:val="center"/>
              <w:rPr>
                <w:rFonts w:ascii="Garamond" w:hAnsi="Garamond"/>
                <w:sz w:val="22"/>
                <w:szCs w:val="22"/>
              </w:rPr>
            </w:pPr>
            <w:r w:rsidRPr="00AF4347">
              <w:rPr>
                <w:rFonts w:ascii="Garamond" w:hAnsi="Garamond"/>
                <w:sz w:val="22"/>
                <w:szCs w:val="22"/>
              </w:rPr>
              <w:t>$</w:t>
            </w:r>
            <w:r w:rsidR="00D0505E" w:rsidRPr="00AF4347">
              <w:rPr>
                <w:rFonts w:ascii="Garamond" w:hAnsi="Garamond"/>
                <w:sz w:val="22"/>
                <w:szCs w:val="22"/>
              </w:rPr>
              <w:t>13.62</w:t>
            </w:r>
          </w:p>
        </w:tc>
        <w:tc>
          <w:tcPr>
            <w:tcW w:w="890" w:type="dxa"/>
          </w:tcPr>
          <w:p w14:paraId="183146BB" w14:textId="77777777" w:rsidR="005B396F" w:rsidRPr="00AF4347" w:rsidRDefault="005B396F" w:rsidP="007B6BCD">
            <w:pPr>
              <w:jc w:val="center"/>
              <w:rPr>
                <w:rFonts w:ascii="Garamond" w:hAnsi="Garamond"/>
                <w:b/>
                <w:sz w:val="22"/>
                <w:szCs w:val="22"/>
              </w:rPr>
            </w:pPr>
            <w:r w:rsidRPr="00AF4347">
              <w:rPr>
                <w:rFonts w:ascii="Garamond" w:hAnsi="Garamond"/>
                <w:b/>
                <w:sz w:val="22"/>
                <w:szCs w:val="22"/>
              </w:rPr>
              <w:t>P/E</w:t>
            </w:r>
          </w:p>
          <w:p w14:paraId="357338CB" w14:textId="3C7E47F4" w:rsidR="005B396F" w:rsidRPr="00AF4347" w:rsidRDefault="00D0505E" w:rsidP="007B6BCD">
            <w:pPr>
              <w:jc w:val="center"/>
              <w:rPr>
                <w:rFonts w:ascii="Garamond" w:hAnsi="Garamond"/>
                <w:sz w:val="22"/>
                <w:szCs w:val="22"/>
              </w:rPr>
            </w:pPr>
            <w:r w:rsidRPr="00AF4347">
              <w:rPr>
                <w:rFonts w:ascii="Garamond" w:hAnsi="Garamond"/>
                <w:sz w:val="22"/>
                <w:szCs w:val="22"/>
              </w:rPr>
              <w:t>21.64</w:t>
            </w:r>
          </w:p>
        </w:tc>
        <w:tc>
          <w:tcPr>
            <w:tcW w:w="1513" w:type="dxa"/>
          </w:tcPr>
          <w:p w14:paraId="20569AD1" w14:textId="154F6C32" w:rsidR="005B396F" w:rsidRPr="00AF4347" w:rsidRDefault="005B396F" w:rsidP="007B6BCD">
            <w:pPr>
              <w:jc w:val="center"/>
              <w:rPr>
                <w:rFonts w:ascii="Garamond" w:hAnsi="Garamond"/>
                <w:b/>
                <w:sz w:val="22"/>
                <w:szCs w:val="22"/>
              </w:rPr>
            </w:pPr>
            <w:r w:rsidRPr="00AF4347">
              <w:rPr>
                <w:rFonts w:ascii="Garamond" w:hAnsi="Garamond"/>
                <w:b/>
                <w:sz w:val="22"/>
                <w:szCs w:val="22"/>
              </w:rPr>
              <w:t>Market Cap.</w:t>
            </w:r>
          </w:p>
          <w:p w14:paraId="357DF9F3" w14:textId="5FAEE10E" w:rsidR="005B396F" w:rsidRPr="00AF4347" w:rsidRDefault="00A67BA8" w:rsidP="00022B94">
            <w:pPr>
              <w:jc w:val="center"/>
              <w:rPr>
                <w:rFonts w:ascii="Garamond" w:hAnsi="Garamond"/>
                <w:sz w:val="22"/>
                <w:szCs w:val="22"/>
              </w:rPr>
            </w:pPr>
            <w:r w:rsidRPr="00AF4347">
              <w:rPr>
                <w:rFonts w:ascii="Garamond" w:hAnsi="Garamond"/>
                <w:sz w:val="22"/>
                <w:szCs w:val="22"/>
              </w:rPr>
              <w:t>$</w:t>
            </w:r>
            <w:r w:rsidR="00D0505E" w:rsidRPr="00AF4347">
              <w:rPr>
                <w:rFonts w:ascii="Garamond" w:hAnsi="Garamond"/>
                <w:sz w:val="22"/>
                <w:szCs w:val="22"/>
              </w:rPr>
              <w:t>6,098.6M</w:t>
            </w:r>
          </w:p>
        </w:tc>
        <w:tc>
          <w:tcPr>
            <w:tcW w:w="1691" w:type="dxa"/>
          </w:tcPr>
          <w:p w14:paraId="3CEAB7B1" w14:textId="11F5CA59" w:rsidR="005B396F" w:rsidRPr="00AF4347" w:rsidRDefault="005B396F" w:rsidP="007B6BCD">
            <w:pPr>
              <w:jc w:val="center"/>
              <w:rPr>
                <w:rFonts w:ascii="Garamond" w:hAnsi="Garamond"/>
                <w:b/>
                <w:sz w:val="22"/>
                <w:szCs w:val="22"/>
              </w:rPr>
            </w:pPr>
            <w:r w:rsidRPr="00AF4347">
              <w:rPr>
                <w:rFonts w:ascii="Garamond" w:hAnsi="Garamond"/>
                <w:b/>
                <w:sz w:val="22"/>
                <w:szCs w:val="22"/>
              </w:rPr>
              <w:t>Dividend Yield</w:t>
            </w:r>
          </w:p>
          <w:p w14:paraId="1395E808" w14:textId="26C8C8FE" w:rsidR="005B396F" w:rsidRPr="00AF4347" w:rsidRDefault="00D0505E" w:rsidP="00871EBA">
            <w:pPr>
              <w:jc w:val="center"/>
              <w:rPr>
                <w:rFonts w:ascii="Garamond" w:hAnsi="Garamond"/>
                <w:sz w:val="22"/>
                <w:szCs w:val="22"/>
              </w:rPr>
            </w:pPr>
            <w:r w:rsidRPr="00AF4347">
              <w:rPr>
                <w:rFonts w:ascii="Garamond" w:hAnsi="Garamond"/>
                <w:sz w:val="22"/>
                <w:szCs w:val="22"/>
              </w:rPr>
              <w:t>3.83</w:t>
            </w:r>
            <w:r w:rsidR="005B396F" w:rsidRPr="00AF4347">
              <w:rPr>
                <w:rFonts w:ascii="Garamond" w:hAnsi="Garamond"/>
                <w:sz w:val="22"/>
                <w:szCs w:val="22"/>
              </w:rPr>
              <w:t>%</w:t>
            </w:r>
          </w:p>
        </w:tc>
        <w:tc>
          <w:tcPr>
            <w:tcW w:w="789" w:type="dxa"/>
          </w:tcPr>
          <w:p w14:paraId="0B87E42B" w14:textId="37E11DD1" w:rsidR="005B396F" w:rsidRPr="00AF4347" w:rsidRDefault="005B396F" w:rsidP="007B6BCD">
            <w:pPr>
              <w:jc w:val="center"/>
              <w:rPr>
                <w:rFonts w:ascii="Garamond" w:hAnsi="Garamond"/>
                <w:sz w:val="22"/>
                <w:szCs w:val="22"/>
              </w:rPr>
            </w:pPr>
          </w:p>
        </w:tc>
      </w:tr>
    </w:tbl>
    <w:p w14:paraId="2E289672" w14:textId="22F68937" w:rsidR="00A630AF" w:rsidRPr="00AF4347" w:rsidRDefault="00D0505E" w:rsidP="007B6BCD">
      <w:pPr>
        <w:rPr>
          <w:rFonts w:ascii="Garamond" w:hAnsi="Garamond"/>
          <w:sz w:val="10"/>
          <w:szCs w:val="10"/>
        </w:rPr>
        <w:sectPr w:rsidR="00A630AF" w:rsidRPr="00AF4347" w:rsidSect="0001462B">
          <w:headerReference w:type="even" r:id="rId8"/>
          <w:headerReference w:type="default" r:id="rId9"/>
          <w:footerReference w:type="default" r:id="rId10"/>
          <w:headerReference w:type="first" r:id="rId11"/>
          <w:pgSz w:w="12240" w:h="15840"/>
          <w:pgMar w:top="1152" w:right="1800" w:bottom="720" w:left="1080" w:header="720" w:footer="432" w:gutter="0"/>
          <w:cols w:space="720"/>
          <w:docGrid w:linePitch="360"/>
        </w:sectPr>
      </w:pPr>
      <w:r w:rsidRPr="00AF4347">
        <w:rPr>
          <w:rFonts w:ascii="Garamond" w:hAnsi="Garamond"/>
          <w:noProof/>
        </w:rPr>
        <w:drawing>
          <wp:anchor distT="0" distB="0" distL="114300" distR="114300" simplePos="0" relativeHeight="251659264" behindDoc="1" locked="0" layoutInCell="1" allowOverlap="1" wp14:anchorId="48F3D8D2" wp14:editId="4B2F2366">
            <wp:simplePos x="0" y="0"/>
            <wp:positionH relativeFrom="column">
              <wp:posOffset>4767580</wp:posOffset>
            </wp:positionH>
            <wp:positionV relativeFrom="paragraph">
              <wp:posOffset>-1169035</wp:posOffset>
            </wp:positionV>
            <wp:extent cx="1171575" cy="937260"/>
            <wp:effectExtent l="0" t="0" r="9525" b="0"/>
            <wp:wrapNone/>
            <wp:docPr id="4" name="Picture 4" descr="Image result for people's united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s united finan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1FAC7" w14:textId="77777777" w:rsidR="00A630AF" w:rsidRPr="00AF4347" w:rsidRDefault="00A630AF" w:rsidP="007B6BCD">
      <w:pPr>
        <w:rPr>
          <w:rFonts w:ascii="Garamond" w:hAnsi="Garamond"/>
          <w:b/>
          <w:sz w:val="22"/>
          <w:szCs w:val="22"/>
        </w:rPr>
      </w:pPr>
      <w:r w:rsidRPr="00AF4347">
        <w:rPr>
          <w:rFonts w:ascii="Garamond" w:hAnsi="Garamond"/>
          <w:b/>
          <w:sz w:val="22"/>
          <w:szCs w:val="22"/>
        </w:rPr>
        <w:lastRenderedPageBreak/>
        <w:t>Business Description</w:t>
      </w:r>
    </w:p>
    <w:p w14:paraId="245735D9" w14:textId="1906B90B" w:rsidR="00D0505E" w:rsidRPr="004E34F7" w:rsidRDefault="00D0505E" w:rsidP="007B6BCD">
      <w:pPr>
        <w:jc w:val="both"/>
        <w:rPr>
          <w:rFonts w:ascii="Garamond" w:eastAsia="Times New Roman" w:hAnsi="Garamond"/>
          <w:sz w:val="22"/>
          <w:szCs w:val="22"/>
        </w:rPr>
      </w:pPr>
      <w:r w:rsidRPr="00AF4347">
        <w:rPr>
          <w:rFonts w:ascii="Garamond" w:hAnsi="Garamond" w:cs="Times New Roman"/>
          <w:color w:val="000000"/>
          <w:sz w:val="20"/>
          <w:szCs w:val="22"/>
        </w:rPr>
        <w:t xml:space="preserve">People’s United Financial Inc. is the bank holding </w:t>
      </w:r>
      <w:r w:rsidRPr="004E34F7">
        <w:rPr>
          <w:rFonts w:ascii="Garamond" w:hAnsi="Garamond" w:cs="Times New Roman"/>
          <w:color w:val="000000"/>
          <w:sz w:val="20"/>
          <w:szCs w:val="22"/>
        </w:rPr>
        <w:t xml:space="preserve">company for People’s United Bank. </w:t>
      </w:r>
      <w:r w:rsidR="00AF4347" w:rsidRPr="004E34F7">
        <w:rPr>
          <w:rFonts w:ascii="Garamond" w:hAnsi="Garamond" w:cs="Times New Roman"/>
          <w:color w:val="000000"/>
          <w:sz w:val="20"/>
          <w:szCs w:val="22"/>
        </w:rPr>
        <w:t xml:space="preserve">It is headquartered in Bridgeport, Connecticut and ha about $40.7 billion in </w:t>
      </w:r>
      <w:r w:rsidR="00AF4347" w:rsidRPr="004E34F7">
        <w:rPr>
          <w:rFonts w:ascii="Garamond" w:hAnsi="Garamond" w:cs="Times New Roman"/>
          <w:color w:val="000000"/>
          <w:sz w:val="20"/>
          <w:szCs w:val="20"/>
        </w:rPr>
        <w:t xml:space="preserve">assets as of 3Q 2016. </w:t>
      </w:r>
      <w:r w:rsidR="00AF4347" w:rsidRPr="004E34F7">
        <w:rPr>
          <w:rFonts w:ascii="Garamond" w:eastAsia="Times New Roman" w:hAnsi="Garamond"/>
          <w:sz w:val="20"/>
          <w:szCs w:val="20"/>
        </w:rPr>
        <w:t>The Company operates under three main segments: commercial banking, retail banking and wealth management services, that are compiled in to two reporting segments commercial and retail banking. These are provided to individuals, corporations, or municipal customers. The 396 branches are located within New England and south-eastern New York, of which 150 are full-service Stop &amp; Shop branches.</w:t>
      </w:r>
      <w:r w:rsidR="00AF4347" w:rsidRPr="004E34F7">
        <w:rPr>
          <w:rFonts w:ascii="Garamond" w:eastAsia="Times New Roman" w:hAnsi="Garamond"/>
          <w:sz w:val="22"/>
          <w:szCs w:val="22"/>
        </w:rPr>
        <w:t xml:space="preserve">  </w:t>
      </w:r>
    </w:p>
    <w:p w14:paraId="3AE0F262" w14:textId="77777777" w:rsidR="00AF4347" w:rsidRPr="004E34F7" w:rsidRDefault="00AF4347" w:rsidP="007B6BCD">
      <w:pPr>
        <w:jc w:val="both"/>
        <w:rPr>
          <w:rFonts w:ascii="Garamond" w:eastAsia="Times New Roman" w:hAnsi="Garamond"/>
          <w:sz w:val="20"/>
          <w:szCs w:val="20"/>
        </w:rPr>
      </w:pPr>
      <w:r w:rsidRPr="004E34F7">
        <w:rPr>
          <w:rFonts w:ascii="Garamond" w:eastAsia="Times New Roman" w:hAnsi="Garamond"/>
          <w:sz w:val="22"/>
          <w:szCs w:val="22"/>
        </w:rPr>
        <w:tab/>
      </w:r>
      <w:r w:rsidRPr="004E34F7">
        <w:rPr>
          <w:rFonts w:ascii="Garamond" w:eastAsia="Times New Roman" w:hAnsi="Garamond"/>
          <w:sz w:val="20"/>
          <w:szCs w:val="20"/>
        </w:rPr>
        <w:t>The commercial banking segment offers real estate lending, commercial and industrial lending, and commercial deposits. Included is institutional trust services, corporate trust, insurance services provided through People’s United Insurance Agency (“PUIA”) and private banking. Commercial banking accounted for 73% of the total loan portfolio, with $21.2 billion which is divided amongst Commercial Real Estate, Commercial and Industrial, and Equipment Financing, with $10 billion, $8.2 billion, and $3.0 billion respectively.</w:t>
      </w:r>
    </w:p>
    <w:p w14:paraId="5264EDB1" w14:textId="07E218E7" w:rsidR="00AF4347" w:rsidRPr="004E34F7" w:rsidRDefault="00AF4347" w:rsidP="00AF4347">
      <w:pPr>
        <w:ind w:firstLine="720"/>
        <w:jc w:val="both"/>
        <w:rPr>
          <w:rFonts w:ascii="Garamond" w:eastAsia="Times New Roman" w:hAnsi="Garamond"/>
          <w:sz w:val="20"/>
          <w:szCs w:val="20"/>
        </w:rPr>
      </w:pPr>
      <w:r w:rsidRPr="004E34F7">
        <w:rPr>
          <w:rFonts w:ascii="Garamond" w:eastAsia="Times New Roman" w:hAnsi="Garamond"/>
          <w:sz w:val="20"/>
          <w:szCs w:val="20"/>
        </w:rPr>
        <w:t>The retail banking segment is its principal business, offering consumer lending and consumer deposit activities Consumer lending includes residential mortgage and home equity lending and retail banking consists of brokerage, financial advisory services, investment management services and life insurance provided by People’s Securities, Inc. (“PSI”) and non-institutional trust services. Retail Banking, as of Q3 2016, accounted for 28% of the total loan portfolio, with $8.2 billion. Residential Mortgage and Consumer make up Retail Loans and are $6.0 billion and $2.2 billion, respectively.</w:t>
      </w:r>
    </w:p>
    <w:p w14:paraId="04FF78FE" w14:textId="1F7476E8" w:rsidR="00AF4347" w:rsidRPr="004E34F7" w:rsidRDefault="00AF4347" w:rsidP="00AF4347">
      <w:pPr>
        <w:jc w:val="both"/>
        <w:rPr>
          <w:rFonts w:ascii="Garamond" w:eastAsia="Times New Roman" w:hAnsi="Garamond"/>
          <w:sz w:val="20"/>
          <w:szCs w:val="20"/>
        </w:rPr>
      </w:pPr>
      <w:r w:rsidRPr="004E34F7">
        <w:rPr>
          <w:rFonts w:ascii="Garamond" w:eastAsia="Times New Roman" w:hAnsi="Garamond"/>
          <w:sz w:val="20"/>
          <w:szCs w:val="20"/>
        </w:rPr>
        <w:tab/>
        <w:t>Wealth Man</w:t>
      </w:r>
      <w:r w:rsidR="002557F8">
        <w:rPr>
          <w:rFonts w:ascii="Garamond" w:eastAsia="Times New Roman" w:hAnsi="Garamond"/>
          <w:sz w:val="20"/>
          <w:szCs w:val="20"/>
        </w:rPr>
        <w:t>a</w:t>
      </w:r>
      <w:bookmarkStart w:id="0" w:name="_GoBack"/>
      <w:bookmarkEnd w:id="0"/>
      <w:r w:rsidRPr="004E34F7">
        <w:rPr>
          <w:rFonts w:ascii="Garamond" w:eastAsia="Times New Roman" w:hAnsi="Garamond"/>
          <w:sz w:val="20"/>
          <w:szCs w:val="20"/>
        </w:rPr>
        <w:t xml:space="preserve">gement services </w:t>
      </w:r>
      <w:proofErr w:type="gramStart"/>
      <w:r w:rsidRPr="004E34F7">
        <w:rPr>
          <w:rFonts w:ascii="Garamond" w:eastAsia="Times New Roman" w:hAnsi="Garamond"/>
          <w:sz w:val="20"/>
          <w:szCs w:val="20"/>
        </w:rPr>
        <w:t>are</w:t>
      </w:r>
      <w:proofErr w:type="gramEnd"/>
      <w:r w:rsidRPr="004E34F7">
        <w:rPr>
          <w:rFonts w:ascii="Garamond" w:eastAsia="Times New Roman" w:hAnsi="Garamond"/>
          <w:sz w:val="20"/>
          <w:szCs w:val="20"/>
        </w:rPr>
        <w:t xml:space="preserve"> allocated between the retail and commercial banking segments. The treasury area monitors the company’s security portfolio and its borrowings.</w:t>
      </w:r>
    </w:p>
    <w:p w14:paraId="6321A5B9" w14:textId="77777777" w:rsidR="00AF4347" w:rsidRPr="004E34F7" w:rsidRDefault="00AF4347" w:rsidP="007B6BCD">
      <w:pPr>
        <w:jc w:val="both"/>
        <w:rPr>
          <w:rFonts w:ascii="Garamond" w:eastAsia="Times New Roman" w:hAnsi="Garamond"/>
          <w:sz w:val="22"/>
          <w:szCs w:val="22"/>
        </w:rPr>
      </w:pPr>
    </w:p>
    <w:p w14:paraId="53926119" w14:textId="62BF620E" w:rsidR="00C07927" w:rsidRPr="004E34F7" w:rsidRDefault="00A630AF" w:rsidP="007B6BCD">
      <w:pPr>
        <w:jc w:val="both"/>
        <w:rPr>
          <w:rFonts w:ascii="Garamond" w:eastAsia="Times New Roman" w:hAnsi="Garamond"/>
          <w:sz w:val="22"/>
          <w:szCs w:val="22"/>
        </w:rPr>
      </w:pPr>
      <w:r w:rsidRPr="004E34F7">
        <w:rPr>
          <w:rFonts w:ascii="Garamond" w:hAnsi="Garamond"/>
          <w:b/>
          <w:sz w:val="22"/>
          <w:szCs w:val="22"/>
        </w:rPr>
        <w:t>Industry Trends</w:t>
      </w:r>
    </w:p>
    <w:p w14:paraId="24B66CF6" w14:textId="71593B4C" w:rsidR="00A630AF" w:rsidRPr="004E34F7" w:rsidRDefault="00AF4347" w:rsidP="00AF4347">
      <w:pPr>
        <w:spacing w:after="120"/>
        <w:jc w:val="both"/>
        <w:rPr>
          <w:rFonts w:ascii="Garamond" w:hAnsi="Garamond"/>
          <w:color w:val="000000"/>
          <w:sz w:val="20"/>
          <w:szCs w:val="22"/>
        </w:rPr>
      </w:pPr>
      <w:r w:rsidRPr="004E34F7">
        <w:rPr>
          <w:rFonts w:ascii="Garamond" w:hAnsi="Garamond"/>
          <w:color w:val="000000"/>
          <w:sz w:val="20"/>
          <w:szCs w:val="22"/>
        </w:rPr>
        <w:t xml:space="preserve">There is a positive industry outlook for PBCT, this is true for both the commercial and retail banking segments. In terms of PCBT’s commercial banking, 42% of the loan portfolio is based on the Prime Rate and 1-mo LIBOR rates. As interest rates increase, this will lead to greater spreads and higher profitability for the bank. Also, corporate profits are expected to continue to increase, driving greater loan demand and higher credit quality for companies, overall. In terms of retail banking, the 30-year mortgage rate has been decreasing, however as interest rates increase, People’s will see greater profitability as well. As the administration has stated they wish to pull back regulation, PBCT could see higher degrees of freedom and lower costs of compliance. The industry has been heavily consolidated but PBCT has participated in this with their recent acquisition of Suffolk Bank. </w:t>
      </w:r>
      <w:r w:rsidR="00A630AF" w:rsidRPr="004E34F7">
        <w:rPr>
          <w:rFonts w:ascii="Garamond" w:hAnsi="Garamond"/>
          <w:b/>
          <w:sz w:val="22"/>
          <w:szCs w:val="22"/>
        </w:rPr>
        <w:t>Investment Thesis</w:t>
      </w:r>
    </w:p>
    <w:p w14:paraId="5E656C88" w14:textId="4FA79657" w:rsidR="007B6BCD" w:rsidRPr="004E34F7" w:rsidRDefault="00AF4347" w:rsidP="007B6BCD">
      <w:pPr>
        <w:rPr>
          <w:rFonts w:ascii="Garamond" w:hAnsi="Garamond"/>
          <w:color w:val="000000"/>
          <w:sz w:val="20"/>
          <w:szCs w:val="22"/>
        </w:rPr>
      </w:pPr>
      <w:r w:rsidRPr="004E34F7">
        <w:rPr>
          <w:rFonts w:ascii="Garamond" w:hAnsi="Garamond"/>
          <w:color w:val="000000"/>
          <w:sz w:val="20"/>
          <w:szCs w:val="22"/>
        </w:rPr>
        <w:t>People’s United Financial, Inc. is a strong buy due to its positive industry outlook, strong market share and geographic exposure and its high dividend. The company is set to profit with changing regulation and stronger economic conditions. Increases in interest rates will lead to higher profitability and despite the $50 billion asset threshold risk, we believe People’s is a profitable company now and in to the future.</w:t>
      </w:r>
    </w:p>
    <w:tbl>
      <w:tblPr>
        <w:tblStyle w:val="TableGrid"/>
        <w:tblW w:w="5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643"/>
      </w:tblGrid>
      <w:tr w:rsidR="007B6BCD" w:rsidRPr="004E34F7" w14:paraId="44A5E45B" w14:textId="77777777" w:rsidTr="00106C9A">
        <w:trPr>
          <w:trHeight w:val="144"/>
        </w:trPr>
        <w:tc>
          <w:tcPr>
            <w:tcW w:w="3039" w:type="dxa"/>
          </w:tcPr>
          <w:p w14:paraId="045C452E" w14:textId="5AE9D9FD" w:rsidR="00871EBA" w:rsidRPr="004E34F7" w:rsidRDefault="00871EBA" w:rsidP="00346168">
            <w:pPr>
              <w:rPr>
                <w:rFonts w:ascii="Garamond" w:hAnsi="Garamond"/>
                <w:b/>
                <w:sz w:val="18"/>
                <w:szCs w:val="18"/>
              </w:rPr>
            </w:pPr>
          </w:p>
          <w:p w14:paraId="793DD0C5" w14:textId="7418F5B6" w:rsidR="007B6BCD" w:rsidRPr="004E34F7" w:rsidRDefault="007B6BCD" w:rsidP="00346168">
            <w:pPr>
              <w:ind w:left="-108"/>
              <w:rPr>
                <w:rFonts w:ascii="Garamond" w:hAnsi="Garamond"/>
                <w:b/>
                <w:sz w:val="22"/>
                <w:szCs w:val="22"/>
              </w:rPr>
            </w:pPr>
            <w:r w:rsidRPr="004E34F7">
              <w:rPr>
                <w:rFonts w:ascii="Garamond" w:hAnsi="Garamond"/>
                <w:b/>
                <w:sz w:val="22"/>
                <w:szCs w:val="22"/>
              </w:rPr>
              <w:t>Valuation Assumptions</w:t>
            </w:r>
          </w:p>
          <w:p w14:paraId="537F0D27" w14:textId="1BE37DB3" w:rsidR="007B6BCD" w:rsidRPr="004E34F7" w:rsidRDefault="007B6BCD" w:rsidP="007B6BCD">
            <w:pPr>
              <w:rPr>
                <w:rFonts w:ascii="Garamond" w:hAnsi="Garamond"/>
                <w:sz w:val="18"/>
                <w:szCs w:val="18"/>
              </w:rPr>
            </w:pPr>
            <w:r w:rsidRPr="004E34F7">
              <w:rPr>
                <w:rFonts w:ascii="Garamond" w:hAnsi="Garamond"/>
                <w:sz w:val="18"/>
                <w:szCs w:val="18"/>
              </w:rPr>
              <w:t xml:space="preserve">WACC: </w:t>
            </w:r>
            <w:r w:rsidR="004E34F7">
              <w:rPr>
                <w:rFonts w:ascii="Garamond" w:hAnsi="Garamond"/>
                <w:sz w:val="18"/>
                <w:szCs w:val="18"/>
              </w:rPr>
              <w:t>7.16%.</w:t>
            </w:r>
          </w:p>
          <w:p w14:paraId="4C28671C" w14:textId="730F86D3" w:rsidR="007B6BCD" w:rsidRPr="004E34F7" w:rsidRDefault="004E34F7" w:rsidP="007B6BCD">
            <w:pPr>
              <w:rPr>
                <w:rFonts w:ascii="Garamond" w:hAnsi="Garamond"/>
                <w:sz w:val="18"/>
                <w:szCs w:val="18"/>
              </w:rPr>
            </w:pPr>
            <w:r>
              <w:rPr>
                <w:rFonts w:ascii="Garamond" w:hAnsi="Garamond"/>
                <w:sz w:val="18"/>
                <w:szCs w:val="18"/>
              </w:rPr>
              <w:t xml:space="preserve">NII </w:t>
            </w:r>
            <w:r w:rsidR="007B6BCD" w:rsidRPr="004E34F7">
              <w:rPr>
                <w:rFonts w:ascii="Garamond" w:hAnsi="Garamond"/>
                <w:sz w:val="18"/>
                <w:szCs w:val="18"/>
              </w:rPr>
              <w:t xml:space="preserve">Growth Rate: </w:t>
            </w:r>
            <w:r w:rsidR="00E865AA">
              <w:rPr>
                <w:rFonts w:ascii="Garamond" w:hAnsi="Garamond"/>
                <w:sz w:val="18"/>
                <w:szCs w:val="18"/>
              </w:rPr>
              <w:t>3.9</w:t>
            </w:r>
            <w:r w:rsidR="002C26BE" w:rsidRPr="004E34F7">
              <w:rPr>
                <w:rFonts w:ascii="Garamond" w:hAnsi="Garamond"/>
                <w:sz w:val="18"/>
                <w:szCs w:val="18"/>
              </w:rPr>
              <w:t>%</w:t>
            </w:r>
          </w:p>
          <w:p w14:paraId="2ECDB2B3" w14:textId="07E91977" w:rsidR="002C26BE" w:rsidRPr="004E34F7" w:rsidRDefault="002C26BE" w:rsidP="00AF4347">
            <w:pPr>
              <w:rPr>
                <w:rFonts w:ascii="Garamond" w:hAnsi="Garamond"/>
                <w:sz w:val="18"/>
                <w:szCs w:val="18"/>
              </w:rPr>
            </w:pPr>
          </w:p>
        </w:tc>
        <w:tc>
          <w:tcPr>
            <w:tcW w:w="2643" w:type="dxa"/>
          </w:tcPr>
          <w:p w14:paraId="62D69D45" w14:textId="77777777" w:rsidR="00871EBA" w:rsidRPr="004E34F7" w:rsidRDefault="00871EBA" w:rsidP="007B6BCD">
            <w:pPr>
              <w:rPr>
                <w:rFonts w:ascii="Garamond" w:hAnsi="Garamond"/>
                <w:b/>
                <w:sz w:val="22"/>
                <w:szCs w:val="22"/>
              </w:rPr>
            </w:pPr>
          </w:p>
          <w:p w14:paraId="6C931331" w14:textId="77777777" w:rsidR="007B6BCD" w:rsidRPr="004E34F7" w:rsidRDefault="007B6BCD" w:rsidP="00346168">
            <w:pPr>
              <w:ind w:left="-87"/>
              <w:rPr>
                <w:rFonts w:ascii="Garamond" w:hAnsi="Garamond"/>
                <w:b/>
                <w:sz w:val="22"/>
                <w:szCs w:val="22"/>
              </w:rPr>
            </w:pPr>
            <w:r w:rsidRPr="004E34F7">
              <w:rPr>
                <w:rFonts w:ascii="Garamond" w:hAnsi="Garamond"/>
                <w:b/>
                <w:sz w:val="22"/>
                <w:szCs w:val="22"/>
              </w:rPr>
              <w:t>Key Financials</w:t>
            </w:r>
          </w:p>
          <w:p w14:paraId="238CF22D" w14:textId="5DBF244B" w:rsidR="009F3FB8" w:rsidRPr="004E34F7" w:rsidRDefault="002C26BE" w:rsidP="001A4EC4">
            <w:pPr>
              <w:rPr>
                <w:rFonts w:ascii="Garamond" w:hAnsi="Garamond"/>
                <w:sz w:val="18"/>
                <w:szCs w:val="18"/>
              </w:rPr>
            </w:pPr>
            <w:r w:rsidRPr="004E34F7">
              <w:rPr>
                <w:rFonts w:ascii="Garamond" w:hAnsi="Garamond"/>
                <w:sz w:val="18"/>
                <w:szCs w:val="18"/>
              </w:rPr>
              <w:t>DCF</w:t>
            </w:r>
            <w:r w:rsidR="00871EBA" w:rsidRPr="004E34F7">
              <w:rPr>
                <w:rFonts w:ascii="Garamond" w:hAnsi="Garamond"/>
                <w:sz w:val="18"/>
                <w:szCs w:val="18"/>
              </w:rPr>
              <w:t xml:space="preserve"> Stock Price: $</w:t>
            </w:r>
            <w:r w:rsidR="00E865AA">
              <w:rPr>
                <w:rFonts w:ascii="Garamond" w:hAnsi="Garamond"/>
                <w:sz w:val="18"/>
                <w:szCs w:val="18"/>
              </w:rPr>
              <w:t>18.62</w:t>
            </w:r>
          </w:p>
          <w:p w14:paraId="5758D76F" w14:textId="1A43A3C8" w:rsidR="00871EBA" w:rsidRPr="004E34F7" w:rsidRDefault="002C26BE" w:rsidP="001A4EC4">
            <w:pPr>
              <w:rPr>
                <w:rFonts w:ascii="Garamond" w:hAnsi="Garamond"/>
                <w:sz w:val="18"/>
                <w:szCs w:val="18"/>
              </w:rPr>
            </w:pPr>
            <w:r w:rsidRPr="004E34F7">
              <w:rPr>
                <w:rFonts w:ascii="Garamond" w:hAnsi="Garamond"/>
                <w:sz w:val="18"/>
                <w:szCs w:val="18"/>
              </w:rPr>
              <w:t>Multiples</w:t>
            </w:r>
            <w:r w:rsidR="00106C9A" w:rsidRPr="004E34F7">
              <w:rPr>
                <w:rFonts w:ascii="Garamond" w:hAnsi="Garamond"/>
                <w:sz w:val="18"/>
                <w:szCs w:val="18"/>
              </w:rPr>
              <w:t xml:space="preserve"> Stock Price</w:t>
            </w:r>
            <w:r w:rsidR="00871EBA" w:rsidRPr="004E34F7">
              <w:rPr>
                <w:rFonts w:ascii="Garamond" w:hAnsi="Garamond"/>
                <w:sz w:val="18"/>
                <w:szCs w:val="18"/>
              </w:rPr>
              <w:t>: $</w:t>
            </w:r>
            <w:r w:rsidR="00E865AA">
              <w:rPr>
                <w:rFonts w:ascii="Garamond" w:hAnsi="Garamond"/>
                <w:sz w:val="18"/>
                <w:szCs w:val="18"/>
              </w:rPr>
              <w:t>22.93</w:t>
            </w:r>
          </w:p>
          <w:p w14:paraId="244D4D94" w14:textId="10110E62" w:rsidR="00871EBA" w:rsidRPr="004E34F7" w:rsidRDefault="00E865AA" w:rsidP="002C26BE">
            <w:pPr>
              <w:rPr>
                <w:rFonts w:ascii="Garamond" w:hAnsi="Garamond"/>
                <w:sz w:val="18"/>
                <w:szCs w:val="18"/>
              </w:rPr>
            </w:pPr>
            <w:r>
              <w:rPr>
                <w:rFonts w:ascii="Garamond" w:hAnsi="Garamond"/>
                <w:sz w:val="18"/>
                <w:szCs w:val="18"/>
              </w:rPr>
              <w:t>Acquisition Premium: $23.61</w:t>
            </w:r>
          </w:p>
        </w:tc>
      </w:tr>
      <w:tr w:rsidR="001A4EC4" w:rsidRPr="004E34F7" w14:paraId="5CE241D8" w14:textId="77777777" w:rsidTr="00D0505E">
        <w:trPr>
          <w:trHeight w:val="288"/>
        </w:trPr>
        <w:tc>
          <w:tcPr>
            <w:tcW w:w="3039" w:type="dxa"/>
          </w:tcPr>
          <w:p w14:paraId="427003DB" w14:textId="7A10F06A" w:rsidR="001A4EC4" w:rsidRPr="004E34F7" w:rsidRDefault="001A4EC4" w:rsidP="007B6BCD">
            <w:pPr>
              <w:rPr>
                <w:rFonts w:ascii="Garamond" w:hAnsi="Garamond"/>
                <w:sz w:val="18"/>
                <w:szCs w:val="18"/>
              </w:rPr>
            </w:pPr>
          </w:p>
        </w:tc>
        <w:tc>
          <w:tcPr>
            <w:tcW w:w="2643" w:type="dxa"/>
          </w:tcPr>
          <w:p w14:paraId="5E50CD56" w14:textId="77777777" w:rsidR="001A4EC4" w:rsidRPr="004E34F7" w:rsidRDefault="001A4EC4" w:rsidP="007B6BCD">
            <w:pPr>
              <w:rPr>
                <w:rFonts w:ascii="Garamond" w:hAnsi="Garamond"/>
                <w:b/>
                <w:sz w:val="22"/>
                <w:szCs w:val="22"/>
              </w:rPr>
            </w:pPr>
          </w:p>
        </w:tc>
      </w:tr>
    </w:tbl>
    <w:p w14:paraId="42FD9E8B" w14:textId="77777777" w:rsidR="0001462B" w:rsidRPr="004E34F7" w:rsidRDefault="0001462B" w:rsidP="0001462B">
      <w:pPr>
        <w:rPr>
          <w:rFonts w:ascii="Garamond" w:hAnsi="Garamond"/>
          <w:b/>
          <w:sz w:val="22"/>
          <w:szCs w:val="22"/>
        </w:rPr>
      </w:pPr>
      <w:r w:rsidRPr="004E34F7">
        <w:rPr>
          <w:rFonts w:ascii="Garamond" w:hAnsi="Garamond"/>
          <w:b/>
          <w:sz w:val="22"/>
          <w:szCs w:val="22"/>
        </w:rPr>
        <w:t>Corporate Social Responsibility</w:t>
      </w:r>
    </w:p>
    <w:p w14:paraId="2D70A209" w14:textId="1BA54F81" w:rsidR="00421A6B" w:rsidRPr="004E34F7" w:rsidRDefault="00421A6B" w:rsidP="007B6BCD">
      <w:pPr>
        <w:rPr>
          <w:rFonts w:ascii="Garamond" w:hAnsi="Garamond"/>
          <w:sz w:val="18"/>
          <w:szCs w:val="18"/>
        </w:rPr>
      </w:pPr>
      <w:r w:rsidRPr="004E34F7">
        <w:rPr>
          <w:rFonts w:ascii="Garamond" w:hAnsi="Garamond"/>
          <w:sz w:val="18"/>
          <w:szCs w:val="18"/>
        </w:rPr>
        <w:t>Independent Chairperson: 1.00, Yes (Industry Average: 0.25)</w:t>
      </w:r>
    </w:p>
    <w:p w14:paraId="2FE7D86A" w14:textId="62840B78" w:rsidR="00421A6B" w:rsidRPr="004E34F7" w:rsidRDefault="00421A6B" w:rsidP="007B6BCD">
      <w:pPr>
        <w:rPr>
          <w:rFonts w:ascii="Garamond" w:hAnsi="Garamond"/>
          <w:sz w:val="18"/>
          <w:szCs w:val="18"/>
        </w:rPr>
      </w:pPr>
      <w:r w:rsidRPr="004E34F7">
        <w:rPr>
          <w:rFonts w:ascii="Garamond" w:hAnsi="Garamond"/>
          <w:sz w:val="18"/>
          <w:szCs w:val="18"/>
        </w:rPr>
        <w:t xml:space="preserve">% </w:t>
      </w:r>
      <w:proofErr w:type="gramStart"/>
      <w:r w:rsidRPr="004E34F7">
        <w:rPr>
          <w:rFonts w:ascii="Garamond" w:hAnsi="Garamond"/>
          <w:sz w:val="18"/>
          <w:szCs w:val="18"/>
        </w:rPr>
        <w:t>of</w:t>
      </w:r>
      <w:proofErr w:type="gramEnd"/>
      <w:r w:rsidRPr="004E34F7">
        <w:rPr>
          <w:rFonts w:ascii="Garamond" w:hAnsi="Garamond"/>
          <w:sz w:val="18"/>
          <w:szCs w:val="18"/>
        </w:rPr>
        <w:t xml:space="preserve"> </w:t>
      </w:r>
      <w:r w:rsidR="00BC2135" w:rsidRPr="004E34F7">
        <w:rPr>
          <w:rFonts w:ascii="Garamond" w:hAnsi="Garamond"/>
          <w:sz w:val="18"/>
          <w:szCs w:val="18"/>
        </w:rPr>
        <w:t>Women</w:t>
      </w:r>
      <w:r w:rsidRPr="004E34F7">
        <w:rPr>
          <w:rFonts w:ascii="Garamond" w:hAnsi="Garamond"/>
          <w:sz w:val="18"/>
          <w:szCs w:val="18"/>
        </w:rPr>
        <w:t xml:space="preserve"> </w:t>
      </w:r>
      <w:r w:rsidR="00BC2135" w:rsidRPr="004E34F7">
        <w:rPr>
          <w:rFonts w:ascii="Garamond" w:hAnsi="Garamond"/>
          <w:sz w:val="18"/>
          <w:szCs w:val="18"/>
        </w:rPr>
        <w:t>on Board: 16.4% (Industry Average: 14.2%</w:t>
      </w:r>
      <w:r w:rsidRPr="004E34F7">
        <w:rPr>
          <w:rFonts w:ascii="Garamond" w:hAnsi="Garamond"/>
          <w:sz w:val="18"/>
          <w:szCs w:val="18"/>
        </w:rPr>
        <w:t>)</w:t>
      </w:r>
    </w:p>
    <w:p w14:paraId="6E70E2D1" w14:textId="4A6B52CC" w:rsidR="00421A6B" w:rsidRPr="004E34F7" w:rsidRDefault="00F972BB" w:rsidP="007B6BCD">
      <w:pPr>
        <w:rPr>
          <w:rFonts w:ascii="Garamond" w:hAnsi="Garamond"/>
          <w:sz w:val="18"/>
          <w:szCs w:val="18"/>
        </w:rPr>
      </w:pPr>
      <w:r w:rsidRPr="004E34F7">
        <w:rPr>
          <w:rFonts w:ascii="Garamond" w:hAnsi="Garamond"/>
          <w:sz w:val="18"/>
          <w:szCs w:val="18"/>
        </w:rPr>
        <w:t>Executive Tenure: 4</w:t>
      </w:r>
      <w:r w:rsidR="004E34F7" w:rsidRPr="004E34F7">
        <w:rPr>
          <w:rFonts w:ascii="Garamond" w:hAnsi="Garamond"/>
          <w:sz w:val="18"/>
          <w:szCs w:val="18"/>
        </w:rPr>
        <w:t>.00 (Industry Average: 3.28</w:t>
      </w:r>
      <w:r w:rsidR="00421A6B" w:rsidRPr="004E34F7">
        <w:rPr>
          <w:rFonts w:ascii="Garamond" w:hAnsi="Garamond"/>
          <w:sz w:val="18"/>
          <w:szCs w:val="18"/>
        </w:rPr>
        <w:t>)</w:t>
      </w:r>
    </w:p>
    <w:p w14:paraId="545A97F3" w14:textId="77777777" w:rsidR="00421A6B" w:rsidRPr="004E34F7" w:rsidRDefault="00421A6B" w:rsidP="007B6BCD">
      <w:pPr>
        <w:rPr>
          <w:rFonts w:ascii="Garamond" w:hAnsi="Garamond"/>
          <w:sz w:val="18"/>
          <w:szCs w:val="18"/>
        </w:rPr>
      </w:pPr>
    </w:p>
    <w:p w14:paraId="54708CDB" w14:textId="34A4B2EB" w:rsidR="007B6BCD" w:rsidRPr="00AF4347" w:rsidRDefault="007B6BCD" w:rsidP="007B6BCD">
      <w:pPr>
        <w:rPr>
          <w:rFonts w:ascii="Garamond" w:hAnsi="Garamond"/>
          <w:b/>
        </w:rPr>
      </w:pPr>
      <w:r w:rsidRPr="004E34F7">
        <w:rPr>
          <w:rFonts w:ascii="Garamond" w:hAnsi="Garamond"/>
          <w:b/>
        </w:rPr>
        <w:t>5-Year</w:t>
      </w:r>
      <w:r w:rsidRPr="00F972BB">
        <w:rPr>
          <w:rFonts w:ascii="Garamond" w:hAnsi="Garamond"/>
          <w:b/>
        </w:rPr>
        <w:t xml:space="preserve"> Stock Performance</w:t>
      </w:r>
    </w:p>
    <w:p w14:paraId="7F3FC2B3" w14:textId="42FD8368" w:rsidR="007B6BCD" w:rsidRPr="00AF4347" w:rsidRDefault="00BC2135" w:rsidP="00346168">
      <w:pPr>
        <w:spacing w:after="120"/>
        <w:rPr>
          <w:rFonts w:ascii="Garamond" w:eastAsia="Times New Roman" w:hAnsi="Garamond" w:cs="Times New Roman"/>
          <w:noProof/>
          <w:sz w:val="20"/>
          <w:szCs w:val="20"/>
        </w:rPr>
      </w:pPr>
      <w:r>
        <w:rPr>
          <w:noProof/>
        </w:rPr>
        <w:drawing>
          <wp:inline distT="0" distB="0" distL="0" distR="0" wp14:anchorId="12A70AD2" wp14:editId="004A7CF8">
            <wp:extent cx="3463290" cy="2082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3290" cy="2082165"/>
                    </a:xfrm>
                    <a:prstGeom prst="rect">
                      <a:avLst/>
                    </a:prstGeom>
                  </pic:spPr>
                </pic:pic>
              </a:graphicData>
            </a:graphic>
          </wp:inline>
        </w:drawing>
      </w:r>
      <w:r w:rsidR="00421A6B" w:rsidRPr="00AF4347">
        <w:rPr>
          <w:rFonts w:ascii="Garamond" w:eastAsia="Times New Roman" w:hAnsi="Garamond" w:cs="Times New Roman"/>
          <w:noProof/>
          <w:sz w:val="20"/>
          <w:szCs w:val="20"/>
        </w:rPr>
        <w:t xml:space="preserve"> </w:t>
      </w:r>
    </w:p>
    <w:p w14:paraId="63A67BA3" w14:textId="04E2045E" w:rsidR="00B02926" w:rsidRPr="00AF4347" w:rsidRDefault="007B6BCD" w:rsidP="007B6BCD">
      <w:pPr>
        <w:jc w:val="both"/>
        <w:rPr>
          <w:rFonts w:ascii="Garamond" w:hAnsi="Garamond"/>
          <w:b/>
          <w:sz w:val="22"/>
          <w:szCs w:val="22"/>
        </w:rPr>
      </w:pPr>
      <w:r w:rsidRPr="00AF4347">
        <w:rPr>
          <w:rFonts w:ascii="Garamond" w:hAnsi="Garamond"/>
          <w:b/>
          <w:sz w:val="22"/>
          <w:szCs w:val="22"/>
        </w:rPr>
        <w:t>Competitive Analysis</w:t>
      </w:r>
    </w:p>
    <w:p w14:paraId="42037104" w14:textId="24EAB01A" w:rsidR="00871EBA" w:rsidRPr="00AF4347" w:rsidRDefault="00AF4347" w:rsidP="00346168">
      <w:pPr>
        <w:spacing w:after="120"/>
        <w:rPr>
          <w:rFonts w:ascii="Garamond" w:hAnsi="Garamond"/>
          <w:color w:val="000000"/>
          <w:sz w:val="20"/>
          <w:szCs w:val="22"/>
        </w:rPr>
      </w:pPr>
      <w:r>
        <w:rPr>
          <w:rFonts w:ascii="Garamond" w:hAnsi="Garamond"/>
          <w:color w:val="000000"/>
          <w:sz w:val="20"/>
          <w:szCs w:val="22"/>
        </w:rPr>
        <w:t>People’s competes with both regional banks and big, national banks. Key competitors of similar business model are M&amp;T and Webster Bank, and Bank of America as a large bank. To be able to remain competitive, PBCT must offer competitive rates and fees on their product offerings in order to maintain a solid customer base. People’s peers have better Net Interest Margins and Tier 1 Capital Ratios, but People’s draws on such a high quality asset base that they have a high efficiency ratio compared to their peers. They also have an above average loan to deposit ratio.</w:t>
      </w:r>
    </w:p>
    <w:p w14:paraId="33F9E8C0" w14:textId="77777777" w:rsidR="007B6BCD" w:rsidRPr="00AF4347" w:rsidRDefault="007B6BCD" w:rsidP="007B6BCD">
      <w:pPr>
        <w:rPr>
          <w:rFonts w:ascii="Garamond" w:eastAsia="Times New Roman" w:hAnsi="Garamond" w:cs="Arial"/>
          <w:b/>
          <w:color w:val="000000"/>
          <w:sz w:val="22"/>
          <w:szCs w:val="22"/>
        </w:rPr>
      </w:pPr>
      <w:r w:rsidRPr="00AF4347">
        <w:rPr>
          <w:rFonts w:ascii="Garamond" w:eastAsia="Times New Roman" w:hAnsi="Garamond" w:cs="Arial"/>
          <w:b/>
          <w:color w:val="000000"/>
          <w:sz w:val="22"/>
          <w:szCs w:val="22"/>
        </w:rPr>
        <w:t>Competitive Advantages</w:t>
      </w:r>
    </w:p>
    <w:p w14:paraId="27EA5DD8" w14:textId="29660C0B" w:rsidR="005F44B2" w:rsidRPr="00AF4347" w:rsidRDefault="00AF4347" w:rsidP="00346168">
      <w:pPr>
        <w:spacing w:after="120"/>
        <w:rPr>
          <w:rFonts w:ascii="Garamond" w:eastAsia="Times New Roman" w:hAnsi="Garamond" w:cs="Times New Roman"/>
          <w:color w:val="000000"/>
          <w:sz w:val="20"/>
          <w:szCs w:val="20"/>
        </w:rPr>
      </w:pPr>
      <w:r>
        <w:rPr>
          <w:rFonts w:ascii="Garamond" w:eastAsia="Times New Roman" w:hAnsi="Garamond" w:cs="Times New Roman"/>
          <w:color w:val="000000"/>
          <w:sz w:val="20"/>
          <w:szCs w:val="20"/>
        </w:rPr>
        <w:t>People’s has a strong market share and geographic exposure. First, the company has a geographic advantage by being located in southwestern Connecticut. New England has a higher than average both GDP growth and median household income. Fairfield County, CT, where PBCT has the #1 market share, has even more of an above average median income, leading to a higher quality deposit base and less defaults on loans. In addition, the company has a relationship with Stop &amp; Shop supermarkets, allowing the company to have branches within the stores which are open 37% longer and are 30% more cost efficient. This allows the company to maintain strong relationships with their customers.</w:t>
      </w:r>
    </w:p>
    <w:p w14:paraId="7E169680" w14:textId="741FA31C" w:rsidR="007B6BCD" w:rsidRDefault="007B6BCD" w:rsidP="007B6BCD">
      <w:pPr>
        <w:rPr>
          <w:rFonts w:ascii="Garamond" w:hAnsi="Garamond"/>
          <w:b/>
          <w:sz w:val="22"/>
          <w:szCs w:val="22"/>
        </w:rPr>
      </w:pPr>
      <w:r w:rsidRPr="00AF4347">
        <w:rPr>
          <w:rFonts w:ascii="Garamond" w:hAnsi="Garamond"/>
          <w:b/>
          <w:sz w:val="22"/>
          <w:szCs w:val="22"/>
        </w:rPr>
        <w:t>Risks</w:t>
      </w:r>
    </w:p>
    <w:p w14:paraId="4AE8BF70" w14:textId="7868E99E" w:rsidR="00AF4347" w:rsidRPr="00AF4347" w:rsidRDefault="00AF4347" w:rsidP="0001462B">
      <w:pPr>
        <w:rPr>
          <w:rFonts w:ascii="Garamond" w:hAnsi="Garamond"/>
          <w:sz w:val="20"/>
          <w:szCs w:val="20"/>
        </w:rPr>
      </w:pPr>
      <w:r>
        <w:rPr>
          <w:rFonts w:ascii="Garamond" w:hAnsi="Garamond"/>
          <w:sz w:val="20"/>
          <w:szCs w:val="20"/>
        </w:rPr>
        <w:t>As PBCT nears the $50 billion asset threshold, they will be subject to increased regulation and compliance costs. The company has stated they will not cross this until they feel ready, so they may self-impose their own growth as a result. Their margins and capitalization have been decreasing as of late, and with requirements set to increase under Basel III in 2019, PBCT may be under pressure. Moody’s also downgraded PBCT citing these factors.</w:t>
      </w:r>
    </w:p>
    <w:p w14:paraId="19396BD2" w14:textId="77777777" w:rsidR="00AF4347" w:rsidRDefault="00AF4347" w:rsidP="0001462B">
      <w:pPr>
        <w:rPr>
          <w:rFonts w:ascii="Garamond" w:hAnsi="Garamond"/>
          <w:b/>
          <w:sz w:val="20"/>
          <w:szCs w:val="20"/>
        </w:rPr>
      </w:pPr>
    </w:p>
    <w:p w14:paraId="38522BA5" w14:textId="05A5C2CE" w:rsidR="0001462B" w:rsidRPr="00AF4347" w:rsidRDefault="0001462B" w:rsidP="0001462B">
      <w:pPr>
        <w:rPr>
          <w:rFonts w:ascii="Garamond" w:hAnsi="Garamond"/>
          <w:b/>
          <w:sz w:val="20"/>
          <w:szCs w:val="20"/>
        </w:rPr>
      </w:pPr>
      <w:r w:rsidRPr="00AF4347">
        <w:rPr>
          <w:rFonts w:ascii="Garamond" w:hAnsi="Garamond"/>
          <w:b/>
          <w:sz w:val="20"/>
          <w:szCs w:val="20"/>
        </w:rPr>
        <w:t>Report Prepared By:</w:t>
      </w:r>
    </w:p>
    <w:p w14:paraId="45E8E86F" w14:textId="01616157" w:rsidR="00421A6B" w:rsidRPr="00AF4347" w:rsidRDefault="00C83842" w:rsidP="00421A6B">
      <w:pPr>
        <w:rPr>
          <w:rFonts w:ascii="Garamond" w:eastAsia="Times New Roman" w:hAnsi="Garamond" w:cs="Arial"/>
          <w:color w:val="000000"/>
          <w:sz w:val="18"/>
          <w:szCs w:val="18"/>
        </w:rPr>
      </w:pPr>
      <w:r w:rsidRPr="00AF4347">
        <w:rPr>
          <w:rFonts w:ascii="Garamond" w:hAnsi="Garamond"/>
          <w:sz w:val="20"/>
          <w:szCs w:val="20"/>
        </w:rPr>
        <w:t>Sean Elliott and Taylor VanFleet</w:t>
      </w:r>
      <w:r w:rsidR="0001462B" w:rsidRPr="00AF4347">
        <w:rPr>
          <w:rFonts w:ascii="Garamond" w:hAnsi="Garamond"/>
          <w:sz w:val="20"/>
          <w:szCs w:val="20"/>
        </w:rPr>
        <w:t xml:space="preserve"> on </w:t>
      </w:r>
      <w:r w:rsidR="00AF4347">
        <w:rPr>
          <w:rFonts w:ascii="Garamond" w:hAnsi="Garamond"/>
          <w:sz w:val="20"/>
          <w:szCs w:val="20"/>
        </w:rPr>
        <w:t>3/23</w:t>
      </w:r>
      <w:r w:rsidRPr="00AF4347">
        <w:rPr>
          <w:rFonts w:ascii="Garamond" w:hAnsi="Garamond"/>
          <w:sz w:val="20"/>
          <w:szCs w:val="20"/>
        </w:rPr>
        <w:t>/2017</w:t>
      </w:r>
    </w:p>
    <w:p w14:paraId="40B69A81" w14:textId="7F2BADF1" w:rsidR="0001462B" w:rsidRDefault="0001462B" w:rsidP="00421A6B">
      <w:pPr>
        <w:rPr>
          <w:rFonts w:ascii="Garamond" w:hAnsi="Garamond"/>
          <w:sz w:val="14"/>
          <w:szCs w:val="14"/>
        </w:rPr>
      </w:pPr>
      <w:r w:rsidRPr="00AF4347">
        <w:rPr>
          <w:rFonts w:ascii="Garamond" w:hAnsi="Garamond"/>
          <w:sz w:val="14"/>
          <w:szCs w:val="14"/>
        </w:rPr>
        <w:t>Sources: Bloomberg, Yahoo! Finance</w:t>
      </w:r>
      <w:r w:rsidR="00C83842" w:rsidRPr="00AF4347">
        <w:rPr>
          <w:rFonts w:ascii="Garamond" w:hAnsi="Garamond"/>
          <w:sz w:val="14"/>
          <w:szCs w:val="14"/>
        </w:rPr>
        <w:t>, 2016</w:t>
      </w:r>
      <w:r w:rsidR="00A86601" w:rsidRPr="00AF4347">
        <w:rPr>
          <w:rFonts w:ascii="Garamond" w:hAnsi="Garamond"/>
          <w:sz w:val="14"/>
          <w:szCs w:val="14"/>
        </w:rPr>
        <w:t>-</w:t>
      </w:r>
      <w:r w:rsidR="00C83842" w:rsidRPr="00AF4347">
        <w:rPr>
          <w:rFonts w:ascii="Garamond" w:hAnsi="Garamond"/>
          <w:sz w:val="14"/>
          <w:szCs w:val="14"/>
        </w:rPr>
        <w:t xml:space="preserve"> 2017</w:t>
      </w:r>
      <w:r w:rsidR="005F44B2" w:rsidRPr="00AF4347">
        <w:rPr>
          <w:rFonts w:ascii="Garamond" w:hAnsi="Garamond"/>
          <w:sz w:val="14"/>
          <w:szCs w:val="14"/>
        </w:rPr>
        <w:t xml:space="preserve"> </w:t>
      </w:r>
      <w:r w:rsidR="00AF4347">
        <w:rPr>
          <w:rFonts w:ascii="Garamond" w:hAnsi="Garamond"/>
          <w:sz w:val="14"/>
          <w:szCs w:val="14"/>
        </w:rPr>
        <w:t>PBCT</w:t>
      </w:r>
      <w:r w:rsidR="005F44B2" w:rsidRPr="00AF4347">
        <w:rPr>
          <w:rFonts w:ascii="Garamond" w:hAnsi="Garamond"/>
          <w:sz w:val="14"/>
          <w:szCs w:val="14"/>
        </w:rPr>
        <w:t xml:space="preserve"> Annual Report</w:t>
      </w:r>
      <w:r w:rsidR="00A86601" w:rsidRPr="00AF4347">
        <w:rPr>
          <w:rFonts w:ascii="Garamond" w:hAnsi="Garamond"/>
          <w:sz w:val="14"/>
          <w:szCs w:val="14"/>
        </w:rPr>
        <w:t>s</w:t>
      </w:r>
      <w:r w:rsidR="00346168" w:rsidRPr="00AF4347">
        <w:rPr>
          <w:rFonts w:ascii="Garamond" w:hAnsi="Garamond"/>
          <w:sz w:val="14"/>
          <w:szCs w:val="14"/>
        </w:rPr>
        <w:t>, Value Line</w:t>
      </w:r>
    </w:p>
    <w:p w14:paraId="11285232" w14:textId="377F7EBC" w:rsidR="00F2605B" w:rsidRPr="00AF4347" w:rsidRDefault="00F2605B" w:rsidP="00421A6B">
      <w:pPr>
        <w:rPr>
          <w:rFonts w:ascii="Garamond" w:eastAsia="Times New Roman" w:hAnsi="Garamond" w:cs="Arial"/>
          <w:color w:val="000000"/>
          <w:sz w:val="18"/>
          <w:szCs w:val="18"/>
        </w:rPr>
      </w:pPr>
    </w:p>
    <w:sectPr w:rsidR="00F2605B" w:rsidRPr="00AF4347" w:rsidSect="00346168">
      <w:type w:val="continuous"/>
      <w:pgSz w:w="12240" w:h="15840"/>
      <w:pgMar w:top="1350" w:right="576" w:bottom="648" w:left="576" w:header="720" w:footer="720" w:gutter="0"/>
      <w:cols w:num="2" w:space="1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B887" w14:textId="77777777" w:rsidR="004E34F7" w:rsidRDefault="004E34F7" w:rsidP="00B36B24">
      <w:r>
        <w:separator/>
      </w:r>
    </w:p>
  </w:endnote>
  <w:endnote w:type="continuationSeparator" w:id="0">
    <w:p w14:paraId="1E238173" w14:textId="77777777" w:rsidR="004E34F7" w:rsidRDefault="004E34F7" w:rsidP="00B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439F3C" w14:textId="6DCF31CE" w:rsidR="004E34F7" w:rsidRPr="00907FFD" w:rsidRDefault="004E34F7" w:rsidP="0001462B">
    <w:pPr>
      <w:rPr>
        <w:sz w:val="20"/>
        <w:szCs w:val="20"/>
      </w:rPr>
    </w:pPr>
    <w:r>
      <w:rPr>
        <w:noProof/>
      </w:rPr>
      <w:drawing>
        <wp:anchor distT="0" distB="0" distL="114300" distR="114300" simplePos="0" relativeHeight="251656192" behindDoc="0" locked="0" layoutInCell="1" allowOverlap="1" wp14:anchorId="3D1F118A" wp14:editId="2DB777B9">
          <wp:simplePos x="0" y="0"/>
          <wp:positionH relativeFrom="column">
            <wp:posOffset>5814060</wp:posOffset>
          </wp:positionH>
          <wp:positionV relativeFrom="paragraph">
            <wp:posOffset>-48895</wp:posOffset>
          </wp:positionV>
          <wp:extent cx="800100" cy="570865"/>
          <wp:effectExtent l="0" t="0" r="12700" b="0"/>
          <wp:wrapThrough wrapText="bothSides">
            <wp:wrapPolygon edited="0">
              <wp:start x="0" y="0"/>
              <wp:lineTo x="0" y="20182"/>
              <wp:lineTo x="21257" y="20182"/>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570865"/>
                  </a:xfrm>
                  <a:prstGeom prst="rect">
                    <a:avLst/>
                  </a:prstGeom>
                </pic:spPr>
              </pic:pic>
            </a:graphicData>
          </a:graphic>
          <wp14:sizeRelH relativeFrom="page">
            <wp14:pctWidth>0</wp14:pctWidth>
          </wp14:sizeRelH>
          <wp14:sizeRelV relativeFrom="page">
            <wp14:pctHeight>0</wp14:pctHeight>
          </wp14:sizeRelV>
        </wp:anchor>
      </w:drawing>
    </w:r>
  </w:p>
  <w:p w14:paraId="481FA85F" w14:textId="496A6263" w:rsidR="004E34F7" w:rsidRDefault="004E3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D81C" w14:textId="77777777" w:rsidR="004E34F7" w:rsidRDefault="004E34F7" w:rsidP="00B36B24">
      <w:r>
        <w:separator/>
      </w:r>
    </w:p>
  </w:footnote>
  <w:footnote w:type="continuationSeparator" w:id="0">
    <w:p w14:paraId="38E1E9DA" w14:textId="77777777" w:rsidR="004E34F7" w:rsidRDefault="004E34F7" w:rsidP="00B36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391BC" w14:textId="77777777" w:rsidR="004E34F7" w:rsidRDefault="004E34F7">
    <w:pPr>
      <w:pStyle w:val="Header"/>
    </w:pPr>
    <w:r>
      <w:rPr>
        <w:noProof/>
      </w:rPr>
      <w:pict w14:anchorId="62570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28.5pt;height:228.5pt;z-index:-251658240;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2209F0" w14:textId="0A71C25E" w:rsidR="004E34F7" w:rsidRPr="00FF572C" w:rsidRDefault="004E34F7">
    <w:pPr>
      <w:pStyle w:val="Header"/>
      <w:rPr>
        <w:rFonts w:ascii="Garamond" w:hAnsi="Garamond"/>
        <w:b/>
        <w:sz w:val="32"/>
        <w:szCs w:val="32"/>
      </w:rPr>
    </w:pPr>
    <w:r>
      <w:rPr>
        <w:rFonts w:ascii="Garamond" w:hAnsi="Garamond"/>
        <w:b/>
        <w:noProof/>
        <w:sz w:val="32"/>
        <w:szCs w:val="32"/>
      </w:rPr>
      <w:pict w14:anchorId="4066A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28.5pt;height:228.5pt;z-index:-251659264;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96BA24" w14:textId="77777777" w:rsidR="004E34F7" w:rsidRDefault="004E34F7">
    <w:pPr>
      <w:pStyle w:val="Header"/>
    </w:pPr>
    <w:r>
      <w:rPr>
        <w:noProof/>
      </w:rPr>
      <w:pict w14:anchorId="0CE2A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28.5pt;height:228.5pt;z-index:-251657216;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58E9"/>
    <w:multiLevelType w:val="hybridMultilevel"/>
    <w:tmpl w:val="53264C30"/>
    <w:lvl w:ilvl="0" w:tplc="209A407C">
      <w:start w:val="1"/>
      <w:numFmt w:val="bullet"/>
      <w:lvlText w:val="•"/>
      <w:lvlJc w:val="left"/>
      <w:pPr>
        <w:tabs>
          <w:tab w:val="num" w:pos="720"/>
        </w:tabs>
        <w:ind w:left="720" w:hanging="360"/>
      </w:pPr>
      <w:rPr>
        <w:rFonts w:ascii="Arial" w:hAnsi="Arial" w:hint="default"/>
      </w:rPr>
    </w:lvl>
    <w:lvl w:ilvl="1" w:tplc="553C6DD0" w:tentative="1">
      <w:start w:val="1"/>
      <w:numFmt w:val="bullet"/>
      <w:lvlText w:val="•"/>
      <w:lvlJc w:val="left"/>
      <w:pPr>
        <w:tabs>
          <w:tab w:val="num" w:pos="1440"/>
        </w:tabs>
        <w:ind w:left="1440" w:hanging="360"/>
      </w:pPr>
      <w:rPr>
        <w:rFonts w:ascii="Arial" w:hAnsi="Arial" w:hint="default"/>
      </w:rPr>
    </w:lvl>
    <w:lvl w:ilvl="2" w:tplc="34203D60" w:tentative="1">
      <w:start w:val="1"/>
      <w:numFmt w:val="bullet"/>
      <w:lvlText w:val="•"/>
      <w:lvlJc w:val="left"/>
      <w:pPr>
        <w:tabs>
          <w:tab w:val="num" w:pos="2160"/>
        </w:tabs>
        <w:ind w:left="2160" w:hanging="360"/>
      </w:pPr>
      <w:rPr>
        <w:rFonts w:ascii="Arial" w:hAnsi="Arial" w:hint="default"/>
      </w:rPr>
    </w:lvl>
    <w:lvl w:ilvl="3" w:tplc="E4285774" w:tentative="1">
      <w:start w:val="1"/>
      <w:numFmt w:val="bullet"/>
      <w:lvlText w:val="•"/>
      <w:lvlJc w:val="left"/>
      <w:pPr>
        <w:tabs>
          <w:tab w:val="num" w:pos="2880"/>
        </w:tabs>
        <w:ind w:left="2880" w:hanging="360"/>
      </w:pPr>
      <w:rPr>
        <w:rFonts w:ascii="Arial" w:hAnsi="Arial" w:hint="default"/>
      </w:rPr>
    </w:lvl>
    <w:lvl w:ilvl="4" w:tplc="753AD662" w:tentative="1">
      <w:start w:val="1"/>
      <w:numFmt w:val="bullet"/>
      <w:lvlText w:val="•"/>
      <w:lvlJc w:val="left"/>
      <w:pPr>
        <w:tabs>
          <w:tab w:val="num" w:pos="3600"/>
        </w:tabs>
        <w:ind w:left="3600" w:hanging="360"/>
      </w:pPr>
      <w:rPr>
        <w:rFonts w:ascii="Arial" w:hAnsi="Arial" w:hint="default"/>
      </w:rPr>
    </w:lvl>
    <w:lvl w:ilvl="5" w:tplc="0D5A7E9C" w:tentative="1">
      <w:start w:val="1"/>
      <w:numFmt w:val="bullet"/>
      <w:lvlText w:val="•"/>
      <w:lvlJc w:val="left"/>
      <w:pPr>
        <w:tabs>
          <w:tab w:val="num" w:pos="4320"/>
        </w:tabs>
        <w:ind w:left="4320" w:hanging="360"/>
      </w:pPr>
      <w:rPr>
        <w:rFonts w:ascii="Arial" w:hAnsi="Arial" w:hint="default"/>
      </w:rPr>
    </w:lvl>
    <w:lvl w:ilvl="6" w:tplc="C0E6DA1A" w:tentative="1">
      <w:start w:val="1"/>
      <w:numFmt w:val="bullet"/>
      <w:lvlText w:val="•"/>
      <w:lvlJc w:val="left"/>
      <w:pPr>
        <w:tabs>
          <w:tab w:val="num" w:pos="5040"/>
        </w:tabs>
        <w:ind w:left="5040" w:hanging="360"/>
      </w:pPr>
      <w:rPr>
        <w:rFonts w:ascii="Arial" w:hAnsi="Arial" w:hint="default"/>
      </w:rPr>
    </w:lvl>
    <w:lvl w:ilvl="7" w:tplc="CF5ED794" w:tentative="1">
      <w:start w:val="1"/>
      <w:numFmt w:val="bullet"/>
      <w:lvlText w:val="•"/>
      <w:lvlJc w:val="left"/>
      <w:pPr>
        <w:tabs>
          <w:tab w:val="num" w:pos="5760"/>
        </w:tabs>
        <w:ind w:left="5760" w:hanging="360"/>
      </w:pPr>
      <w:rPr>
        <w:rFonts w:ascii="Arial" w:hAnsi="Arial" w:hint="default"/>
      </w:rPr>
    </w:lvl>
    <w:lvl w:ilvl="8" w:tplc="E948213A" w:tentative="1">
      <w:start w:val="1"/>
      <w:numFmt w:val="bullet"/>
      <w:lvlText w:val="•"/>
      <w:lvlJc w:val="left"/>
      <w:pPr>
        <w:tabs>
          <w:tab w:val="num" w:pos="6480"/>
        </w:tabs>
        <w:ind w:left="6480" w:hanging="360"/>
      </w:pPr>
      <w:rPr>
        <w:rFonts w:ascii="Arial" w:hAnsi="Arial" w:hint="default"/>
      </w:rPr>
    </w:lvl>
  </w:abstractNum>
  <w:abstractNum w:abstractNumId="1">
    <w:nsid w:val="2C016533"/>
    <w:multiLevelType w:val="hybridMultilevel"/>
    <w:tmpl w:val="602CD3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CC834FB"/>
    <w:multiLevelType w:val="hybridMultilevel"/>
    <w:tmpl w:val="82B4D83E"/>
    <w:lvl w:ilvl="0" w:tplc="68EEE23C">
      <w:start w:val="1"/>
      <w:numFmt w:val="bullet"/>
      <w:lvlText w:val="•"/>
      <w:lvlJc w:val="left"/>
      <w:pPr>
        <w:tabs>
          <w:tab w:val="num" w:pos="720"/>
        </w:tabs>
        <w:ind w:left="720" w:hanging="360"/>
      </w:pPr>
      <w:rPr>
        <w:rFonts w:ascii="Arial" w:hAnsi="Arial" w:hint="default"/>
      </w:rPr>
    </w:lvl>
    <w:lvl w:ilvl="1" w:tplc="CB2CFFF2" w:tentative="1">
      <w:start w:val="1"/>
      <w:numFmt w:val="bullet"/>
      <w:lvlText w:val="•"/>
      <w:lvlJc w:val="left"/>
      <w:pPr>
        <w:tabs>
          <w:tab w:val="num" w:pos="1440"/>
        </w:tabs>
        <w:ind w:left="1440" w:hanging="360"/>
      </w:pPr>
      <w:rPr>
        <w:rFonts w:ascii="Arial" w:hAnsi="Arial" w:hint="default"/>
      </w:rPr>
    </w:lvl>
    <w:lvl w:ilvl="2" w:tplc="8240676C" w:tentative="1">
      <w:start w:val="1"/>
      <w:numFmt w:val="bullet"/>
      <w:lvlText w:val="•"/>
      <w:lvlJc w:val="left"/>
      <w:pPr>
        <w:tabs>
          <w:tab w:val="num" w:pos="2160"/>
        </w:tabs>
        <w:ind w:left="2160" w:hanging="360"/>
      </w:pPr>
      <w:rPr>
        <w:rFonts w:ascii="Arial" w:hAnsi="Arial" w:hint="default"/>
      </w:rPr>
    </w:lvl>
    <w:lvl w:ilvl="3" w:tplc="27044ED4" w:tentative="1">
      <w:start w:val="1"/>
      <w:numFmt w:val="bullet"/>
      <w:lvlText w:val="•"/>
      <w:lvlJc w:val="left"/>
      <w:pPr>
        <w:tabs>
          <w:tab w:val="num" w:pos="2880"/>
        </w:tabs>
        <w:ind w:left="2880" w:hanging="360"/>
      </w:pPr>
      <w:rPr>
        <w:rFonts w:ascii="Arial" w:hAnsi="Arial" w:hint="default"/>
      </w:rPr>
    </w:lvl>
    <w:lvl w:ilvl="4" w:tplc="71A43BEC" w:tentative="1">
      <w:start w:val="1"/>
      <w:numFmt w:val="bullet"/>
      <w:lvlText w:val="•"/>
      <w:lvlJc w:val="left"/>
      <w:pPr>
        <w:tabs>
          <w:tab w:val="num" w:pos="3600"/>
        </w:tabs>
        <w:ind w:left="3600" w:hanging="360"/>
      </w:pPr>
      <w:rPr>
        <w:rFonts w:ascii="Arial" w:hAnsi="Arial" w:hint="default"/>
      </w:rPr>
    </w:lvl>
    <w:lvl w:ilvl="5" w:tplc="20E661DA" w:tentative="1">
      <w:start w:val="1"/>
      <w:numFmt w:val="bullet"/>
      <w:lvlText w:val="•"/>
      <w:lvlJc w:val="left"/>
      <w:pPr>
        <w:tabs>
          <w:tab w:val="num" w:pos="4320"/>
        </w:tabs>
        <w:ind w:left="4320" w:hanging="360"/>
      </w:pPr>
      <w:rPr>
        <w:rFonts w:ascii="Arial" w:hAnsi="Arial" w:hint="default"/>
      </w:rPr>
    </w:lvl>
    <w:lvl w:ilvl="6" w:tplc="506E11A0" w:tentative="1">
      <w:start w:val="1"/>
      <w:numFmt w:val="bullet"/>
      <w:lvlText w:val="•"/>
      <w:lvlJc w:val="left"/>
      <w:pPr>
        <w:tabs>
          <w:tab w:val="num" w:pos="5040"/>
        </w:tabs>
        <w:ind w:left="5040" w:hanging="360"/>
      </w:pPr>
      <w:rPr>
        <w:rFonts w:ascii="Arial" w:hAnsi="Arial" w:hint="default"/>
      </w:rPr>
    </w:lvl>
    <w:lvl w:ilvl="7" w:tplc="A8DEEC38" w:tentative="1">
      <w:start w:val="1"/>
      <w:numFmt w:val="bullet"/>
      <w:lvlText w:val="•"/>
      <w:lvlJc w:val="left"/>
      <w:pPr>
        <w:tabs>
          <w:tab w:val="num" w:pos="5760"/>
        </w:tabs>
        <w:ind w:left="5760" w:hanging="360"/>
      </w:pPr>
      <w:rPr>
        <w:rFonts w:ascii="Arial" w:hAnsi="Arial" w:hint="default"/>
      </w:rPr>
    </w:lvl>
    <w:lvl w:ilvl="8" w:tplc="DEE222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24"/>
    <w:rsid w:val="0001462B"/>
    <w:rsid w:val="00022B94"/>
    <w:rsid w:val="00030F21"/>
    <w:rsid w:val="00036B32"/>
    <w:rsid w:val="00060FB9"/>
    <w:rsid w:val="00072674"/>
    <w:rsid w:val="0007409C"/>
    <w:rsid w:val="000E19CA"/>
    <w:rsid w:val="000F60BA"/>
    <w:rsid w:val="000F7223"/>
    <w:rsid w:val="00106C9A"/>
    <w:rsid w:val="00106FB6"/>
    <w:rsid w:val="001353CB"/>
    <w:rsid w:val="00183F04"/>
    <w:rsid w:val="001875FE"/>
    <w:rsid w:val="001956F6"/>
    <w:rsid w:val="001A4EC4"/>
    <w:rsid w:val="001B5B76"/>
    <w:rsid w:val="001B5F3F"/>
    <w:rsid w:val="001D42A4"/>
    <w:rsid w:val="00241FAB"/>
    <w:rsid w:val="0024607D"/>
    <w:rsid w:val="002557F8"/>
    <w:rsid w:val="00264FF6"/>
    <w:rsid w:val="002713CA"/>
    <w:rsid w:val="00280E12"/>
    <w:rsid w:val="00281B36"/>
    <w:rsid w:val="002C26BE"/>
    <w:rsid w:val="002D764C"/>
    <w:rsid w:val="002F6656"/>
    <w:rsid w:val="002F79CB"/>
    <w:rsid w:val="00315273"/>
    <w:rsid w:val="00320755"/>
    <w:rsid w:val="0033588A"/>
    <w:rsid w:val="00335AEC"/>
    <w:rsid w:val="00335D10"/>
    <w:rsid w:val="00346168"/>
    <w:rsid w:val="003D2A35"/>
    <w:rsid w:val="003D2DE3"/>
    <w:rsid w:val="003F0169"/>
    <w:rsid w:val="004134D9"/>
    <w:rsid w:val="00421A6B"/>
    <w:rsid w:val="0042471C"/>
    <w:rsid w:val="004304D9"/>
    <w:rsid w:val="00452001"/>
    <w:rsid w:val="00490624"/>
    <w:rsid w:val="004A25BC"/>
    <w:rsid w:val="004A2EBE"/>
    <w:rsid w:val="004D1EF7"/>
    <w:rsid w:val="004D25F3"/>
    <w:rsid w:val="004E34F7"/>
    <w:rsid w:val="005129C3"/>
    <w:rsid w:val="00520B16"/>
    <w:rsid w:val="00542D84"/>
    <w:rsid w:val="00583C2E"/>
    <w:rsid w:val="005952BE"/>
    <w:rsid w:val="005A0A5C"/>
    <w:rsid w:val="005B396F"/>
    <w:rsid w:val="005B4630"/>
    <w:rsid w:val="005F44B2"/>
    <w:rsid w:val="00663767"/>
    <w:rsid w:val="006B72BA"/>
    <w:rsid w:val="006C753A"/>
    <w:rsid w:val="006E6504"/>
    <w:rsid w:val="007046C4"/>
    <w:rsid w:val="00722FEB"/>
    <w:rsid w:val="00723EA0"/>
    <w:rsid w:val="00725503"/>
    <w:rsid w:val="007350FC"/>
    <w:rsid w:val="007B6BCD"/>
    <w:rsid w:val="007C5505"/>
    <w:rsid w:val="007D207F"/>
    <w:rsid w:val="007E15E0"/>
    <w:rsid w:val="00821B89"/>
    <w:rsid w:val="00864168"/>
    <w:rsid w:val="00871EBA"/>
    <w:rsid w:val="008833F7"/>
    <w:rsid w:val="008A1607"/>
    <w:rsid w:val="008D5153"/>
    <w:rsid w:val="008D714D"/>
    <w:rsid w:val="00907FFD"/>
    <w:rsid w:val="0091753C"/>
    <w:rsid w:val="00956909"/>
    <w:rsid w:val="00965855"/>
    <w:rsid w:val="00970158"/>
    <w:rsid w:val="0099298E"/>
    <w:rsid w:val="009937FC"/>
    <w:rsid w:val="009B41D1"/>
    <w:rsid w:val="009C7A95"/>
    <w:rsid w:val="009F3FB8"/>
    <w:rsid w:val="00A06C62"/>
    <w:rsid w:val="00A07A90"/>
    <w:rsid w:val="00A127BF"/>
    <w:rsid w:val="00A3174B"/>
    <w:rsid w:val="00A630AF"/>
    <w:rsid w:val="00A67BA8"/>
    <w:rsid w:val="00A86601"/>
    <w:rsid w:val="00AD1B8D"/>
    <w:rsid w:val="00AE3601"/>
    <w:rsid w:val="00AE3C65"/>
    <w:rsid w:val="00AF4347"/>
    <w:rsid w:val="00AF783E"/>
    <w:rsid w:val="00B02926"/>
    <w:rsid w:val="00B340EC"/>
    <w:rsid w:val="00B36B24"/>
    <w:rsid w:val="00B80638"/>
    <w:rsid w:val="00BC2135"/>
    <w:rsid w:val="00C03AAE"/>
    <w:rsid w:val="00C07927"/>
    <w:rsid w:val="00C12ACF"/>
    <w:rsid w:val="00C21B3D"/>
    <w:rsid w:val="00C77099"/>
    <w:rsid w:val="00C83842"/>
    <w:rsid w:val="00CB71C6"/>
    <w:rsid w:val="00CC5E37"/>
    <w:rsid w:val="00CE2CA2"/>
    <w:rsid w:val="00CF22F8"/>
    <w:rsid w:val="00CF4582"/>
    <w:rsid w:val="00D0505E"/>
    <w:rsid w:val="00D3684B"/>
    <w:rsid w:val="00D3763D"/>
    <w:rsid w:val="00D67D28"/>
    <w:rsid w:val="00D920E6"/>
    <w:rsid w:val="00DC6115"/>
    <w:rsid w:val="00DC65EB"/>
    <w:rsid w:val="00E050E1"/>
    <w:rsid w:val="00E46197"/>
    <w:rsid w:val="00E708BB"/>
    <w:rsid w:val="00E7193D"/>
    <w:rsid w:val="00E865AA"/>
    <w:rsid w:val="00E93CDE"/>
    <w:rsid w:val="00EE4BFA"/>
    <w:rsid w:val="00F05D59"/>
    <w:rsid w:val="00F174CE"/>
    <w:rsid w:val="00F2605B"/>
    <w:rsid w:val="00F70711"/>
    <w:rsid w:val="00F72B2E"/>
    <w:rsid w:val="00F76488"/>
    <w:rsid w:val="00F868C4"/>
    <w:rsid w:val="00F972BB"/>
    <w:rsid w:val="00FB7D7A"/>
    <w:rsid w:val="00FD15F1"/>
    <w:rsid w:val="00FF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F83E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24"/>
    <w:pPr>
      <w:tabs>
        <w:tab w:val="center" w:pos="4320"/>
        <w:tab w:val="right" w:pos="8640"/>
      </w:tabs>
    </w:pPr>
  </w:style>
  <w:style w:type="character" w:customStyle="1" w:styleId="HeaderChar">
    <w:name w:val="Header Char"/>
    <w:basedOn w:val="DefaultParagraphFont"/>
    <w:link w:val="Header"/>
    <w:uiPriority w:val="99"/>
    <w:rsid w:val="00B36B24"/>
  </w:style>
  <w:style w:type="paragraph" w:styleId="Footer">
    <w:name w:val="footer"/>
    <w:basedOn w:val="Normal"/>
    <w:link w:val="FooterChar"/>
    <w:uiPriority w:val="99"/>
    <w:unhideWhenUsed/>
    <w:rsid w:val="00B36B24"/>
    <w:pPr>
      <w:tabs>
        <w:tab w:val="center" w:pos="4320"/>
        <w:tab w:val="right" w:pos="8640"/>
      </w:tabs>
    </w:pPr>
  </w:style>
  <w:style w:type="character" w:customStyle="1" w:styleId="FooterChar">
    <w:name w:val="Footer Char"/>
    <w:basedOn w:val="DefaultParagraphFont"/>
    <w:link w:val="Footer"/>
    <w:uiPriority w:val="99"/>
    <w:rsid w:val="00B36B24"/>
  </w:style>
  <w:style w:type="paragraph" w:styleId="BalloonText">
    <w:name w:val="Balloon Text"/>
    <w:basedOn w:val="Normal"/>
    <w:link w:val="BalloonTextChar"/>
    <w:uiPriority w:val="99"/>
    <w:semiHidden/>
    <w:unhideWhenUsed/>
    <w:rsid w:val="00B36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24"/>
    <w:rPr>
      <w:rFonts w:ascii="Lucida Grande" w:hAnsi="Lucida Grande" w:cs="Lucida Grande"/>
      <w:sz w:val="18"/>
      <w:szCs w:val="18"/>
    </w:rPr>
  </w:style>
  <w:style w:type="table" w:styleId="TableGrid">
    <w:name w:val="Table Grid"/>
    <w:basedOn w:val="TableNormal"/>
    <w:uiPriority w:val="59"/>
    <w:rsid w:val="00FF5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3CA"/>
    <w:pPr>
      <w:ind w:left="720"/>
      <w:contextualSpacing/>
    </w:pPr>
  </w:style>
  <w:style w:type="paragraph" w:styleId="NormalWeb">
    <w:name w:val="Normal (Web)"/>
    <w:basedOn w:val="Normal"/>
    <w:uiPriority w:val="99"/>
    <w:unhideWhenUsed/>
    <w:rsid w:val="00C21B3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24"/>
    <w:pPr>
      <w:tabs>
        <w:tab w:val="center" w:pos="4320"/>
        <w:tab w:val="right" w:pos="8640"/>
      </w:tabs>
    </w:pPr>
  </w:style>
  <w:style w:type="character" w:customStyle="1" w:styleId="HeaderChar">
    <w:name w:val="Header Char"/>
    <w:basedOn w:val="DefaultParagraphFont"/>
    <w:link w:val="Header"/>
    <w:uiPriority w:val="99"/>
    <w:rsid w:val="00B36B24"/>
  </w:style>
  <w:style w:type="paragraph" w:styleId="Footer">
    <w:name w:val="footer"/>
    <w:basedOn w:val="Normal"/>
    <w:link w:val="FooterChar"/>
    <w:uiPriority w:val="99"/>
    <w:unhideWhenUsed/>
    <w:rsid w:val="00B36B24"/>
    <w:pPr>
      <w:tabs>
        <w:tab w:val="center" w:pos="4320"/>
        <w:tab w:val="right" w:pos="8640"/>
      </w:tabs>
    </w:pPr>
  </w:style>
  <w:style w:type="character" w:customStyle="1" w:styleId="FooterChar">
    <w:name w:val="Footer Char"/>
    <w:basedOn w:val="DefaultParagraphFont"/>
    <w:link w:val="Footer"/>
    <w:uiPriority w:val="99"/>
    <w:rsid w:val="00B36B24"/>
  </w:style>
  <w:style w:type="paragraph" w:styleId="BalloonText">
    <w:name w:val="Balloon Text"/>
    <w:basedOn w:val="Normal"/>
    <w:link w:val="BalloonTextChar"/>
    <w:uiPriority w:val="99"/>
    <w:semiHidden/>
    <w:unhideWhenUsed/>
    <w:rsid w:val="00B36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24"/>
    <w:rPr>
      <w:rFonts w:ascii="Lucida Grande" w:hAnsi="Lucida Grande" w:cs="Lucida Grande"/>
      <w:sz w:val="18"/>
      <w:szCs w:val="18"/>
    </w:rPr>
  </w:style>
  <w:style w:type="table" w:styleId="TableGrid">
    <w:name w:val="Table Grid"/>
    <w:basedOn w:val="TableNormal"/>
    <w:uiPriority w:val="59"/>
    <w:rsid w:val="00FF5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3CA"/>
    <w:pPr>
      <w:ind w:left="720"/>
      <w:contextualSpacing/>
    </w:pPr>
  </w:style>
  <w:style w:type="paragraph" w:styleId="NormalWeb">
    <w:name w:val="Normal (Web)"/>
    <w:basedOn w:val="Normal"/>
    <w:uiPriority w:val="99"/>
    <w:unhideWhenUsed/>
    <w:rsid w:val="00C21B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7268">
      <w:bodyDiv w:val="1"/>
      <w:marLeft w:val="0"/>
      <w:marRight w:val="0"/>
      <w:marTop w:val="0"/>
      <w:marBottom w:val="0"/>
      <w:divBdr>
        <w:top w:val="none" w:sz="0" w:space="0" w:color="auto"/>
        <w:left w:val="none" w:sz="0" w:space="0" w:color="auto"/>
        <w:bottom w:val="none" w:sz="0" w:space="0" w:color="auto"/>
        <w:right w:val="none" w:sz="0" w:space="0" w:color="auto"/>
      </w:divBdr>
    </w:div>
    <w:div w:id="134488406">
      <w:bodyDiv w:val="1"/>
      <w:marLeft w:val="0"/>
      <w:marRight w:val="0"/>
      <w:marTop w:val="0"/>
      <w:marBottom w:val="0"/>
      <w:divBdr>
        <w:top w:val="none" w:sz="0" w:space="0" w:color="auto"/>
        <w:left w:val="none" w:sz="0" w:space="0" w:color="auto"/>
        <w:bottom w:val="none" w:sz="0" w:space="0" w:color="auto"/>
        <w:right w:val="none" w:sz="0" w:space="0" w:color="auto"/>
      </w:divBdr>
    </w:div>
    <w:div w:id="347489378">
      <w:bodyDiv w:val="1"/>
      <w:marLeft w:val="0"/>
      <w:marRight w:val="0"/>
      <w:marTop w:val="0"/>
      <w:marBottom w:val="0"/>
      <w:divBdr>
        <w:top w:val="none" w:sz="0" w:space="0" w:color="auto"/>
        <w:left w:val="none" w:sz="0" w:space="0" w:color="auto"/>
        <w:bottom w:val="none" w:sz="0" w:space="0" w:color="auto"/>
        <w:right w:val="none" w:sz="0" w:space="0" w:color="auto"/>
      </w:divBdr>
    </w:div>
    <w:div w:id="837577658">
      <w:bodyDiv w:val="1"/>
      <w:marLeft w:val="0"/>
      <w:marRight w:val="0"/>
      <w:marTop w:val="0"/>
      <w:marBottom w:val="0"/>
      <w:divBdr>
        <w:top w:val="none" w:sz="0" w:space="0" w:color="auto"/>
        <w:left w:val="none" w:sz="0" w:space="0" w:color="auto"/>
        <w:bottom w:val="none" w:sz="0" w:space="0" w:color="auto"/>
        <w:right w:val="none" w:sz="0" w:space="0" w:color="auto"/>
      </w:divBdr>
      <w:divsChild>
        <w:div w:id="982782241">
          <w:marLeft w:val="720"/>
          <w:marRight w:val="0"/>
          <w:marTop w:val="0"/>
          <w:marBottom w:val="0"/>
          <w:divBdr>
            <w:top w:val="none" w:sz="0" w:space="0" w:color="auto"/>
            <w:left w:val="none" w:sz="0" w:space="0" w:color="auto"/>
            <w:bottom w:val="none" w:sz="0" w:space="0" w:color="auto"/>
            <w:right w:val="none" w:sz="0" w:space="0" w:color="auto"/>
          </w:divBdr>
        </w:div>
      </w:divsChild>
    </w:div>
    <w:div w:id="926966770">
      <w:bodyDiv w:val="1"/>
      <w:marLeft w:val="0"/>
      <w:marRight w:val="0"/>
      <w:marTop w:val="0"/>
      <w:marBottom w:val="0"/>
      <w:divBdr>
        <w:top w:val="none" w:sz="0" w:space="0" w:color="auto"/>
        <w:left w:val="none" w:sz="0" w:space="0" w:color="auto"/>
        <w:bottom w:val="none" w:sz="0" w:space="0" w:color="auto"/>
        <w:right w:val="none" w:sz="0" w:space="0" w:color="auto"/>
      </w:divBdr>
    </w:div>
    <w:div w:id="998122248">
      <w:bodyDiv w:val="1"/>
      <w:marLeft w:val="0"/>
      <w:marRight w:val="0"/>
      <w:marTop w:val="0"/>
      <w:marBottom w:val="0"/>
      <w:divBdr>
        <w:top w:val="none" w:sz="0" w:space="0" w:color="auto"/>
        <w:left w:val="none" w:sz="0" w:space="0" w:color="auto"/>
        <w:bottom w:val="none" w:sz="0" w:space="0" w:color="auto"/>
        <w:right w:val="none" w:sz="0" w:space="0" w:color="auto"/>
      </w:divBdr>
    </w:div>
    <w:div w:id="1049837196">
      <w:bodyDiv w:val="1"/>
      <w:marLeft w:val="0"/>
      <w:marRight w:val="0"/>
      <w:marTop w:val="0"/>
      <w:marBottom w:val="0"/>
      <w:divBdr>
        <w:top w:val="none" w:sz="0" w:space="0" w:color="auto"/>
        <w:left w:val="none" w:sz="0" w:space="0" w:color="auto"/>
        <w:bottom w:val="none" w:sz="0" w:space="0" w:color="auto"/>
        <w:right w:val="none" w:sz="0" w:space="0" w:color="auto"/>
      </w:divBdr>
    </w:div>
    <w:div w:id="1266498566">
      <w:bodyDiv w:val="1"/>
      <w:marLeft w:val="0"/>
      <w:marRight w:val="0"/>
      <w:marTop w:val="0"/>
      <w:marBottom w:val="0"/>
      <w:divBdr>
        <w:top w:val="none" w:sz="0" w:space="0" w:color="auto"/>
        <w:left w:val="none" w:sz="0" w:space="0" w:color="auto"/>
        <w:bottom w:val="none" w:sz="0" w:space="0" w:color="auto"/>
        <w:right w:val="none" w:sz="0" w:space="0" w:color="auto"/>
      </w:divBdr>
    </w:div>
    <w:div w:id="1330983615">
      <w:bodyDiv w:val="1"/>
      <w:marLeft w:val="0"/>
      <w:marRight w:val="0"/>
      <w:marTop w:val="0"/>
      <w:marBottom w:val="0"/>
      <w:divBdr>
        <w:top w:val="none" w:sz="0" w:space="0" w:color="auto"/>
        <w:left w:val="none" w:sz="0" w:space="0" w:color="auto"/>
        <w:bottom w:val="none" w:sz="0" w:space="0" w:color="auto"/>
        <w:right w:val="none" w:sz="0" w:space="0" w:color="auto"/>
      </w:divBdr>
    </w:div>
    <w:div w:id="1377464313">
      <w:bodyDiv w:val="1"/>
      <w:marLeft w:val="0"/>
      <w:marRight w:val="0"/>
      <w:marTop w:val="0"/>
      <w:marBottom w:val="0"/>
      <w:divBdr>
        <w:top w:val="none" w:sz="0" w:space="0" w:color="auto"/>
        <w:left w:val="none" w:sz="0" w:space="0" w:color="auto"/>
        <w:bottom w:val="none" w:sz="0" w:space="0" w:color="auto"/>
        <w:right w:val="none" w:sz="0" w:space="0" w:color="auto"/>
      </w:divBdr>
    </w:div>
    <w:div w:id="1596405395">
      <w:bodyDiv w:val="1"/>
      <w:marLeft w:val="0"/>
      <w:marRight w:val="0"/>
      <w:marTop w:val="0"/>
      <w:marBottom w:val="0"/>
      <w:divBdr>
        <w:top w:val="none" w:sz="0" w:space="0" w:color="auto"/>
        <w:left w:val="none" w:sz="0" w:space="0" w:color="auto"/>
        <w:bottom w:val="none" w:sz="0" w:space="0" w:color="auto"/>
        <w:right w:val="none" w:sz="0" w:space="0" w:color="auto"/>
      </w:divBdr>
      <w:divsChild>
        <w:div w:id="6904409">
          <w:marLeft w:val="720"/>
          <w:marRight w:val="0"/>
          <w:marTop w:val="0"/>
          <w:marBottom w:val="0"/>
          <w:divBdr>
            <w:top w:val="none" w:sz="0" w:space="0" w:color="auto"/>
            <w:left w:val="none" w:sz="0" w:space="0" w:color="auto"/>
            <w:bottom w:val="none" w:sz="0" w:space="0" w:color="auto"/>
            <w:right w:val="none" w:sz="0" w:space="0" w:color="auto"/>
          </w:divBdr>
        </w:div>
        <w:div w:id="352995889">
          <w:marLeft w:val="720"/>
          <w:marRight w:val="0"/>
          <w:marTop w:val="0"/>
          <w:marBottom w:val="0"/>
          <w:divBdr>
            <w:top w:val="none" w:sz="0" w:space="0" w:color="auto"/>
            <w:left w:val="none" w:sz="0" w:space="0" w:color="auto"/>
            <w:bottom w:val="none" w:sz="0" w:space="0" w:color="auto"/>
            <w:right w:val="none" w:sz="0" w:space="0" w:color="auto"/>
          </w:divBdr>
        </w:div>
      </w:divsChild>
    </w:div>
    <w:div w:id="1618443030">
      <w:bodyDiv w:val="1"/>
      <w:marLeft w:val="0"/>
      <w:marRight w:val="0"/>
      <w:marTop w:val="0"/>
      <w:marBottom w:val="0"/>
      <w:divBdr>
        <w:top w:val="none" w:sz="0" w:space="0" w:color="auto"/>
        <w:left w:val="none" w:sz="0" w:space="0" w:color="auto"/>
        <w:bottom w:val="none" w:sz="0" w:space="0" w:color="auto"/>
        <w:right w:val="none" w:sz="0" w:space="0" w:color="auto"/>
      </w:divBdr>
    </w:div>
    <w:div w:id="1620990806">
      <w:bodyDiv w:val="1"/>
      <w:marLeft w:val="0"/>
      <w:marRight w:val="0"/>
      <w:marTop w:val="0"/>
      <w:marBottom w:val="0"/>
      <w:divBdr>
        <w:top w:val="none" w:sz="0" w:space="0" w:color="auto"/>
        <w:left w:val="none" w:sz="0" w:space="0" w:color="auto"/>
        <w:bottom w:val="none" w:sz="0" w:space="0" w:color="auto"/>
        <w:right w:val="none" w:sz="0" w:space="0" w:color="auto"/>
      </w:divBdr>
    </w:div>
    <w:div w:id="1733384126">
      <w:bodyDiv w:val="1"/>
      <w:marLeft w:val="0"/>
      <w:marRight w:val="0"/>
      <w:marTop w:val="0"/>
      <w:marBottom w:val="0"/>
      <w:divBdr>
        <w:top w:val="none" w:sz="0" w:space="0" w:color="auto"/>
        <w:left w:val="none" w:sz="0" w:space="0" w:color="auto"/>
        <w:bottom w:val="none" w:sz="0" w:space="0" w:color="auto"/>
        <w:right w:val="none" w:sz="0" w:space="0" w:color="auto"/>
      </w:divBdr>
    </w:div>
    <w:div w:id="1769085184">
      <w:bodyDiv w:val="1"/>
      <w:marLeft w:val="0"/>
      <w:marRight w:val="0"/>
      <w:marTop w:val="0"/>
      <w:marBottom w:val="0"/>
      <w:divBdr>
        <w:top w:val="none" w:sz="0" w:space="0" w:color="auto"/>
        <w:left w:val="none" w:sz="0" w:space="0" w:color="auto"/>
        <w:bottom w:val="none" w:sz="0" w:space="0" w:color="auto"/>
        <w:right w:val="none" w:sz="0" w:space="0" w:color="auto"/>
      </w:divBdr>
    </w:div>
    <w:div w:id="1860435973">
      <w:bodyDiv w:val="1"/>
      <w:marLeft w:val="0"/>
      <w:marRight w:val="0"/>
      <w:marTop w:val="0"/>
      <w:marBottom w:val="0"/>
      <w:divBdr>
        <w:top w:val="none" w:sz="0" w:space="0" w:color="auto"/>
        <w:left w:val="none" w:sz="0" w:space="0" w:color="auto"/>
        <w:bottom w:val="none" w:sz="0" w:space="0" w:color="auto"/>
        <w:right w:val="none" w:sz="0" w:space="0" w:color="auto"/>
      </w:divBdr>
    </w:div>
    <w:div w:id="2130082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4869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Sean Elliott</cp:lastModifiedBy>
  <cp:revision>2</cp:revision>
  <cp:lastPrinted>2016-02-08T19:12:00Z</cp:lastPrinted>
  <dcterms:created xsi:type="dcterms:W3CDTF">2017-03-24T02:17:00Z</dcterms:created>
  <dcterms:modified xsi:type="dcterms:W3CDTF">2017-03-24T02:17:00Z</dcterms:modified>
</cp:coreProperties>
</file>