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69" w:tblpY="361"/>
        <w:tblW w:w="7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5"/>
      </w:tblGrid>
      <w:tr w:rsidR="00542D84" w:rsidRPr="00AF4347" w14:paraId="70B5C110" w14:textId="77777777" w:rsidTr="006B72BA">
        <w:trPr>
          <w:trHeight w:val="630"/>
        </w:trPr>
        <w:tc>
          <w:tcPr>
            <w:tcW w:w="7155" w:type="dxa"/>
          </w:tcPr>
          <w:p w14:paraId="79C5135A" w14:textId="1C3AE281" w:rsidR="00542D84" w:rsidRPr="00AF4347" w:rsidRDefault="003F701A" w:rsidP="007B6BCD">
            <w:pPr>
              <w:rPr>
                <w:rFonts w:ascii="Garamond" w:hAnsi="Garamond"/>
                <w:b/>
                <w:sz w:val="30"/>
                <w:szCs w:val="30"/>
              </w:rPr>
            </w:pPr>
            <w:bookmarkStart w:id="0" w:name="_GoBack"/>
            <w:bookmarkEnd w:id="0"/>
            <w:r>
              <w:rPr>
                <w:rFonts w:ascii="Garamond" w:hAnsi="Garamond"/>
                <w:b/>
                <w:sz w:val="30"/>
                <w:szCs w:val="30"/>
              </w:rPr>
              <w:t>Anheuser-Busch InBev SA/NV</w:t>
            </w:r>
            <w:r w:rsidR="00542D84" w:rsidRPr="00AF4347">
              <w:rPr>
                <w:rFonts w:ascii="Garamond" w:hAnsi="Garamond"/>
                <w:b/>
                <w:sz w:val="30"/>
                <w:szCs w:val="30"/>
              </w:rPr>
              <w:t xml:space="preserve"> (NYSE: </w:t>
            </w:r>
            <w:r>
              <w:rPr>
                <w:rFonts w:ascii="Garamond" w:hAnsi="Garamond"/>
                <w:b/>
                <w:sz w:val="30"/>
                <w:szCs w:val="30"/>
              </w:rPr>
              <w:t>BUD</w:t>
            </w:r>
            <w:r w:rsidR="00542D84" w:rsidRPr="00AF4347">
              <w:rPr>
                <w:rFonts w:ascii="Garamond" w:hAnsi="Garamond"/>
                <w:b/>
                <w:sz w:val="30"/>
                <w:szCs w:val="30"/>
              </w:rPr>
              <w:t>)</w:t>
            </w:r>
          </w:p>
          <w:p w14:paraId="188452E4" w14:textId="1CC721D6" w:rsidR="00542D84" w:rsidRPr="00AF4347" w:rsidRDefault="00542D84" w:rsidP="00D0505E">
            <w:pPr>
              <w:rPr>
                <w:rFonts w:ascii="Garamond" w:hAnsi="Garamond"/>
              </w:rPr>
            </w:pPr>
            <w:r w:rsidRPr="00AF4347">
              <w:rPr>
                <w:rFonts w:ascii="Garamond" w:hAnsi="Garamond"/>
                <w:b/>
              </w:rPr>
              <w:t xml:space="preserve">Sector: </w:t>
            </w:r>
            <w:r w:rsidR="00DC4D21">
              <w:rPr>
                <w:rFonts w:ascii="Garamond" w:hAnsi="Garamond"/>
                <w:b/>
              </w:rPr>
              <w:t>Consumer Goods</w:t>
            </w:r>
          </w:p>
        </w:tc>
      </w:tr>
    </w:tbl>
    <w:tbl>
      <w:tblPr>
        <w:tblStyle w:val="TableGrid"/>
        <w:tblW w:w="1143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1513"/>
        <w:gridCol w:w="1783"/>
        <w:gridCol w:w="1827"/>
        <w:gridCol w:w="890"/>
        <w:gridCol w:w="1513"/>
        <w:gridCol w:w="1691"/>
        <w:gridCol w:w="789"/>
      </w:tblGrid>
      <w:tr w:rsidR="00821B89" w:rsidRPr="00AF4347" w14:paraId="78F32F81" w14:textId="30D8E2F7" w:rsidTr="00CF4582">
        <w:trPr>
          <w:trHeight w:val="360"/>
        </w:trPr>
        <w:tc>
          <w:tcPr>
            <w:tcW w:w="1424" w:type="dxa"/>
          </w:tcPr>
          <w:p w14:paraId="35A4C8E4" w14:textId="77777777" w:rsidR="007B6BCD" w:rsidRPr="00AF4347" w:rsidRDefault="005B396F" w:rsidP="007B6BCD">
            <w:pPr>
              <w:jc w:val="center"/>
              <w:rPr>
                <w:rFonts w:ascii="Garamond" w:hAnsi="Garamond"/>
                <w:b/>
                <w:sz w:val="22"/>
                <w:szCs w:val="22"/>
              </w:rPr>
            </w:pPr>
            <w:r w:rsidRPr="00AF4347">
              <w:rPr>
                <w:rFonts w:ascii="Garamond" w:hAnsi="Garamond"/>
                <w:b/>
                <w:sz w:val="22"/>
                <w:szCs w:val="22"/>
              </w:rPr>
              <w:t>Target Price</w:t>
            </w:r>
          </w:p>
          <w:p w14:paraId="73A27060" w14:textId="6DA52903" w:rsidR="005B396F" w:rsidRPr="00AF4347" w:rsidRDefault="005B396F" w:rsidP="007B6BCD">
            <w:pPr>
              <w:jc w:val="center"/>
              <w:rPr>
                <w:rFonts w:ascii="Garamond" w:hAnsi="Garamond"/>
                <w:sz w:val="22"/>
                <w:szCs w:val="22"/>
              </w:rPr>
            </w:pPr>
            <w:r w:rsidRPr="00AF4347">
              <w:rPr>
                <w:rFonts w:ascii="Garamond" w:hAnsi="Garamond"/>
                <w:sz w:val="22"/>
                <w:szCs w:val="22"/>
              </w:rPr>
              <w:t>$</w:t>
            </w:r>
            <w:r w:rsidR="003F701A">
              <w:rPr>
                <w:rFonts w:ascii="Garamond" w:hAnsi="Garamond"/>
                <w:sz w:val="22"/>
                <w:szCs w:val="22"/>
              </w:rPr>
              <w:t>133.28</w:t>
            </w:r>
          </w:p>
          <w:p w14:paraId="62F0052C" w14:textId="0DBBAB2C" w:rsidR="007B6BCD" w:rsidRPr="00AF4347" w:rsidRDefault="007B6BCD" w:rsidP="007B6BCD">
            <w:pPr>
              <w:jc w:val="center"/>
              <w:rPr>
                <w:rFonts w:ascii="Garamond" w:hAnsi="Garamond"/>
                <w:sz w:val="10"/>
                <w:szCs w:val="10"/>
              </w:rPr>
            </w:pPr>
          </w:p>
        </w:tc>
        <w:tc>
          <w:tcPr>
            <w:tcW w:w="1513" w:type="dxa"/>
          </w:tcPr>
          <w:p w14:paraId="2D0346A5"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Current Price</w:t>
            </w:r>
          </w:p>
          <w:p w14:paraId="71BA03BA" w14:textId="0647BD50" w:rsidR="005B396F" w:rsidRPr="00AF4347" w:rsidRDefault="00821B89" w:rsidP="00D0505E">
            <w:pPr>
              <w:jc w:val="center"/>
              <w:rPr>
                <w:rFonts w:ascii="Garamond" w:hAnsi="Garamond"/>
                <w:sz w:val="22"/>
                <w:szCs w:val="22"/>
              </w:rPr>
            </w:pPr>
            <w:r w:rsidRPr="00AF4347">
              <w:rPr>
                <w:rFonts w:ascii="Garamond" w:hAnsi="Garamond"/>
                <w:sz w:val="22"/>
                <w:szCs w:val="22"/>
              </w:rPr>
              <w:t>$</w:t>
            </w:r>
            <w:r w:rsidR="003F701A">
              <w:rPr>
                <w:rFonts w:ascii="Garamond" w:hAnsi="Garamond"/>
                <w:sz w:val="22"/>
                <w:szCs w:val="22"/>
              </w:rPr>
              <w:t>110.89</w:t>
            </w:r>
          </w:p>
        </w:tc>
        <w:tc>
          <w:tcPr>
            <w:tcW w:w="1783" w:type="dxa"/>
          </w:tcPr>
          <w:p w14:paraId="082DE3F8" w14:textId="3B62301D" w:rsidR="005B396F" w:rsidRPr="00AF4347" w:rsidRDefault="005B396F" w:rsidP="007B6BCD">
            <w:pPr>
              <w:jc w:val="center"/>
              <w:rPr>
                <w:rFonts w:ascii="Garamond" w:hAnsi="Garamond"/>
                <w:b/>
                <w:sz w:val="22"/>
                <w:szCs w:val="22"/>
              </w:rPr>
            </w:pPr>
            <w:r w:rsidRPr="00AF4347">
              <w:rPr>
                <w:rFonts w:ascii="Garamond" w:hAnsi="Garamond"/>
                <w:b/>
                <w:sz w:val="22"/>
                <w:szCs w:val="22"/>
              </w:rPr>
              <w:t>52 Week High</w:t>
            </w:r>
          </w:p>
          <w:p w14:paraId="638F5C0F" w14:textId="06BF41AB" w:rsidR="005B396F" w:rsidRPr="00AF4347" w:rsidRDefault="005B396F" w:rsidP="00821B89">
            <w:pPr>
              <w:jc w:val="center"/>
              <w:rPr>
                <w:rFonts w:ascii="Garamond" w:hAnsi="Garamond"/>
                <w:sz w:val="22"/>
                <w:szCs w:val="22"/>
              </w:rPr>
            </w:pPr>
            <w:r w:rsidRPr="00AF4347">
              <w:rPr>
                <w:rFonts w:ascii="Garamond" w:hAnsi="Garamond"/>
                <w:sz w:val="22"/>
                <w:szCs w:val="22"/>
              </w:rPr>
              <w:t>$</w:t>
            </w:r>
            <w:r w:rsidR="003F701A">
              <w:rPr>
                <w:rFonts w:ascii="Garamond" w:hAnsi="Garamond"/>
                <w:sz w:val="22"/>
                <w:szCs w:val="22"/>
              </w:rPr>
              <w:t>136.08</w:t>
            </w:r>
          </w:p>
        </w:tc>
        <w:tc>
          <w:tcPr>
            <w:tcW w:w="1827" w:type="dxa"/>
          </w:tcPr>
          <w:p w14:paraId="0DCBA9C8"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52 Week Low</w:t>
            </w:r>
          </w:p>
          <w:p w14:paraId="593D1A92" w14:textId="270D294F" w:rsidR="005B396F" w:rsidRPr="00AF4347" w:rsidRDefault="005B396F" w:rsidP="00022B94">
            <w:pPr>
              <w:jc w:val="center"/>
              <w:rPr>
                <w:rFonts w:ascii="Garamond" w:hAnsi="Garamond"/>
                <w:sz w:val="22"/>
                <w:szCs w:val="22"/>
              </w:rPr>
            </w:pPr>
            <w:r w:rsidRPr="00AF4347">
              <w:rPr>
                <w:rFonts w:ascii="Garamond" w:hAnsi="Garamond"/>
                <w:sz w:val="22"/>
                <w:szCs w:val="22"/>
              </w:rPr>
              <w:t>$</w:t>
            </w:r>
            <w:r w:rsidR="003F701A">
              <w:rPr>
                <w:rFonts w:ascii="Garamond" w:hAnsi="Garamond"/>
                <w:sz w:val="22"/>
                <w:szCs w:val="22"/>
              </w:rPr>
              <w:t>98.28</w:t>
            </w:r>
          </w:p>
        </w:tc>
        <w:tc>
          <w:tcPr>
            <w:tcW w:w="890" w:type="dxa"/>
          </w:tcPr>
          <w:p w14:paraId="183146BB" w14:textId="77777777" w:rsidR="005B396F" w:rsidRPr="00AF4347" w:rsidRDefault="005B396F" w:rsidP="007B6BCD">
            <w:pPr>
              <w:jc w:val="center"/>
              <w:rPr>
                <w:rFonts w:ascii="Garamond" w:hAnsi="Garamond"/>
                <w:b/>
                <w:sz w:val="22"/>
                <w:szCs w:val="22"/>
              </w:rPr>
            </w:pPr>
            <w:r w:rsidRPr="00AF4347">
              <w:rPr>
                <w:rFonts w:ascii="Garamond" w:hAnsi="Garamond"/>
                <w:b/>
                <w:sz w:val="22"/>
                <w:szCs w:val="22"/>
              </w:rPr>
              <w:t>P/E</w:t>
            </w:r>
          </w:p>
          <w:p w14:paraId="357338CB" w14:textId="01745E4C" w:rsidR="005B396F" w:rsidRPr="00AF4347" w:rsidRDefault="00D0505E" w:rsidP="003F701A">
            <w:pPr>
              <w:jc w:val="center"/>
              <w:rPr>
                <w:rFonts w:ascii="Garamond" w:hAnsi="Garamond"/>
                <w:sz w:val="22"/>
                <w:szCs w:val="22"/>
              </w:rPr>
            </w:pPr>
            <w:r w:rsidRPr="00AF4347">
              <w:rPr>
                <w:rFonts w:ascii="Garamond" w:hAnsi="Garamond"/>
                <w:sz w:val="22"/>
                <w:szCs w:val="22"/>
              </w:rPr>
              <w:t>2</w:t>
            </w:r>
            <w:r w:rsidR="003F701A">
              <w:rPr>
                <w:rFonts w:ascii="Garamond" w:hAnsi="Garamond"/>
                <w:sz w:val="22"/>
                <w:szCs w:val="22"/>
              </w:rPr>
              <w:t>2.44</w:t>
            </w:r>
          </w:p>
        </w:tc>
        <w:tc>
          <w:tcPr>
            <w:tcW w:w="1513" w:type="dxa"/>
          </w:tcPr>
          <w:p w14:paraId="20569AD1" w14:textId="154F6C32" w:rsidR="005B396F" w:rsidRPr="00AF4347" w:rsidRDefault="005B396F" w:rsidP="007B6BCD">
            <w:pPr>
              <w:jc w:val="center"/>
              <w:rPr>
                <w:rFonts w:ascii="Garamond" w:hAnsi="Garamond"/>
                <w:b/>
                <w:sz w:val="22"/>
                <w:szCs w:val="22"/>
              </w:rPr>
            </w:pPr>
            <w:r w:rsidRPr="00AF4347">
              <w:rPr>
                <w:rFonts w:ascii="Garamond" w:hAnsi="Garamond"/>
                <w:b/>
                <w:sz w:val="22"/>
                <w:szCs w:val="22"/>
              </w:rPr>
              <w:t>Market Cap.</w:t>
            </w:r>
          </w:p>
          <w:p w14:paraId="357DF9F3" w14:textId="1C8DAAD8" w:rsidR="005B396F" w:rsidRPr="00AF4347" w:rsidRDefault="00A67BA8" w:rsidP="003F701A">
            <w:pPr>
              <w:jc w:val="center"/>
              <w:rPr>
                <w:rFonts w:ascii="Garamond" w:hAnsi="Garamond"/>
                <w:sz w:val="22"/>
                <w:szCs w:val="22"/>
              </w:rPr>
            </w:pPr>
            <w:r w:rsidRPr="00AF4347">
              <w:rPr>
                <w:rFonts w:ascii="Garamond" w:hAnsi="Garamond"/>
                <w:sz w:val="22"/>
                <w:szCs w:val="22"/>
              </w:rPr>
              <w:t>$</w:t>
            </w:r>
            <w:r w:rsidR="003F701A">
              <w:rPr>
                <w:rFonts w:ascii="Garamond" w:hAnsi="Garamond"/>
                <w:sz w:val="22"/>
                <w:szCs w:val="22"/>
              </w:rPr>
              <w:t>215.67B</w:t>
            </w:r>
          </w:p>
        </w:tc>
        <w:tc>
          <w:tcPr>
            <w:tcW w:w="1691" w:type="dxa"/>
          </w:tcPr>
          <w:p w14:paraId="3CEAB7B1" w14:textId="11F5CA59" w:rsidR="005B396F" w:rsidRPr="00AF4347" w:rsidRDefault="005B396F" w:rsidP="007B6BCD">
            <w:pPr>
              <w:jc w:val="center"/>
              <w:rPr>
                <w:rFonts w:ascii="Garamond" w:hAnsi="Garamond"/>
                <w:b/>
                <w:sz w:val="22"/>
                <w:szCs w:val="22"/>
              </w:rPr>
            </w:pPr>
            <w:r w:rsidRPr="00AF4347">
              <w:rPr>
                <w:rFonts w:ascii="Garamond" w:hAnsi="Garamond"/>
                <w:b/>
                <w:sz w:val="22"/>
                <w:szCs w:val="22"/>
              </w:rPr>
              <w:t>Dividend Yield</w:t>
            </w:r>
          </w:p>
          <w:p w14:paraId="1395E808" w14:textId="70B8BBB6" w:rsidR="005B396F" w:rsidRPr="00AF4347" w:rsidRDefault="00D0505E" w:rsidP="003F701A">
            <w:pPr>
              <w:jc w:val="center"/>
              <w:rPr>
                <w:rFonts w:ascii="Garamond" w:hAnsi="Garamond"/>
                <w:sz w:val="22"/>
                <w:szCs w:val="22"/>
              </w:rPr>
            </w:pPr>
            <w:r w:rsidRPr="00AF4347">
              <w:rPr>
                <w:rFonts w:ascii="Garamond" w:hAnsi="Garamond"/>
                <w:sz w:val="22"/>
                <w:szCs w:val="22"/>
              </w:rPr>
              <w:t>3.</w:t>
            </w:r>
            <w:r w:rsidR="003F701A">
              <w:rPr>
                <w:rFonts w:ascii="Garamond" w:hAnsi="Garamond"/>
                <w:sz w:val="22"/>
                <w:szCs w:val="22"/>
              </w:rPr>
              <w:t>08</w:t>
            </w:r>
            <w:r w:rsidR="005B396F" w:rsidRPr="00AF4347">
              <w:rPr>
                <w:rFonts w:ascii="Garamond" w:hAnsi="Garamond"/>
                <w:sz w:val="22"/>
                <w:szCs w:val="22"/>
              </w:rPr>
              <w:t>%</w:t>
            </w:r>
          </w:p>
        </w:tc>
        <w:tc>
          <w:tcPr>
            <w:tcW w:w="789" w:type="dxa"/>
          </w:tcPr>
          <w:p w14:paraId="7748EF34" w14:textId="55724F41" w:rsidR="005B396F" w:rsidRPr="003C6EAE" w:rsidRDefault="005B396F" w:rsidP="007B6BCD">
            <w:pPr>
              <w:jc w:val="center"/>
              <w:rPr>
                <w:rFonts w:ascii="Garamond" w:hAnsi="Garamond"/>
                <w:b/>
                <w:sz w:val="22"/>
                <w:szCs w:val="22"/>
              </w:rPr>
            </w:pPr>
            <w:r w:rsidRPr="003C6EAE">
              <w:rPr>
                <w:rFonts w:ascii="Garamond" w:hAnsi="Garamond"/>
                <w:b/>
                <w:sz w:val="22"/>
                <w:szCs w:val="22"/>
              </w:rPr>
              <w:t>Beta</w:t>
            </w:r>
          </w:p>
          <w:p w14:paraId="0B87E42B" w14:textId="14289A6A" w:rsidR="005B396F" w:rsidRPr="00AF4347" w:rsidRDefault="00821B89" w:rsidP="003C6EAE">
            <w:pPr>
              <w:jc w:val="center"/>
              <w:rPr>
                <w:rFonts w:ascii="Garamond" w:hAnsi="Garamond"/>
                <w:sz w:val="22"/>
                <w:szCs w:val="22"/>
              </w:rPr>
            </w:pPr>
            <w:r w:rsidRPr="003C6EAE">
              <w:rPr>
                <w:rFonts w:ascii="Garamond" w:hAnsi="Garamond"/>
                <w:sz w:val="22"/>
                <w:szCs w:val="22"/>
              </w:rPr>
              <w:t>.</w:t>
            </w:r>
            <w:r w:rsidR="003C6EAE" w:rsidRPr="003C6EAE">
              <w:rPr>
                <w:rFonts w:ascii="Garamond" w:hAnsi="Garamond"/>
                <w:sz w:val="22"/>
                <w:szCs w:val="22"/>
              </w:rPr>
              <w:t>97</w:t>
            </w:r>
          </w:p>
        </w:tc>
      </w:tr>
    </w:tbl>
    <w:p w14:paraId="2E289672" w14:textId="1A102BEF" w:rsidR="00A630AF" w:rsidRPr="00AF4347" w:rsidRDefault="00DC4D21" w:rsidP="007B6BCD">
      <w:pPr>
        <w:rPr>
          <w:rFonts w:ascii="Garamond" w:hAnsi="Garamond"/>
          <w:sz w:val="10"/>
          <w:szCs w:val="10"/>
        </w:rPr>
        <w:sectPr w:rsidR="00A630AF" w:rsidRPr="00AF4347" w:rsidSect="0001462B">
          <w:headerReference w:type="even" r:id="rId8"/>
          <w:headerReference w:type="default" r:id="rId9"/>
          <w:footerReference w:type="default" r:id="rId10"/>
          <w:headerReference w:type="first" r:id="rId11"/>
          <w:pgSz w:w="12240" w:h="15840"/>
          <w:pgMar w:top="1152" w:right="1800" w:bottom="720" w:left="1080" w:header="720" w:footer="432" w:gutter="0"/>
          <w:cols w:space="720"/>
          <w:docGrid w:linePitch="360"/>
        </w:sectPr>
      </w:pPr>
      <w:r>
        <w:rPr>
          <w:noProof/>
        </w:rPr>
        <w:drawing>
          <wp:anchor distT="0" distB="0" distL="114300" distR="114300" simplePos="0" relativeHeight="251661312" behindDoc="0" locked="0" layoutInCell="1" allowOverlap="1" wp14:anchorId="02E8177C" wp14:editId="691CD391">
            <wp:simplePos x="0" y="0"/>
            <wp:positionH relativeFrom="column">
              <wp:posOffset>4391939</wp:posOffset>
            </wp:positionH>
            <wp:positionV relativeFrom="paragraph">
              <wp:posOffset>-1059815</wp:posOffset>
            </wp:positionV>
            <wp:extent cx="1419225" cy="625878"/>
            <wp:effectExtent l="0" t="0" r="0" b="3175"/>
            <wp:wrapNone/>
            <wp:docPr id="3" name="Picture 3" descr="https://lh3.googleusercontent.com/C1JAqN2eU1ZLxhHoq-Vt2DbDw3uMTwV_rmrYUO_VkHhKgDOQTc946k6yck3ZMVWUd5WjpAa59R6OjhGqGjgSgzYUaHPLzNsMvo5H07iC34Umyw5hG6EYho-9UYi9bdeMD85hTnwiL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1JAqN2eU1ZLxhHoq-Vt2DbDw3uMTwV_rmrYUO_VkHhKgDOQTc946k6yck3ZMVWUd5WjpAa59R6OjhGqGjgSgzYUaHPLzNsMvo5H07iC34Umyw5hG6EYho-9UYi9bdeMD85hTnwiLi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19225" cy="6258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C1FAC7" w14:textId="77777777" w:rsidR="00A630AF" w:rsidRPr="00AF4347" w:rsidRDefault="00A630AF" w:rsidP="007B6BCD">
      <w:pPr>
        <w:rPr>
          <w:rFonts w:ascii="Garamond" w:hAnsi="Garamond"/>
          <w:b/>
          <w:sz w:val="22"/>
          <w:szCs w:val="22"/>
        </w:rPr>
      </w:pPr>
      <w:r w:rsidRPr="00AF4347">
        <w:rPr>
          <w:rFonts w:ascii="Garamond" w:hAnsi="Garamond"/>
          <w:b/>
          <w:sz w:val="22"/>
          <w:szCs w:val="22"/>
        </w:rPr>
        <w:t>Business Description</w:t>
      </w:r>
    </w:p>
    <w:p w14:paraId="36A67FB9" w14:textId="708A9BA5" w:rsidR="003F701A" w:rsidRDefault="003F701A" w:rsidP="00AF4347">
      <w:pPr>
        <w:jc w:val="both"/>
        <w:rPr>
          <w:rFonts w:ascii="Garamond" w:eastAsia="Times New Roman" w:hAnsi="Garamond"/>
          <w:sz w:val="20"/>
          <w:szCs w:val="20"/>
        </w:rPr>
      </w:pPr>
      <w:r>
        <w:rPr>
          <w:rFonts w:ascii="Garamond" w:eastAsia="Times New Roman" w:hAnsi="Garamond"/>
          <w:sz w:val="20"/>
          <w:szCs w:val="20"/>
        </w:rPr>
        <w:t xml:space="preserve">Anheuser-Busch produces, markets, distributes and sells over 500 beer and malt beverage brands as well as soft drinks. Some of these brands include Budweiser, Corona, Stella </w:t>
      </w:r>
      <w:proofErr w:type="spellStart"/>
      <w:r>
        <w:rPr>
          <w:rFonts w:ascii="Garamond" w:eastAsia="Times New Roman" w:hAnsi="Garamond"/>
          <w:sz w:val="20"/>
          <w:szCs w:val="20"/>
        </w:rPr>
        <w:t>Atrois</w:t>
      </w:r>
      <w:proofErr w:type="spellEnd"/>
      <w:r>
        <w:rPr>
          <w:rFonts w:ascii="Garamond" w:eastAsia="Times New Roman" w:hAnsi="Garamond"/>
          <w:sz w:val="20"/>
          <w:szCs w:val="20"/>
        </w:rPr>
        <w:t xml:space="preserve">, Beck’s </w:t>
      </w:r>
      <w:proofErr w:type="spellStart"/>
      <w:r>
        <w:rPr>
          <w:rFonts w:ascii="Garamond" w:eastAsia="Times New Roman" w:hAnsi="Garamond"/>
          <w:sz w:val="20"/>
          <w:szCs w:val="20"/>
        </w:rPr>
        <w:t>Leffe</w:t>
      </w:r>
      <w:proofErr w:type="spellEnd"/>
      <w:r>
        <w:rPr>
          <w:rFonts w:ascii="Garamond" w:eastAsia="Times New Roman" w:hAnsi="Garamond"/>
          <w:sz w:val="20"/>
          <w:szCs w:val="20"/>
        </w:rPr>
        <w:t xml:space="preserve">, </w:t>
      </w:r>
      <w:proofErr w:type="spellStart"/>
      <w:r>
        <w:rPr>
          <w:rFonts w:ascii="Garamond" w:eastAsia="Times New Roman" w:hAnsi="Garamond"/>
          <w:sz w:val="20"/>
          <w:szCs w:val="20"/>
        </w:rPr>
        <w:t>Hoegaarden</w:t>
      </w:r>
      <w:proofErr w:type="spellEnd"/>
      <w:r>
        <w:rPr>
          <w:rFonts w:ascii="Garamond" w:eastAsia="Times New Roman" w:hAnsi="Garamond"/>
          <w:sz w:val="20"/>
          <w:szCs w:val="20"/>
        </w:rPr>
        <w:t xml:space="preserve">, Castle Lager, Castle Lite, and Redd’s. These are other beverage brands are sold in more than 150 countries around the world. Budweiser was also name the #1 most valuable beer brand in the world. AB InBev is the world’s largest brewer by volume and one of the world’s top five consumer products by revenue. The company is headquartered in Leuven, Belgium but has offices and sites around the world. </w:t>
      </w:r>
    </w:p>
    <w:p w14:paraId="6321A5B9" w14:textId="54FFDFCC" w:rsidR="00AF4347" w:rsidRPr="0002552B" w:rsidRDefault="003F701A" w:rsidP="007B6BCD">
      <w:pPr>
        <w:jc w:val="both"/>
        <w:rPr>
          <w:rFonts w:ascii="Garamond" w:eastAsia="Times New Roman" w:hAnsi="Garamond"/>
          <w:sz w:val="20"/>
          <w:szCs w:val="20"/>
        </w:rPr>
      </w:pPr>
      <w:r>
        <w:rPr>
          <w:rFonts w:ascii="Garamond" w:eastAsia="Times New Roman" w:hAnsi="Garamond"/>
          <w:sz w:val="20"/>
          <w:szCs w:val="20"/>
        </w:rPr>
        <w:t>In October 2015, Anheuser-Busch announced a successful all cash bid of $107B to buy SABMiller, and the acquisition was completed a year later on October 10</w:t>
      </w:r>
      <w:r w:rsidRPr="003F701A">
        <w:rPr>
          <w:rFonts w:ascii="Garamond" w:eastAsia="Times New Roman" w:hAnsi="Garamond"/>
          <w:sz w:val="20"/>
          <w:szCs w:val="20"/>
          <w:vertAlign w:val="superscript"/>
        </w:rPr>
        <w:t>th</w:t>
      </w:r>
      <w:r>
        <w:rPr>
          <w:rFonts w:ascii="Garamond" w:eastAsia="Times New Roman" w:hAnsi="Garamond"/>
          <w:sz w:val="20"/>
          <w:szCs w:val="20"/>
        </w:rPr>
        <w:t xml:space="preserve">, 2016. Revenues are expected to grow 20% in 2017 as well as deliver synergies of up to $2.8B over the next 3-4 years. </w:t>
      </w:r>
    </w:p>
    <w:p w14:paraId="0DAA81B7" w14:textId="77777777" w:rsidR="003F701A" w:rsidRDefault="00A630AF" w:rsidP="003F701A">
      <w:pPr>
        <w:jc w:val="both"/>
        <w:rPr>
          <w:rFonts w:ascii="Garamond" w:eastAsia="Times New Roman" w:hAnsi="Garamond"/>
          <w:sz w:val="22"/>
          <w:szCs w:val="22"/>
        </w:rPr>
      </w:pPr>
      <w:r w:rsidRPr="00AF4347">
        <w:rPr>
          <w:rFonts w:ascii="Garamond" w:hAnsi="Garamond"/>
          <w:b/>
          <w:sz w:val="22"/>
          <w:szCs w:val="22"/>
        </w:rPr>
        <w:t>Industry Trends</w:t>
      </w:r>
    </w:p>
    <w:p w14:paraId="008A2696" w14:textId="67EA9F15" w:rsidR="003C6EAE" w:rsidRPr="0002552B" w:rsidRDefault="003F701A" w:rsidP="003C6EAE">
      <w:pPr>
        <w:jc w:val="both"/>
        <w:rPr>
          <w:rFonts w:ascii="Garamond" w:eastAsia="Times New Roman" w:hAnsi="Garamond"/>
          <w:sz w:val="22"/>
          <w:szCs w:val="22"/>
        </w:rPr>
      </w:pPr>
      <w:r>
        <w:rPr>
          <w:rFonts w:ascii="Garamond" w:hAnsi="Garamond"/>
          <w:color w:val="000000"/>
          <w:sz w:val="20"/>
          <w:szCs w:val="22"/>
        </w:rPr>
        <w:t xml:space="preserve">The breweries industry has seen more competition from spirits and wine which is anticipated to slow revenue growth. Breweries have been engaging in cost savings programs to streamline operations and reduce costs. AB InBev has participated in this trend with their Zero-Based Budgeting and Voyager Plant Optimization programs which aim to lower costs year over year while at the same time improve quality, safety and the environment. Craft brewing has become more critical to developing the brand name. BUD has engaged in this with producing more craft brands. The industry itself has been subject to increased globalization and exports have been forecasted to slow. AB InBev is prepared for this as their recent completed merger with SABMiller has given them a much larger distribution network. The consolidation of the industry has been a trend as well, and the majority of the industry’s market share is shared between Anheuser-Busch InBev and their biggest competitor Molson Coors Brewing Company. </w:t>
      </w:r>
    </w:p>
    <w:p w14:paraId="1242B11F" w14:textId="77777777" w:rsidR="003F701A" w:rsidRDefault="00A630AF" w:rsidP="003C6EAE">
      <w:pPr>
        <w:jc w:val="both"/>
        <w:rPr>
          <w:rFonts w:ascii="Garamond" w:hAnsi="Garamond"/>
          <w:color w:val="000000"/>
          <w:sz w:val="20"/>
          <w:szCs w:val="22"/>
        </w:rPr>
      </w:pPr>
      <w:r w:rsidRPr="00AF4347">
        <w:rPr>
          <w:rFonts w:ascii="Garamond" w:hAnsi="Garamond"/>
          <w:b/>
          <w:sz w:val="22"/>
          <w:szCs w:val="22"/>
        </w:rPr>
        <w:t>Investment Thesis</w:t>
      </w:r>
    </w:p>
    <w:p w14:paraId="202B5130" w14:textId="42C94014" w:rsidR="002A473C" w:rsidRPr="002A473C" w:rsidRDefault="003F701A" w:rsidP="002A473C">
      <w:pPr>
        <w:jc w:val="both"/>
        <w:rPr>
          <w:rFonts w:ascii="Garamond" w:hAnsi="Garamond"/>
          <w:color w:val="000000"/>
          <w:sz w:val="20"/>
          <w:szCs w:val="22"/>
        </w:rPr>
      </w:pPr>
      <w:r>
        <w:rPr>
          <w:rFonts w:ascii="Garamond" w:hAnsi="Garamond"/>
          <w:color w:val="000000"/>
          <w:sz w:val="20"/>
          <w:szCs w:val="22"/>
        </w:rPr>
        <w:t>We believe that BUD is a buy due to its strong market position in key markets. Also, the company has been expanding in to key emerging markets, such as China, and has positioned themselves favorabl</w:t>
      </w:r>
      <w:r w:rsidR="002A473C">
        <w:rPr>
          <w:rFonts w:ascii="Garamond" w:hAnsi="Garamond"/>
          <w:color w:val="000000"/>
          <w:sz w:val="20"/>
          <w:szCs w:val="22"/>
        </w:rPr>
        <w:t>y. In addition, the strategic me</w:t>
      </w:r>
      <w:r>
        <w:rPr>
          <w:rFonts w:ascii="Garamond" w:hAnsi="Garamond"/>
          <w:color w:val="000000"/>
          <w:sz w:val="20"/>
          <w:szCs w:val="22"/>
        </w:rPr>
        <w:t xml:space="preserve">rger with SABMiller increases efficiencies in and market share in an industry where cost savings and consolidation have been a profitable trend. They also offer a high </w:t>
      </w:r>
      <w:r w:rsidR="002A473C">
        <w:rPr>
          <w:rFonts w:ascii="Garamond" w:hAnsi="Garamond"/>
          <w:color w:val="000000"/>
          <w:sz w:val="20"/>
          <w:szCs w:val="22"/>
        </w:rPr>
        <w:t>dividend, which</w:t>
      </w:r>
      <w:r>
        <w:rPr>
          <w:rFonts w:ascii="Garamond" w:hAnsi="Garamond"/>
          <w:color w:val="000000"/>
          <w:sz w:val="20"/>
          <w:szCs w:val="22"/>
        </w:rPr>
        <w:t xml:space="preserve"> is attractive to us as investors. </w:t>
      </w:r>
    </w:p>
    <w:tbl>
      <w:tblPr>
        <w:tblStyle w:val="TableGrid"/>
        <w:tblW w:w="0" w:type="auto"/>
        <w:tblLook w:val="04A0" w:firstRow="1" w:lastRow="0" w:firstColumn="1" w:lastColumn="0" w:noHBand="0" w:noVBand="1"/>
      </w:tblPr>
      <w:tblGrid>
        <w:gridCol w:w="3145"/>
        <w:gridCol w:w="2299"/>
      </w:tblGrid>
      <w:tr w:rsidR="002A473C" w14:paraId="34D283A3" w14:textId="77777777" w:rsidTr="002A473C">
        <w:tc>
          <w:tcPr>
            <w:tcW w:w="3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D3DA81" w14:textId="69E02801" w:rsidR="002A473C" w:rsidRPr="002A473C" w:rsidRDefault="002A473C" w:rsidP="002A473C">
            <w:pPr>
              <w:rPr>
                <w:rFonts w:ascii="Garamond" w:hAnsi="Garamond"/>
                <w:b/>
                <w:sz w:val="22"/>
                <w:szCs w:val="22"/>
              </w:rPr>
            </w:pPr>
            <w:r w:rsidRPr="002A473C">
              <w:rPr>
                <w:rFonts w:ascii="Garamond" w:hAnsi="Garamond"/>
                <w:b/>
                <w:sz w:val="22"/>
                <w:szCs w:val="22"/>
              </w:rPr>
              <w:t>Valuation Assumptions</w:t>
            </w:r>
          </w:p>
        </w:tc>
        <w:tc>
          <w:tcPr>
            <w:tcW w:w="2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25277" w14:textId="623221B8" w:rsidR="002A473C" w:rsidRPr="002A473C" w:rsidRDefault="002A473C" w:rsidP="002A473C">
            <w:pPr>
              <w:rPr>
                <w:rFonts w:ascii="Garamond" w:hAnsi="Garamond"/>
                <w:b/>
                <w:sz w:val="22"/>
                <w:szCs w:val="22"/>
              </w:rPr>
            </w:pPr>
            <w:r w:rsidRPr="002A473C">
              <w:rPr>
                <w:rFonts w:ascii="Garamond" w:hAnsi="Garamond"/>
                <w:b/>
                <w:sz w:val="22"/>
                <w:szCs w:val="22"/>
              </w:rPr>
              <w:t>Key Financials</w:t>
            </w:r>
          </w:p>
        </w:tc>
      </w:tr>
      <w:tr w:rsidR="002A473C" w14:paraId="3FBDD58B" w14:textId="77777777" w:rsidTr="002A473C">
        <w:tc>
          <w:tcPr>
            <w:tcW w:w="31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E1A32" w14:textId="77777777" w:rsidR="002A473C" w:rsidRPr="002A473C" w:rsidRDefault="002A473C" w:rsidP="002A473C">
            <w:pPr>
              <w:rPr>
                <w:rFonts w:ascii="Garamond" w:hAnsi="Garamond"/>
                <w:color w:val="000000"/>
                <w:sz w:val="20"/>
                <w:szCs w:val="22"/>
              </w:rPr>
            </w:pPr>
            <w:r w:rsidRPr="002A473C">
              <w:rPr>
                <w:rFonts w:ascii="Garamond" w:hAnsi="Garamond"/>
                <w:color w:val="000000"/>
                <w:sz w:val="20"/>
                <w:szCs w:val="22"/>
              </w:rPr>
              <w:t>WACC: 7.75%</w:t>
            </w:r>
          </w:p>
          <w:p w14:paraId="61CFD2B1" w14:textId="77777777" w:rsidR="002A473C" w:rsidRPr="002A473C" w:rsidRDefault="002A473C" w:rsidP="002A473C">
            <w:pPr>
              <w:rPr>
                <w:rFonts w:ascii="Garamond" w:hAnsi="Garamond"/>
                <w:color w:val="000000"/>
                <w:sz w:val="20"/>
                <w:szCs w:val="22"/>
              </w:rPr>
            </w:pPr>
            <w:r w:rsidRPr="002A473C">
              <w:rPr>
                <w:rFonts w:ascii="Garamond" w:hAnsi="Garamond"/>
                <w:color w:val="000000"/>
                <w:sz w:val="20"/>
                <w:szCs w:val="22"/>
              </w:rPr>
              <w:t>Terminal FCF Growth Rate: 2.00%</w:t>
            </w:r>
          </w:p>
          <w:p w14:paraId="7CD2CB08" w14:textId="77777777" w:rsidR="002A473C" w:rsidRPr="002A473C" w:rsidRDefault="002A473C" w:rsidP="002A473C">
            <w:pPr>
              <w:rPr>
                <w:rFonts w:ascii="Garamond" w:hAnsi="Garamond"/>
                <w:color w:val="000000"/>
                <w:sz w:val="20"/>
                <w:szCs w:val="22"/>
              </w:rPr>
            </w:pPr>
            <w:r w:rsidRPr="002A473C">
              <w:rPr>
                <w:rFonts w:ascii="Garamond" w:hAnsi="Garamond"/>
                <w:color w:val="000000"/>
                <w:sz w:val="20"/>
                <w:szCs w:val="22"/>
              </w:rPr>
              <w:t>Estimated EPS (2018): $4.54</w:t>
            </w:r>
          </w:p>
          <w:p w14:paraId="0B10C6FB" w14:textId="45179256" w:rsidR="002A473C" w:rsidRPr="0002552B" w:rsidRDefault="002A473C" w:rsidP="002A473C">
            <w:pPr>
              <w:rPr>
                <w:rFonts w:ascii="Garamond" w:hAnsi="Garamond"/>
                <w:color w:val="000000"/>
                <w:sz w:val="20"/>
                <w:szCs w:val="22"/>
              </w:rPr>
            </w:pPr>
            <w:r>
              <w:rPr>
                <w:rFonts w:ascii="Garamond" w:hAnsi="Garamond"/>
                <w:color w:val="000000"/>
                <w:sz w:val="20"/>
                <w:szCs w:val="22"/>
              </w:rPr>
              <w:t>Ave. 10 year</w:t>
            </w:r>
            <w:r w:rsidRPr="002A473C">
              <w:rPr>
                <w:rFonts w:ascii="Garamond" w:hAnsi="Garamond"/>
                <w:color w:val="000000"/>
                <w:sz w:val="20"/>
                <w:szCs w:val="22"/>
              </w:rPr>
              <w:t xml:space="preserve"> Rev Growth Rate: 4.9%</w:t>
            </w:r>
          </w:p>
        </w:tc>
        <w:tc>
          <w:tcPr>
            <w:tcW w:w="229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07FA1B" w14:textId="77777777" w:rsidR="002A473C" w:rsidRPr="0002552B" w:rsidRDefault="002A473C" w:rsidP="002A473C">
            <w:pPr>
              <w:rPr>
                <w:rFonts w:ascii="Garamond" w:hAnsi="Garamond"/>
                <w:color w:val="000000"/>
                <w:sz w:val="20"/>
                <w:szCs w:val="22"/>
              </w:rPr>
            </w:pPr>
            <w:r w:rsidRPr="0002552B">
              <w:rPr>
                <w:rFonts w:ascii="Garamond" w:hAnsi="Garamond"/>
                <w:color w:val="000000"/>
                <w:sz w:val="20"/>
                <w:szCs w:val="22"/>
              </w:rPr>
              <w:t>ROA:</w:t>
            </w:r>
            <w:r w:rsidR="0002552B" w:rsidRPr="0002552B">
              <w:rPr>
                <w:rFonts w:ascii="Garamond" w:hAnsi="Garamond"/>
                <w:color w:val="000000"/>
                <w:sz w:val="20"/>
                <w:szCs w:val="22"/>
              </w:rPr>
              <w:t xml:space="preserve"> .63%</w:t>
            </w:r>
          </w:p>
          <w:p w14:paraId="46CA4AB6" w14:textId="745F5430" w:rsidR="0002552B" w:rsidRDefault="0002552B" w:rsidP="002A473C">
            <w:pPr>
              <w:rPr>
                <w:rFonts w:ascii="Garamond" w:hAnsi="Garamond"/>
                <w:color w:val="000000"/>
                <w:sz w:val="20"/>
                <w:szCs w:val="22"/>
              </w:rPr>
            </w:pPr>
            <w:r w:rsidRPr="0002552B">
              <w:rPr>
                <w:rFonts w:ascii="Garamond" w:hAnsi="Garamond"/>
                <w:color w:val="000000"/>
                <w:sz w:val="20"/>
                <w:szCs w:val="22"/>
              </w:rPr>
              <w:t>ROE: 2.19%</w:t>
            </w:r>
          </w:p>
          <w:p w14:paraId="082DA2B0" w14:textId="62AD14CC" w:rsidR="0002552B" w:rsidRPr="0002552B" w:rsidRDefault="0002552B" w:rsidP="002A473C">
            <w:pPr>
              <w:rPr>
                <w:rFonts w:ascii="Garamond" w:hAnsi="Garamond"/>
                <w:color w:val="000000"/>
                <w:sz w:val="20"/>
                <w:szCs w:val="22"/>
              </w:rPr>
            </w:pPr>
            <w:r>
              <w:rPr>
                <w:rFonts w:ascii="Garamond" w:hAnsi="Garamond"/>
                <w:color w:val="000000"/>
                <w:sz w:val="20"/>
                <w:szCs w:val="22"/>
              </w:rPr>
              <w:t>ROIC: 4.98%</w:t>
            </w:r>
          </w:p>
          <w:p w14:paraId="1DAE3898" w14:textId="71A1B11D" w:rsidR="0002552B" w:rsidRPr="0002552B" w:rsidRDefault="0002552B" w:rsidP="002A473C">
            <w:pPr>
              <w:rPr>
                <w:rFonts w:ascii="Garamond" w:hAnsi="Garamond"/>
                <w:color w:val="000000"/>
                <w:sz w:val="20"/>
                <w:szCs w:val="22"/>
              </w:rPr>
            </w:pPr>
            <w:r w:rsidRPr="0002552B">
              <w:rPr>
                <w:rFonts w:ascii="Garamond" w:hAnsi="Garamond"/>
                <w:color w:val="000000"/>
                <w:sz w:val="20"/>
                <w:szCs w:val="22"/>
              </w:rPr>
              <w:t>Net Income: $</w:t>
            </w:r>
            <w:r>
              <w:rPr>
                <w:rFonts w:ascii="Garamond" w:hAnsi="Garamond"/>
                <w:color w:val="000000"/>
                <w:sz w:val="20"/>
                <w:szCs w:val="22"/>
              </w:rPr>
              <w:t>8.27</w:t>
            </w:r>
            <w:r w:rsidRPr="0002552B">
              <w:rPr>
                <w:rFonts w:ascii="Garamond" w:hAnsi="Garamond"/>
                <w:color w:val="000000"/>
                <w:sz w:val="20"/>
                <w:szCs w:val="22"/>
              </w:rPr>
              <w:t>B</w:t>
            </w:r>
          </w:p>
        </w:tc>
      </w:tr>
    </w:tbl>
    <w:p w14:paraId="4EF6F154" w14:textId="1786E718" w:rsidR="003C6EAE" w:rsidRDefault="003C6EAE" w:rsidP="0001462B">
      <w:pPr>
        <w:rPr>
          <w:rFonts w:ascii="Garamond" w:hAnsi="Garamond"/>
          <w:b/>
          <w:sz w:val="22"/>
          <w:szCs w:val="22"/>
          <w:highlight w:val="yellow"/>
        </w:rPr>
      </w:pPr>
    </w:p>
    <w:p w14:paraId="42FD9E8B" w14:textId="77777777" w:rsidR="0001462B" w:rsidRPr="0002552B" w:rsidRDefault="0001462B" w:rsidP="0001462B">
      <w:pPr>
        <w:rPr>
          <w:rFonts w:ascii="Garamond" w:hAnsi="Garamond"/>
          <w:b/>
          <w:sz w:val="22"/>
          <w:szCs w:val="22"/>
        </w:rPr>
      </w:pPr>
      <w:r w:rsidRPr="0002552B">
        <w:rPr>
          <w:rFonts w:ascii="Garamond" w:hAnsi="Garamond"/>
          <w:b/>
          <w:sz w:val="22"/>
          <w:szCs w:val="22"/>
        </w:rPr>
        <w:t>Corporate Social Responsibility</w:t>
      </w:r>
    </w:p>
    <w:p w14:paraId="2D70A209" w14:textId="1BA54F81" w:rsidR="00421A6B" w:rsidRPr="0002552B" w:rsidRDefault="00421A6B" w:rsidP="007B6BCD">
      <w:pPr>
        <w:rPr>
          <w:rFonts w:ascii="Garamond" w:hAnsi="Garamond"/>
          <w:sz w:val="18"/>
          <w:szCs w:val="18"/>
        </w:rPr>
      </w:pPr>
      <w:r w:rsidRPr="0002552B">
        <w:rPr>
          <w:rFonts w:ascii="Garamond" w:hAnsi="Garamond"/>
          <w:sz w:val="18"/>
          <w:szCs w:val="18"/>
        </w:rPr>
        <w:t>Independent Chairperson: 1.00, Yes (Industry Average: 0.25)</w:t>
      </w:r>
    </w:p>
    <w:p w14:paraId="28F3832C" w14:textId="68E8FB44" w:rsidR="0002552B" w:rsidRPr="0002552B" w:rsidRDefault="0002552B" w:rsidP="007B6BCD">
      <w:pPr>
        <w:rPr>
          <w:rFonts w:ascii="Garamond" w:hAnsi="Garamond"/>
          <w:sz w:val="18"/>
          <w:szCs w:val="18"/>
        </w:rPr>
      </w:pPr>
      <w:proofErr w:type="spellStart"/>
      <w:r w:rsidRPr="0002552B">
        <w:rPr>
          <w:rFonts w:ascii="Garamond" w:hAnsi="Garamond"/>
          <w:sz w:val="18"/>
          <w:szCs w:val="18"/>
        </w:rPr>
        <w:t>Sustainalytics</w:t>
      </w:r>
      <w:proofErr w:type="spellEnd"/>
      <w:r w:rsidRPr="0002552B">
        <w:rPr>
          <w:rFonts w:ascii="Garamond" w:hAnsi="Garamond"/>
          <w:sz w:val="18"/>
          <w:szCs w:val="18"/>
        </w:rPr>
        <w:t xml:space="preserve"> Rank: 79 (100 is best)</w:t>
      </w:r>
    </w:p>
    <w:p w14:paraId="2F7B37FE" w14:textId="50722010" w:rsidR="0002552B" w:rsidRDefault="0002552B" w:rsidP="007B6BCD">
      <w:pPr>
        <w:rPr>
          <w:rFonts w:ascii="Garamond" w:hAnsi="Garamond"/>
          <w:sz w:val="18"/>
          <w:szCs w:val="18"/>
        </w:rPr>
      </w:pPr>
      <w:r w:rsidRPr="0002552B">
        <w:rPr>
          <w:rFonts w:ascii="Garamond" w:hAnsi="Garamond"/>
          <w:sz w:val="18"/>
          <w:szCs w:val="18"/>
        </w:rPr>
        <w:t>Social Disclosure Score: 63.16 (100 is best)</w:t>
      </w:r>
    </w:p>
    <w:p w14:paraId="5A08939D" w14:textId="3FB942FA" w:rsidR="003C6EAE" w:rsidRDefault="003C6EAE" w:rsidP="007B6BCD">
      <w:pPr>
        <w:rPr>
          <w:rFonts w:ascii="Garamond" w:hAnsi="Garamond"/>
          <w:sz w:val="18"/>
          <w:szCs w:val="18"/>
        </w:rPr>
      </w:pPr>
      <w:r>
        <w:rPr>
          <w:rFonts w:ascii="Garamond" w:hAnsi="Garamond"/>
          <w:sz w:val="18"/>
          <w:szCs w:val="18"/>
        </w:rPr>
        <w:t>BUD is engaged in a Better World platform, which aligns their env</w:t>
      </w:r>
      <w:r w:rsidR="002A473C">
        <w:rPr>
          <w:rFonts w:ascii="Garamond" w:hAnsi="Garamond"/>
          <w:sz w:val="18"/>
          <w:szCs w:val="18"/>
        </w:rPr>
        <w:t>ironmental, social and c</w:t>
      </w:r>
      <w:r>
        <w:rPr>
          <w:rFonts w:ascii="Garamond" w:hAnsi="Garamond"/>
          <w:sz w:val="18"/>
          <w:szCs w:val="18"/>
        </w:rPr>
        <w:t xml:space="preserve">ommunity efforts around three core principles; </w:t>
      </w:r>
      <w:proofErr w:type="gramStart"/>
      <w:r>
        <w:rPr>
          <w:rFonts w:ascii="Garamond" w:hAnsi="Garamond"/>
          <w:sz w:val="18"/>
          <w:szCs w:val="18"/>
        </w:rPr>
        <w:t>A</w:t>
      </w:r>
      <w:proofErr w:type="gramEnd"/>
      <w:r>
        <w:rPr>
          <w:rFonts w:ascii="Garamond" w:hAnsi="Garamond"/>
          <w:sz w:val="18"/>
          <w:szCs w:val="18"/>
        </w:rPr>
        <w:t xml:space="preserve"> growing world, A cleaner world, A healthier world. </w:t>
      </w:r>
    </w:p>
    <w:p w14:paraId="0E0D8C4E" w14:textId="1FD9FB3C" w:rsidR="003C6EAE" w:rsidRPr="00AF4347" w:rsidRDefault="003C6EAE" w:rsidP="007B6BCD">
      <w:pPr>
        <w:rPr>
          <w:rFonts w:ascii="Garamond" w:hAnsi="Garamond"/>
          <w:sz w:val="18"/>
          <w:szCs w:val="18"/>
        </w:rPr>
      </w:pPr>
      <w:r>
        <w:rPr>
          <w:rFonts w:ascii="Garamond" w:hAnsi="Garamond"/>
          <w:sz w:val="18"/>
          <w:szCs w:val="18"/>
        </w:rPr>
        <w:t xml:space="preserve">Key highlights of 2016: The 4e program helped 20,000 shopkeepers in six countries develop skills needed to improve business sustainability. </w:t>
      </w:r>
      <w:proofErr w:type="spellStart"/>
      <w:r>
        <w:rPr>
          <w:rFonts w:ascii="Garamond" w:hAnsi="Garamond"/>
          <w:sz w:val="18"/>
          <w:szCs w:val="18"/>
        </w:rPr>
        <w:t>SmartBarley</w:t>
      </w:r>
      <w:proofErr w:type="spellEnd"/>
      <w:r>
        <w:rPr>
          <w:rFonts w:ascii="Garamond" w:hAnsi="Garamond"/>
          <w:sz w:val="18"/>
          <w:szCs w:val="18"/>
        </w:rPr>
        <w:t xml:space="preserve"> program works with 3,200 growers in nine countries to cultivate the highest quality barley with best yields and lowest cost. </w:t>
      </w:r>
      <w:proofErr w:type="spellStart"/>
      <w:r>
        <w:rPr>
          <w:rFonts w:ascii="Garamond" w:hAnsi="Garamond"/>
          <w:sz w:val="18"/>
          <w:szCs w:val="18"/>
        </w:rPr>
        <w:t>Steela</w:t>
      </w:r>
      <w:proofErr w:type="spellEnd"/>
      <w:r>
        <w:rPr>
          <w:rFonts w:ascii="Garamond" w:hAnsi="Garamond"/>
          <w:sz w:val="18"/>
          <w:szCs w:val="18"/>
        </w:rPr>
        <w:t xml:space="preserve"> Artois’ Buy a Lady a Drink program with Water.org aims to tackle the global water crisis and has helped provide clean water to more than 800,000 people in the developing world. </w:t>
      </w:r>
    </w:p>
    <w:p w14:paraId="54708CDB" w14:textId="1BC5A66A" w:rsidR="007B6BCD" w:rsidRPr="00AF4347" w:rsidRDefault="007B6BCD" w:rsidP="007B6BCD">
      <w:pPr>
        <w:rPr>
          <w:rFonts w:ascii="Garamond" w:hAnsi="Garamond"/>
          <w:b/>
        </w:rPr>
      </w:pPr>
      <w:r w:rsidRPr="003C6EAE">
        <w:rPr>
          <w:rFonts w:ascii="Garamond" w:hAnsi="Garamond"/>
          <w:b/>
        </w:rPr>
        <w:t>5-Year Stock Performance</w:t>
      </w:r>
    </w:p>
    <w:p w14:paraId="3ECFDF69" w14:textId="77777777" w:rsidR="0002552B" w:rsidRPr="0002552B" w:rsidRDefault="0002552B" w:rsidP="0002552B">
      <w:pPr>
        <w:spacing w:after="120"/>
        <w:rPr>
          <w:rFonts w:ascii="Garamond" w:eastAsia="Times New Roman" w:hAnsi="Garamond" w:cs="Times New Roman"/>
          <w:noProof/>
          <w:sz w:val="2"/>
          <w:szCs w:val="20"/>
        </w:rPr>
      </w:pPr>
      <w:r>
        <w:rPr>
          <w:noProof/>
        </w:rPr>
        <w:drawing>
          <wp:anchor distT="0" distB="0" distL="114300" distR="114300" simplePos="0" relativeHeight="251660288" behindDoc="0" locked="0" layoutInCell="1" allowOverlap="1" wp14:anchorId="29075345" wp14:editId="184D5315">
            <wp:simplePos x="0" y="0"/>
            <wp:positionH relativeFrom="column">
              <wp:align>left</wp:align>
            </wp:positionH>
            <wp:positionV relativeFrom="paragraph">
              <wp:posOffset>11430</wp:posOffset>
            </wp:positionV>
            <wp:extent cx="2895600" cy="1297159"/>
            <wp:effectExtent l="0" t="0" r="0" b="0"/>
            <wp:wrapTopAndBottom/>
            <wp:docPr id="2" name="Picture 2" descr="https://lh4.googleusercontent.com/nVRkmmtw468o98XBVmTGlUPb-a-kIRf2H41TPpr6-s4U_QtlAOjBie0xFtoEyAKMDHXjegefQnDy8sYp3IoXySbxK76xh40gDp9dZ7O56MHzqcpdBPMN20u0way2_v432WmaDQ0Yn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VRkmmtw468o98XBVmTGlUPb-a-kIRf2H41TPpr6-s4U_QtlAOjBie0xFtoEyAKMDHXjegefQnDy8sYp3IoXySbxK76xh40gDp9dZ7O56MHzqcpdBPMN20u0way2_v432WmaDQ0YnpA"/>
                    <pic:cNvPicPr>
                      <a:picLocks noChangeAspect="1" noChangeArrowheads="1"/>
                    </pic:cNvPicPr>
                  </pic:nvPicPr>
                  <pic:blipFill rotWithShape="1">
                    <a:blip r:embed="rId13">
                      <a:extLst>
                        <a:ext uri="{28A0092B-C50C-407E-A947-70E740481C1C}">
                          <a14:useLocalDpi xmlns:a14="http://schemas.microsoft.com/office/drawing/2010/main" val="0"/>
                        </a:ext>
                      </a:extLst>
                    </a:blip>
                    <a:srcRect b="27302"/>
                    <a:stretch/>
                  </pic:blipFill>
                  <pic:spPr bwMode="auto">
                    <a:xfrm>
                      <a:off x="0" y="0"/>
                      <a:ext cx="2895600" cy="129715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21A6B" w:rsidRPr="00AF4347">
        <w:rPr>
          <w:rFonts w:ascii="Garamond" w:eastAsia="Times New Roman" w:hAnsi="Garamond" w:cs="Times New Roman"/>
          <w:noProof/>
          <w:sz w:val="20"/>
          <w:szCs w:val="20"/>
        </w:rPr>
        <w:t xml:space="preserve"> </w:t>
      </w:r>
    </w:p>
    <w:p w14:paraId="63A67BA3" w14:textId="32F0112E" w:rsidR="00B02926" w:rsidRPr="0002552B" w:rsidRDefault="003F701A" w:rsidP="0002552B">
      <w:pPr>
        <w:spacing w:after="120"/>
        <w:rPr>
          <w:rFonts w:ascii="Garamond" w:eastAsia="Times New Roman" w:hAnsi="Garamond" w:cs="Times New Roman"/>
          <w:noProof/>
          <w:sz w:val="20"/>
          <w:szCs w:val="20"/>
        </w:rPr>
      </w:pPr>
      <w:r>
        <w:rPr>
          <w:rFonts w:ascii="Garamond" w:hAnsi="Garamond"/>
          <w:b/>
          <w:sz w:val="22"/>
          <w:szCs w:val="22"/>
        </w:rPr>
        <w:t>Co</w:t>
      </w:r>
      <w:r w:rsidR="007B6BCD" w:rsidRPr="00AF4347">
        <w:rPr>
          <w:rFonts w:ascii="Garamond" w:hAnsi="Garamond"/>
          <w:b/>
          <w:sz w:val="22"/>
          <w:szCs w:val="22"/>
        </w:rPr>
        <w:t>mpetitive Analysis</w:t>
      </w:r>
    </w:p>
    <w:p w14:paraId="559E270B" w14:textId="2BA5B8C1" w:rsidR="003F701A" w:rsidRPr="00AF4347" w:rsidRDefault="003F701A" w:rsidP="0002552B">
      <w:pPr>
        <w:spacing w:after="120"/>
        <w:rPr>
          <w:rFonts w:ascii="Garamond" w:hAnsi="Garamond"/>
          <w:color w:val="000000"/>
          <w:sz w:val="20"/>
          <w:szCs w:val="22"/>
        </w:rPr>
      </w:pPr>
      <w:r>
        <w:rPr>
          <w:rFonts w:ascii="Garamond" w:hAnsi="Garamond"/>
          <w:color w:val="000000"/>
          <w:sz w:val="20"/>
          <w:szCs w:val="22"/>
        </w:rPr>
        <w:t xml:space="preserve">AB </w:t>
      </w:r>
      <w:proofErr w:type="spellStart"/>
      <w:r>
        <w:rPr>
          <w:rFonts w:ascii="Garamond" w:hAnsi="Garamond"/>
          <w:color w:val="000000"/>
          <w:sz w:val="20"/>
          <w:szCs w:val="22"/>
        </w:rPr>
        <w:t>InBev’s</w:t>
      </w:r>
      <w:proofErr w:type="spellEnd"/>
      <w:r>
        <w:rPr>
          <w:rFonts w:ascii="Garamond" w:hAnsi="Garamond"/>
          <w:color w:val="000000"/>
          <w:sz w:val="20"/>
          <w:szCs w:val="22"/>
        </w:rPr>
        <w:t xml:space="preserve"> largest </w:t>
      </w:r>
      <w:r w:rsidR="000E6255">
        <w:rPr>
          <w:rFonts w:ascii="Garamond" w:hAnsi="Garamond"/>
          <w:color w:val="000000"/>
          <w:sz w:val="20"/>
          <w:szCs w:val="22"/>
        </w:rPr>
        <w:t>competitors</w:t>
      </w:r>
      <w:r>
        <w:rPr>
          <w:rFonts w:ascii="Garamond" w:hAnsi="Garamond"/>
          <w:color w:val="000000"/>
          <w:sz w:val="20"/>
          <w:szCs w:val="22"/>
        </w:rPr>
        <w:t xml:space="preserve"> are Heineken, Carlsberg, Tsingtao Group and Molson Coors Brewing Company. The industry itself only has a few players with a substantial international presence, which BUD has. Larger brewing companies often became an international name through direct exports, licensing agreements and joint venture agreements. The last few decades there has been increased consolidation within both developed and developing markets. AB InBev has participated in this through their various acquisitions over the years including Beck’s in 2002, merger with </w:t>
      </w:r>
      <w:proofErr w:type="spellStart"/>
      <w:r>
        <w:rPr>
          <w:rFonts w:ascii="Garamond" w:hAnsi="Garamond"/>
          <w:color w:val="000000"/>
          <w:sz w:val="20"/>
          <w:szCs w:val="22"/>
        </w:rPr>
        <w:t>Grupo</w:t>
      </w:r>
      <w:proofErr w:type="spellEnd"/>
      <w:r>
        <w:rPr>
          <w:rFonts w:ascii="Garamond" w:hAnsi="Garamond"/>
          <w:color w:val="000000"/>
          <w:sz w:val="20"/>
          <w:szCs w:val="22"/>
        </w:rPr>
        <w:t xml:space="preserve"> Model in 2013, and most recently SABMiller in 2016. These international companies must also compete with national, regional local and imported beer brands. As having the number one beer brand under their organization, AB InBev is one of the most recognizable brands in the world and has benefitted from this recognition to remain number one in three of the five biggest beer markets, as well as a top player in key developing markets as well. </w:t>
      </w:r>
    </w:p>
    <w:p w14:paraId="33F9E8C0" w14:textId="77777777" w:rsidR="007B6BCD" w:rsidRPr="00AF4347" w:rsidRDefault="007B6BCD" w:rsidP="003C6EAE">
      <w:pPr>
        <w:rPr>
          <w:rFonts w:ascii="Garamond" w:eastAsia="Times New Roman" w:hAnsi="Garamond" w:cs="Arial"/>
          <w:b/>
          <w:color w:val="000000"/>
          <w:sz w:val="22"/>
          <w:szCs w:val="22"/>
        </w:rPr>
      </w:pPr>
      <w:r w:rsidRPr="00AF4347">
        <w:rPr>
          <w:rFonts w:ascii="Garamond" w:eastAsia="Times New Roman" w:hAnsi="Garamond" w:cs="Arial"/>
          <w:b/>
          <w:color w:val="000000"/>
          <w:sz w:val="22"/>
          <w:szCs w:val="22"/>
        </w:rPr>
        <w:t>Competitive Advantages</w:t>
      </w:r>
    </w:p>
    <w:p w14:paraId="452231FB" w14:textId="1BC3EB07" w:rsidR="003F701A" w:rsidRDefault="003F701A" w:rsidP="007B6BCD">
      <w:pPr>
        <w:rPr>
          <w:rFonts w:ascii="Garamond" w:eastAsia="Times New Roman" w:hAnsi="Garamond" w:cs="Times New Roman"/>
          <w:color w:val="000000"/>
          <w:sz w:val="20"/>
          <w:szCs w:val="20"/>
        </w:rPr>
      </w:pPr>
      <w:r>
        <w:rPr>
          <w:rFonts w:ascii="Garamond" w:eastAsia="Times New Roman" w:hAnsi="Garamond" w:cs="Times New Roman"/>
          <w:color w:val="000000"/>
          <w:sz w:val="20"/>
          <w:szCs w:val="20"/>
        </w:rPr>
        <w:t xml:space="preserve">Anheuser-Busch’s company strategy is that of a global platform with strong market position in key markets. They are the #1 beer company by volume in the United States, Mexico and Brazil, which are three of the five most profitable beer markets in the world. They are also the #1 by volume in the fast-growing premium beer category in China. The company is also well diversified. 47.2% of their revenue comes from developed markets and 52.8% comes from developing markets such as Argentina, Brazil, China, South Africa where they continue to grow and gain market share. The company also benefits from a strong and recognizable brand portfolio. Through cost efficiency programs, Anheuser-Busch has been cost savings and more efficient operations. In addition, they have an experienced management team that have a </w:t>
      </w:r>
      <w:r w:rsidR="0083733F">
        <w:rPr>
          <w:rFonts w:ascii="Garamond" w:eastAsia="Times New Roman" w:hAnsi="Garamond" w:cs="Times New Roman"/>
          <w:color w:val="000000"/>
          <w:sz w:val="20"/>
          <w:szCs w:val="20"/>
        </w:rPr>
        <w:t>record of accomplishment</w:t>
      </w:r>
      <w:r>
        <w:rPr>
          <w:rFonts w:ascii="Garamond" w:eastAsia="Times New Roman" w:hAnsi="Garamond" w:cs="Times New Roman"/>
          <w:color w:val="000000"/>
          <w:sz w:val="20"/>
          <w:szCs w:val="20"/>
        </w:rPr>
        <w:t xml:space="preserve"> of delivering synergies through business combina</w:t>
      </w:r>
      <w:r w:rsidR="00296F34">
        <w:rPr>
          <w:rFonts w:ascii="Garamond" w:eastAsia="Times New Roman" w:hAnsi="Garamond" w:cs="Times New Roman"/>
          <w:color w:val="000000"/>
          <w:sz w:val="20"/>
          <w:szCs w:val="20"/>
        </w:rPr>
        <w:t>tions, which is important in a consolidating</w:t>
      </w:r>
      <w:r>
        <w:rPr>
          <w:rFonts w:ascii="Garamond" w:eastAsia="Times New Roman" w:hAnsi="Garamond" w:cs="Times New Roman"/>
          <w:color w:val="000000"/>
          <w:sz w:val="20"/>
          <w:szCs w:val="20"/>
        </w:rPr>
        <w:t xml:space="preserve"> </w:t>
      </w:r>
      <w:r w:rsidR="00296F34">
        <w:rPr>
          <w:rFonts w:ascii="Garamond" w:eastAsia="Times New Roman" w:hAnsi="Garamond" w:cs="Times New Roman"/>
          <w:color w:val="000000"/>
          <w:sz w:val="20"/>
          <w:szCs w:val="20"/>
        </w:rPr>
        <w:t>industry.</w:t>
      </w:r>
    </w:p>
    <w:p w14:paraId="7E169680" w14:textId="741FA31C" w:rsidR="007B6BCD" w:rsidRDefault="007B6BCD" w:rsidP="007B6BCD">
      <w:pPr>
        <w:rPr>
          <w:rFonts w:ascii="Garamond" w:hAnsi="Garamond"/>
          <w:b/>
          <w:sz w:val="22"/>
          <w:szCs w:val="22"/>
        </w:rPr>
      </w:pPr>
      <w:r w:rsidRPr="00AF4347">
        <w:rPr>
          <w:rFonts w:ascii="Garamond" w:hAnsi="Garamond"/>
          <w:b/>
          <w:sz w:val="22"/>
          <w:szCs w:val="22"/>
        </w:rPr>
        <w:t>Risks</w:t>
      </w:r>
    </w:p>
    <w:p w14:paraId="19396BD2" w14:textId="3B37898D" w:rsidR="00AF4347" w:rsidRDefault="003C6EAE" w:rsidP="0001462B">
      <w:pPr>
        <w:rPr>
          <w:rFonts w:ascii="Garamond" w:hAnsi="Garamond"/>
          <w:b/>
          <w:sz w:val="20"/>
          <w:szCs w:val="20"/>
        </w:rPr>
      </w:pPr>
      <w:r>
        <w:rPr>
          <w:rFonts w:ascii="Garamond" w:hAnsi="Garamond"/>
          <w:sz w:val="20"/>
          <w:szCs w:val="20"/>
        </w:rPr>
        <w:t xml:space="preserve">As a global company, BUD is subject to any global market downturns, as well as any fluctuations in exchange rates. Due to the reliance on raw materials for their production process, they are subject to changes in price and the availability of these as well. Changing consumer </w:t>
      </w:r>
      <w:r w:rsidR="00C17C99">
        <w:rPr>
          <w:rFonts w:ascii="Garamond" w:hAnsi="Garamond"/>
          <w:sz w:val="20"/>
          <w:szCs w:val="20"/>
        </w:rPr>
        <w:t>preferences</w:t>
      </w:r>
      <w:r>
        <w:rPr>
          <w:rFonts w:ascii="Garamond" w:hAnsi="Garamond"/>
          <w:sz w:val="20"/>
          <w:szCs w:val="20"/>
        </w:rPr>
        <w:t xml:space="preserve"> could also impact the company. As a beer company, reputation and image is important to maintain. Also, there is a risk that the company is unable to capitalize on all or some of the synergies that are expected under the SABMiller settlement agreement.</w:t>
      </w:r>
    </w:p>
    <w:p w14:paraId="38522BA5" w14:textId="05A5C2CE" w:rsidR="0001462B" w:rsidRPr="00AF4347" w:rsidRDefault="0001462B" w:rsidP="0001462B">
      <w:pPr>
        <w:rPr>
          <w:rFonts w:ascii="Garamond" w:hAnsi="Garamond"/>
          <w:b/>
          <w:sz w:val="20"/>
          <w:szCs w:val="20"/>
        </w:rPr>
      </w:pPr>
      <w:r w:rsidRPr="00AF4347">
        <w:rPr>
          <w:rFonts w:ascii="Garamond" w:hAnsi="Garamond"/>
          <w:b/>
          <w:sz w:val="20"/>
          <w:szCs w:val="20"/>
        </w:rPr>
        <w:t>Report Prepared By:</w:t>
      </w:r>
    </w:p>
    <w:p w14:paraId="45E8E86F" w14:textId="046E02CA" w:rsidR="00421A6B" w:rsidRPr="00AF4347" w:rsidRDefault="003C6EAE" w:rsidP="00421A6B">
      <w:pPr>
        <w:rPr>
          <w:rFonts w:ascii="Garamond" w:eastAsia="Times New Roman" w:hAnsi="Garamond" w:cs="Arial"/>
          <w:color w:val="000000"/>
          <w:sz w:val="18"/>
          <w:szCs w:val="18"/>
        </w:rPr>
      </w:pPr>
      <w:r>
        <w:rPr>
          <w:rFonts w:ascii="Garamond" w:hAnsi="Garamond"/>
          <w:sz w:val="20"/>
          <w:szCs w:val="20"/>
        </w:rPr>
        <w:t xml:space="preserve">Rob Tavernier, Sean Elliott and </w:t>
      </w:r>
      <w:r w:rsidR="00C83842" w:rsidRPr="00AF4347">
        <w:rPr>
          <w:rFonts w:ascii="Garamond" w:hAnsi="Garamond"/>
          <w:sz w:val="20"/>
          <w:szCs w:val="20"/>
        </w:rPr>
        <w:t>Taylor VanFleet</w:t>
      </w:r>
      <w:r w:rsidR="0001462B" w:rsidRPr="00AF4347">
        <w:rPr>
          <w:rFonts w:ascii="Garamond" w:hAnsi="Garamond"/>
          <w:sz w:val="20"/>
          <w:szCs w:val="20"/>
        </w:rPr>
        <w:t xml:space="preserve"> on </w:t>
      </w:r>
      <w:r>
        <w:rPr>
          <w:rFonts w:ascii="Garamond" w:hAnsi="Garamond"/>
          <w:sz w:val="20"/>
          <w:szCs w:val="20"/>
        </w:rPr>
        <w:t>4/5</w:t>
      </w:r>
      <w:r w:rsidR="00C83842" w:rsidRPr="00AF4347">
        <w:rPr>
          <w:rFonts w:ascii="Garamond" w:hAnsi="Garamond"/>
          <w:sz w:val="20"/>
          <w:szCs w:val="20"/>
        </w:rPr>
        <w:t>/2017</w:t>
      </w:r>
    </w:p>
    <w:p w14:paraId="40B69A81" w14:textId="1E1BAE74" w:rsidR="0001462B" w:rsidRPr="00AF4347" w:rsidRDefault="0001462B" w:rsidP="00421A6B">
      <w:pPr>
        <w:rPr>
          <w:rFonts w:ascii="Garamond" w:eastAsia="Times New Roman" w:hAnsi="Garamond" w:cs="Arial"/>
          <w:color w:val="000000"/>
          <w:sz w:val="18"/>
          <w:szCs w:val="18"/>
        </w:rPr>
      </w:pPr>
      <w:r w:rsidRPr="00AF4347">
        <w:rPr>
          <w:rFonts w:ascii="Garamond" w:hAnsi="Garamond"/>
          <w:sz w:val="14"/>
          <w:szCs w:val="14"/>
        </w:rPr>
        <w:t>Sources: Bloomberg, Yahoo! Finance</w:t>
      </w:r>
      <w:r w:rsidR="00C83842" w:rsidRPr="00AF4347">
        <w:rPr>
          <w:rFonts w:ascii="Garamond" w:hAnsi="Garamond"/>
          <w:sz w:val="14"/>
          <w:szCs w:val="14"/>
        </w:rPr>
        <w:t>, 2016</w:t>
      </w:r>
      <w:r w:rsidR="00A86601" w:rsidRPr="00AF4347">
        <w:rPr>
          <w:rFonts w:ascii="Garamond" w:hAnsi="Garamond"/>
          <w:sz w:val="14"/>
          <w:szCs w:val="14"/>
        </w:rPr>
        <w:t>-</w:t>
      </w:r>
      <w:r w:rsidR="00C83842" w:rsidRPr="00AF4347">
        <w:rPr>
          <w:rFonts w:ascii="Garamond" w:hAnsi="Garamond"/>
          <w:sz w:val="14"/>
          <w:szCs w:val="14"/>
        </w:rPr>
        <w:t xml:space="preserve"> 2017</w:t>
      </w:r>
      <w:r w:rsidR="005F44B2" w:rsidRPr="00AF4347">
        <w:rPr>
          <w:rFonts w:ascii="Garamond" w:hAnsi="Garamond"/>
          <w:sz w:val="14"/>
          <w:szCs w:val="14"/>
        </w:rPr>
        <w:t xml:space="preserve"> </w:t>
      </w:r>
      <w:r w:rsidR="003C6EAE">
        <w:rPr>
          <w:rFonts w:ascii="Garamond" w:hAnsi="Garamond"/>
          <w:sz w:val="14"/>
          <w:szCs w:val="14"/>
        </w:rPr>
        <w:t>BUD</w:t>
      </w:r>
      <w:r w:rsidR="005F44B2" w:rsidRPr="00AF4347">
        <w:rPr>
          <w:rFonts w:ascii="Garamond" w:hAnsi="Garamond"/>
          <w:sz w:val="14"/>
          <w:szCs w:val="14"/>
        </w:rPr>
        <w:t xml:space="preserve"> Annual Report</w:t>
      </w:r>
      <w:r w:rsidR="00A86601" w:rsidRPr="00AF4347">
        <w:rPr>
          <w:rFonts w:ascii="Garamond" w:hAnsi="Garamond"/>
          <w:sz w:val="14"/>
          <w:szCs w:val="14"/>
        </w:rPr>
        <w:t>s</w:t>
      </w:r>
      <w:r w:rsidR="00346168" w:rsidRPr="00AF4347">
        <w:rPr>
          <w:rFonts w:ascii="Garamond" w:hAnsi="Garamond"/>
          <w:sz w:val="14"/>
          <w:szCs w:val="14"/>
        </w:rPr>
        <w:t>, Value Line</w:t>
      </w:r>
      <w:r w:rsidR="003C6EAE">
        <w:rPr>
          <w:rFonts w:ascii="Garamond" w:hAnsi="Garamond"/>
          <w:sz w:val="14"/>
          <w:szCs w:val="14"/>
        </w:rPr>
        <w:t>, IBIS</w:t>
      </w:r>
    </w:p>
    <w:sectPr w:rsidR="0001462B" w:rsidRPr="00AF4347" w:rsidSect="00346168">
      <w:type w:val="continuous"/>
      <w:pgSz w:w="12240" w:h="15840"/>
      <w:pgMar w:top="1350" w:right="576" w:bottom="648" w:left="576"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FD83F9" w14:textId="77777777" w:rsidR="00752E00" w:rsidRDefault="00752E00" w:rsidP="00B36B24">
      <w:r>
        <w:separator/>
      </w:r>
    </w:p>
  </w:endnote>
  <w:endnote w:type="continuationSeparator" w:id="0">
    <w:p w14:paraId="6B276620" w14:textId="77777777" w:rsidR="00752E00" w:rsidRDefault="00752E00" w:rsidP="00B36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9F3C" w14:textId="6DCF31CE" w:rsidR="00907FFD" w:rsidRPr="00907FFD" w:rsidRDefault="00907FFD" w:rsidP="0001462B">
    <w:pPr>
      <w:rPr>
        <w:sz w:val="20"/>
        <w:szCs w:val="20"/>
      </w:rPr>
    </w:pPr>
    <w:r>
      <w:rPr>
        <w:noProof/>
      </w:rPr>
      <w:drawing>
        <wp:anchor distT="0" distB="0" distL="114300" distR="114300" simplePos="0" relativeHeight="251656192" behindDoc="0" locked="0" layoutInCell="1" allowOverlap="1" wp14:anchorId="3D1F118A" wp14:editId="2DB777B9">
          <wp:simplePos x="0" y="0"/>
          <wp:positionH relativeFrom="column">
            <wp:posOffset>5814060</wp:posOffset>
          </wp:positionH>
          <wp:positionV relativeFrom="paragraph">
            <wp:posOffset>-48895</wp:posOffset>
          </wp:positionV>
          <wp:extent cx="800100" cy="570865"/>
          <wp:effectExtent l="0" t="0" r="12700" b="0"/>
          <wp:wrapThrough wrapText="bothSides">
            <wp:wrapPolygon edited="0">
              <wp:start x="0" y="0"/>
              <wp:lineTo x="0" y="20182"/>
              <wp:lineTo x="21257" y="20182"/>
              <wp:lineTo x="2125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 Logo.jpg"/>
                  <pic:cNvPicPr/>
                </pic:nvPicPr>
                <pic:blipFill>
                  <a:blip r:embed="rId1">
                    <a:extLst>
                      <a:ext uri="{28A0092B-C50C-407E-A947-70E740481C1C}">
                        <a14:useLocalDpi xmlns:a14="http://schemas.microsoft.com/office/drawing/2010/main" val="0"/>
                      </a:ext>
                    </a:extLst>
                  </a:blip>
                  <a:stretch>
                    <a:fillRect/>
                  </a:stretch>
                </pic:blipFill>
                <pic:spPr>
                  <a:xfrm>
                    <a:off x="0" y="0"/>
                    <a:ext cx="800100" cy="570865"/>
                  </a:xfrm>
                  <a:prstGeom prst="rect">
                    <a:avLst/>
                  </a:prstGeom>
                </pic:spPr>
              </pic:pic>
            </a:graphicData>
          </a:graphic>
          <wp14:sizeRelH relativeFrom="page">
            <wp14:pctWidth>0</wp14:pctWidth>
          </wp14:sizeRelH>
          <wp14:sizeRelV relativeFrom="page">
            <wp14:pctHeight>0</wp14:pctHeight>
          </wp14:sizeRelV>
        </wp:anchor>
      </w:drawing>
    </w:r>
  </w:p>
  <w:p w14:paraId="481FA85F" w14:textId="496A6263" w:rsidR="00106FB6" w:rsidRDefault="00106F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3D323" w14:textId="77777777" w:rsidR="00752E00" w:rsidRDefault="00752E00" w:rsidP="00B36B24">
      <w:r>
        <w:separator/>
      </w:r>
    </w:p>
  </w:footnote>
  <w:footnote w:type="continuationSeparator" w:id="0">
    <w:p w14:paraId="65F7795C" w14:textId="77777777" w:rsidR="00752E00" w:rsidRDefault="00752E00" w:rsidP="00B36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391BC" w14:textId="77777777" w:rsidR="00106FB6" w:rsidRDefault="00F665C7">
    <w:pPr>
      <w:pStyle w:val="Header"/>
    </w:pPr>
    <w:r>
      <w:rPr>
        <w:noProof/>
      </w:rPr>
      <w:pict w14:anchorId="62570B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228.5pt;height:228.5pt;z-index:-251658240;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209F0" w14:textId="0A71C25E" w:rsidR="00106FB6" w:rsidRPr="00FF572C" w:rsidRDefault="00F665C7">
    <w:pPr>
      <w:pStyle w:val="Header"/>
      <w:rPr>
        <w:rFonts w:ascii="Garamond" w:hAnsi="Garamond"/>
        <w:b/>
        <w:sz w:val="32"/>
        <w:szCs w:val="32"/>
      </w:rPr>
    </w:pPr>
    <w:r>
      <w:rPr>
        <w:rFonts w:ascii="Garamond" w:hAnsi="Garamond"/>
        <w:b/>
        <w:noProof/>
        <w:sz w:val="32"/>
        <w:szCs w:val="32"/>
      </w:rPr>
      <w:pict w14:anchorId="4066A6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228.5pt;height:228.5pt;z-index:-251659264;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6BA24" w14:textId="77777777" w:rsidR="00106FB6" w:rsidRDefault="00F665C7">
    <w:pPr>
      <w:pStyle w:val="Header"/>
    </w:pPr>
    <w:r>
      <w:rPr>
        <w:noProof/>
      </w:rPr>
      <w:pict w14:anchorId="0CE2A0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228.5pt;height:228.5pt;z-index:-251657216;mso-wrap-edited:f;mso-position-horizontal:center;mso-position-horizontal-relative:margin;mso-position-vertical:center;mso-position-vertical-relative:margin" wrapcoords="9348 0 8356 141 5807 849 5665 1133 4036 2124 2691 3399 1770 4532 1062 5665 566 6798 212 7931 -70 9064 -70 12464 212 13597 566 14730 1062 15863 1699 16925 2549 18059 3965 19333 5523 20325 5665 20537 8569 21458 9419 21529 9277 21458 8994 21458 12535 21458 12251 21458 12110 21529 13030 21458 15792 20537 17704 19192 18908 18059 19829 16925 20962 14730 21316 13597 21529 12464 21600 11401 21600 9560 21316 7931 20962 6798 20396 5665 19758 4532 18838 3399 17563 2266 16359 1416 15863 1133 15721 849 13172 141 12180 0 9348 0">
          <v:imagedata r:id="rId1" o:title="UConn Sea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558E9"/>
    <w:multiLevelType w:val="hybridMultilevel"/>
    <w:tmpl w:val="53264C30"/>
    <w:lvl w:ilvl="0" w:tplc="209A407C">
      <w:start w:val="1"/>
      <w:numFmt w:val="bullet"/>
      <w:lvlText w:val="•"/>
      <w:lvlJc w:val="left"/>
      <w:pPr>
        <w:tabs>
          <w:tab w:val="num" w:pos="720"/>
        </w:tabs>
        <w:ind w:left="720" w:hanging="360"/>
      </w:pPr>
      <w:rPr>
        <w:rFonts w:ascii="Arial" w:hAnsi="Arial" w:hint="default"/>
      </w:rPr>
    </w:lvl>
    <w:lvl w:ilvl="1" w:tplc="553C6DD0" w:tentative="1">
      <w:start w:val="1"/>
      <w:numFmt w:val="bullet"/>
      <w:lvlText w:val="•"/>
      <w:lvlJc w:val="left"/>
      <w:pPr>
        <w:tabs>
          <w:tab w:val="num" w:pos="1440"/>
        </w:tabs>
        <w:ind w:left="1440" w:hanging="360"/>
      </w:pPr>
      <w:rPr>
        <w:rFonts w:ascii="Arial" w:hAnsi="Arial" w:hint="default"/>
      </w:rPr>
    </w:lvl>
    <w:lvl w:ilvl="2" w:tplc="34203D60" w:tentative="1">
      <w:start w:val="1"/>
      <w:numFmt w:val="bullet"/>
      <w:lvlText w:val="•"/>
      <w:lvlJc w:val="left"/>
      <w:pPr>
        <w:tabs>
          <w:tab w:val="num" w:pos="2160"/>
        </w:tabs>
        <w:ind w:left="2160" w:hanging="360"/>
      </w:pPr>
      <w:rPr>
        <w:rFonts w:ascii="Arial" w:hAnsi="Arial" w:hint="default"/>
      </w:rPr>
    </w:lvl>
    <w:lvl w:ilvl="3" w:tplc="E4285774" w:tentative="1">
      <w:start w:val="1"/>
      <w:numFmt w:val="bullet"/>
      <w:lvlText w:val="•"/>
      <w:lvlJc w:val="left"/>
      <w:pPr>
        <w:tabs>
          <w:tab w:val="num" w:pos="2880"/>
        </w:tabs>
        <w:ind w:left="2880" w:hanging="360"/>
      </w:pPr>
      <w:rPr>
        <w:rFonts w:ascii="Arial" w:hAnsi="Arial" w:hint="default"/>
      </w:rPr>
    </w:lvl>
    <w:lvl w:ilvl="4" w:tplc="753AD662" w:tentative="1">
      <w:start w:val="1"/>
      <w:numFmt w:val="bullet"/>
      <w:lvlText w:val="•"/>
      <w:lvlJc w:val="left"/>
      <w:pPr>
        <w:tabs>
          <w:tab w:val="num" w:pos="3600"/>
        </w:tabs>
        <w:ind w:left="3600" w:hanging="360"/>
      </w:pPr>
      <w:rPr>
        <w:rFonts w:ascii="Arial" w:hAnsi="Arial" w:hint="default"/>
      </w:rPr>
    </w:lvl>
    <w:lvl w:ilvl="5" w:tplc="0D5A7E9C" w:tentative="1">
      <w:start w:val="1"/>
      <w:numFmt w:val="bullet"/>
      <w:lvlText w:val="•"/>
      <w:lvlJc w:val="left"/>
      <w:pPr>
        <w:tabs>
          <w:tab w:val="num" w:pos="4320"/>
        </w:tabs>
        <w:ind w:left="4320" w:hanging="360"/>
      </w:pPr>
      <w:rPr>
        <w:rFonts w:ascii="Arial" w:hAnsi="Arial" w:hint="default"/>
      </w:rPr>
    </w:lvl>
    <w:lvl w:ilvl="6" w:tplc="C0E6DA1A" w:tentative="1">
      <w:start w:val="1"/>
      <w:numFmt w:val="bullet"/>
      <w:lvlText w:val="•"/>
      <w:lvlJc w:val="left"/>
      <w:pPr>
        <w:tabs>
          <w:tab w:val="num" w:pos="5040"/>
        </w:tabs>
        <w:ind w:left="5040" w:hanging="360"/>
      </w:pPr>
      <w:rPr>
        <w:rFonts w:ascii="Arial" w:hAnsi="Arial" w:hint="default"/>
      </w:rPr>
    </w:lvl>
    <w:lvl w:ilvl="7" w:tplc="CF5ED794" w:tentative="1">
      <w:start w:val="1"/>
      <w:numFmt w:val="bullet"/>
      <w:lvlText w:val="•"/>
      <w:lvlJc w:val="left"/>
      <w:pPr>
        <w:tabs>
          <w:tab w:val="num" w:pos="5760"/>
        </w:tabs>
        <w:ind w:left="5760" w:hanging="360"/>
      </w:pPr>
      <w:rPr>
        <w:rFonts w:ascii="Arial" w:hAnsi="Arial" w:hint="default"/>
      </w:rPr>
    </w:lvl>
    <w:lvl w:ilvl="8" w:tplc="E948213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C016533"/>
    <w:multiLevelType w:val="hybridMultilevel"/>
    <w:tmpl w:val="602CD3E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5CC834FB"/>
    <w:multiLevelType w:val="hybridMultilevel"/>
    <w:tmpl w:val="82B4D83E"/>
    <w:lvl w:ilvl="0" w:tplc="68EEE23C">
      <w:start w:val="1"/>
      <w:numFmt w:val="bullet"/>
      <w:lvlText w:val="•"/>
      <w:lvlJc w:val="left"/>
      <w:pPr>
        <w:tabs>
          <w:tab w:val="num" w:pos="720"/>
        </w:tabs>
        <w:ind w:left="720" w:hanging="360"/>
      </w:pPr>
      <w:rPr>
        <w:rFonts w:ascii="Arial" w:hAnsi="Arial" w:hint="default"/>
      </w:rPr>
    </w:lvl>
    <w:lvl w:ilvl="1" w:tplc="CB2CFFF2" w:tentative="1">
      <w:start w:val="1"/>
      <w:numFmt w:val="bullet"/>
      <w:lvlText w:val="•"/>
      <w:lvlJc w:val="left"/>
      <w:pPr>
        <w:tabs>
          <w:tab w:val="num" w:pos="1440"/>
        </w:tabs>
        <w:ind w:left="1440" w:hanging="360"/>
      </w:pPr>
      <w:rPr>
        <w:rFonts w:ascii="Arial" w:hAnsi="Arial" w:hint="default"/>
      </w:rPr>
    </w:lvl>
    <w:lvl w:ilvl="2" w:tplc="8240676C" w:tentative="1">
      <w:start w:val="1"/>
      <w:numFmt w:val="bullet"/>
      <w:lvlText w:val="•"/>
      <w:lvlJc w:val="left"/>
      <w:pPr>
        <w:tabs>
          <w:tab w:val="num" w:pos="2160"/>
        </w:tabs>
        <w:ind w:left="2160" w:hanging="360"/>
      </w:pPr>
      <w:rPr>
        <w:rFonts w:ascii="Arial" w:hAnsi="Arial" w:hint="default"/>
      </w:rPr>
    </w:lvl>
    <w:lvl w:ilvl="3" w:tplc="27044ED4" w:tentative="1">
      <w:start w:val="1"/>
      <w:numFmt w:val="bullet"/>
      <w:lvlText w:val="•"/>
      <w:lvlJc w:val="left"/>
      <w:pPr>
        <w:tabs>
          <w:tab w:val="num" w:pos="2880"/>
        </w:tabs>
        <w:ind w:left="2880" w:hanging="360"/>
      </w:pPr>
      <w:rPr>
        <w:rFonts w:ascii="Arial" w:hAnsi="Arial" w:hint="default"/>
      </w:rPr>
    </w:lvl>
    <w:lvl w:ilvl="4" w:tplc="71A43BEC" w:tentative="1">
      <w:start w:val="1"/>
      <w:numFmt w:val="bullet"/>
      <w:lvlText w:val="•"/>
      <w:lvlJc w:val="left"/>
      <w:pPr>
        <w:tabs>
          <w:tab w:val="num" w:pos="3600"/>
        </w:tabs>
        <w:ind w:left="3600" w:hanging="360"/>
      </w:pPr>
      <w:rPr>
        <w:rFonts w:ascii="Arial" w:hAnsi="Arial" w:hint="default"/>
      </w:rPr>
    </w:lvl>
    <w:lvl w:ilvl="5" w:tplc="20E661DA" w:tentative="1">
      <w:start w:val="1"/>
      <w:numFmt w:val="bullet"/>
      <w:lvlText w:val="•"/>
      <w:lvlJc w:val="left"/>
      <w:pPr>
        <w:tabs>
          <w:tab w:val="num" w:pos="4320"/>
        </w:tabs>
        <w:ind w:left="4320" w:hanging="360"/>
      </w:pPr>
      <w:rPr>
        <w:rFonts w:ascii="Arial" w:hAnsi="Arial" w:hint="default"/>
      </w:rPr>
    </w:lvl>
    <w:lvl w:ilvl="6" w:tplc="506E11A0" w:tentative="1">
      <w:start w:val="1"/>
      <w:numFmt w:val="bullet"/>
      <w:lvlText w:val="•"/>
      <w:lvlJc w:val="left"/>
      <w:pPr>
        <w:tabs>
          <w:tab w:val="num" w:pos="5040"/>
        </w:tabs>
        <w:ind w:left="5040" w:hanging="360"/>
      </w:pPr>
      <w:rPr>
        <w:rFonts w:ascii="Arial" w:hAnsi="Arial" w:hint="default"/>
      </w:rPr>
    </w:lvl>
    <w:lvl w:ilvl="7" w:tplc="A8DEEC38" w:tentative="1">
      <w:start w:val="1"/>
      <w:numFmt w:val="bullet"/>
      <w:lvlText w:val="•"/>
      <w:lvlJc w:val="left"/>
      <w:pPr>
        <w:tabs>
          <w:tab w:val="num" w:pos="5760"/>
        </w:tabs>
        <w:ind w:left="5760" w:hanging="360"/>
      </w:pPr>
      <w:rPr>
        <w:rFonts w:ascii="Arial" w:hAnsi="Arial" w:hint="default"/>
      </w:rPr>
    </w:lvl>
    <w:lvl w:ilvl="8" w:tplc="DEE2224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B24"/>
    <w:rsid w:val="0001462B"/>
    <w:rsid w:val="00022B94"/>
    <w:rsid w:val="0002552B"/>
    <w:rsid w:val="00030F21"/>
    <w:rsid w:val="00036B32"/>
    <w:rsid w:val="00060FB9"/>
    <w:rsid w:val="00072674"/>
    <w:rsid w:val="0007409C"/>
    <w:rsid w:val="000978D4"/>
    <w:rsid w:val="000E19CA"/>
    <w:rsid w:val="000E6255"/>
    <w:rsid w:val="000F60BA"/>
    <w:rsid w:val="000F7223"/>
    <w:rsid w:val="00106C9A"/>
    <w:rsid w:val="00106FB6"/>
    <w:rsid w:val="00183F04"/>
    <w:rsid w:val="001875FE"/>
    <w:rsid w:val="001956F6"/>
    <w:rsid w:val="001A4EC4"/>
    <w:rsid w:val="001B5B76"/>
    <w:rsid w:val="001B5F3F"/>
    <w:rsid w:val="001D42A4"/>
    <w:rsid w:val="00241FAB"/>
    <w:rsid w:val="0024607D"/>
    <w:rsid w:val="00264FF6"/>
    <w:rsid w:val="002713CA"/>
    <w:rsid w:val="00280E12"/>
    <w:rsid w:val="00281B36"/>
    <w:rsid w:val="00296F34"/>
    <w:rsid w:val="002A473C"/>
    <w:rsid w:val="002C26BE"/>
    <w:rsid w:val="002D764C"/>
    <w:rsid w:val="002F6656"/>
    <w:rsid w:val="002F79CB"/>
    <w:rsid w:val="00315273"/>
    <w:rsid w:val="00320755"/>
    <w:rsid w:val="0033588A"/>
    <w:rsid w:val="00335AEC"/>
    <w:rsid w:val="00335D10"/>
    <w:rsid w:val="00346168"/>
    <w:rsid w:val="003C6EAE"/>
    <w:rsid w:val="003D2A35"/>
    <w:rsid w:val="003D2DE3"/>
    <w:rsid w:val="003F0169"/>
    <w:rsid w:val="003F701A"/>
    <w:rsid w:val="004134D9"/>
    <w:rsid w:val="00421A6B"/>
    <w:rsid w:val="0042471C"/>
    <w:rsid w:val="004304D9"/>
    <w:rsid w:val="00452001"/>
    <w:rsid w:val="00490624"/>
    <w:rsid w:val="004A25BC"/>
    <w:rsid w:val="004A2EBE"/>
    <w:rsid w:val="004D1EF7"/>
    <w:rsid w:val="004D25F3"/>
    <w:rsid w:val="005129C3"/>
    <w:rsid w:val="00520B16"/>
    <w:rsid w:val="00542D84"/>
    <w:rsid w:val="00583C2E"/>
    <w:rsid w:val="005A0A5C"/>
    <w:rsid w:val="005B396F"/>
    <w:rsid w:val="005B4630"/>
    <w:rsid w:val="005F44B2"/>
    <w:rsid w:val="00663767"/>
    <w:rsid w:val="006B72BA"/>
    <w:rsid w:val="006C753A"/>
    <w:rsid w:val="006E6504"/>
    <w:rsid w:val="007046C4"/>
    <w:rsid w:val="00722FEB"/>
    <w:rsid w:val="00723EA0"/>
    <w:rsid w:val="00725503"/>
    <w:rsid w:val="007350FC"/>
    <w:rsid w:val="00752E00"/>
    <w:rsid w:val="007B6BCD"/>
    <w:rsid w:val="007C5505"/>
    <w:rsid w:val="007D207F"/>
    <w:rsid w:val="007E15E0"/>
    <w:rsid w:val="00821B89"/>
    <w:rsid w:val="0083733F"/>
    <w:rsid w:val="00864168"/>
    <w:rsid w:val="00871EBA"/>
    <w:rsid w:val="008833F7"/>
    <w:rsid w:val="008A1607"/>
    <w:rsid w:val="008D5153"/>
    <w:rsid w:val="008D714D"/>
    <w:rsid w:val="00907FFD"/>
    <w:rsid w:val="0091753C"/>
    <w:rsid w:val="00956909"/>
    <w:rsid w:val="00965855"/>
    <w:rsid w:val="00970158"/>
    <w:rsid w:val="0099298E"/>
    <w:rsid w:val="009937FC"/>
    <w:rsid w:val="009B41D1"/>
    <w:rsid w:val="009C7A95"/>
    <w:rsid w:val="009F3FB8"/>
    <w:rsid w:val="00A06C62"/>
    <w:rsid w:val="00A07A90"/>
    <w:rsid w:val="00A127BF"/>
    <w:rsid w:val="00A3174B"/>
    <w:rsid w:val="00A630AF"/>
    <w:rsid w:val="00A67BA8"/>
    <w:rsid w:val="00A86601"/>
    <w:rsid w:val="00AD1B8D"/>
    <w:rsid w:val="00AE3601"/>
    <w:rsid w:val="00AE3C65"/>
    <w:rsid w:val="00AF4347"/>
    <w:rsid w:val="00AF783E"/>
    <w:rsid w:val="00B02926"/>
    <w:rsid w:val="00B340EC"/>
    <w:rsid w:val="00B36B24"/>
    <w:rsid w:val="00B80638"/>
    <w:rsid w:val="00C03AAE"/>
    <w:rsid w:val="00C07927"/>
    <w:rsid w:val="00C12ACF"/>
    <w:rsid w:val="00C17C99"/>
    <w:rsid w:val="00C21B3D"/>
    <w:rsid w:val="00C77099"/>
    <w:rsid w:val="00C83842"/>
    <w:rsid w:val="00CB71C6"/>
    <w:rsid w:val="00CC5E37"/>
    <w:rsid w:val="00CE2CA2"/>
    <w:rsid w:val="00CF22F8"/>
    <w:rsid w:val="00CF4582"/>
    <w:rsid w:val="00D00443"/>
    <w:rsid w:val="00D0505E"/>
    <w:rsid w:val="00D3684B"/>
    <w:rsid w:val="00D3763D"/>
    <w:rsid w:val="00D4018C"/>
    <w:rsid w:val="00D67D28"/>
    <w:rsid w:val="00D920E6"/>
    <w:rsid w:val="00DC4D21"/>
    <w:rsid w:val="00DC6115"/>
    <w:rsid w:val="00DC65EB"/>
    <w:rsid w:val="00E050E1"/>
    <w:rsid w:val="00E46197"/>
    <w:rsid w:val="00E708BB"/>
    <w:rsid w:val="00E7193D"/>
    <w:rsid w:val="00E93CDE"/>
    <w:rsid w:val="00EE4BFA"/>
    <w:rsid w:val="00F05D59"/>
    <w:rsid w:val="00F174CE"/>
    <w:rsid w:val="00F665C7"/>
    <w:rsid w:val="00F70711"/>
    <w:rsid w:val="00F72B2E"/>
    <w:rsid w:val="00F76488"/>
    <w:rsid w:val="00F868C4"/>
    <w:rsid w:val="00FB7D7A"/>
    <w:rsid w:val="00FD15F1"/>
    <w:rsid w:val="00FF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3E5DD"/>
  <w14:defaultImageDpi w14:val="300"/>
  <w15:docId w15:val="{0CA53A95-8552-4576-9E53-1CC69843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B24"/>
    <w:pPr>
      <w:tabs>
        <w:tab w:val="center" w:pos="4320"/>
        <w:tab w:val="right" w:pos="8640"/>
      </w:tabs>
    </w:pPr>
  </w:style>
  <w:style w:type="character" w:customStyle="1" w:styleId="HeaderChar">
    <w:name w:val="Header Char"/>
    <w:basedOn w:val="DefaultParagraphFont"/>
    <w:link w:val="Header"/>
    <w:uiPriority w:val="99"/>
    <w:rsid w:val="00B36B24"/>
  </w:style>
  <w:style w:type="paragraph" w:styleId="Footer">
    <w:name w:val="footer"/>
    <w:basedOn w:val="Normal"/>
    <w:link w:val="FooterChar"/>
    <w:uiPriority w:val="99"/>
    <w:unhideWhenUsed/>
    <w:rsid w:val="00B36B24"/>
    <w:pPr>
      <w:tabs>
        <w:tab w:val="center" w:pos="4320"/>
        <w:tab w:val="right" w:pos="8640"/>
      </w:tabs>
    </w:pPr>
  </w:style>
  <w:style w:type="character" w:customStyle="1" w:styleId="FooterChar">
    <w:name w:val="Footer Char"/>
    <w:basedOn w:val="DefaultParagraphFont"/>
    <w:link w:val="Footer"/>
    <w:uiPriority w:val="99"/>
    <w:rsid w:val="00B36B24"/>
  </w:style>
  <w:style w:type="paragraph" w:styleId="BalloonText">
    <w:name w:val="Balloon Text"/>
    <w:basedOn w:val="Normal"/>
    <w:link w:val="BalloonTextChar"/>
    <w:uiPriority w:val="99"/>
    <w:semiHidden/>
    <w:unhideWhenUsed/>
    <w:rsid w:val="00B36B2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B24"/>
    <w:rPr>
      <w:rFonts w:ascii="Lucida Grande" w:hAnsi="Lucida Grande" w:cs="Lucida Grande"/>
      <w:sz w:val="18"/>
      <w:szCs w:val="18"/>
    </w:rPr>
  </w:style>
  <w:style w:type="table" w:styleId="TableGrid">
    <w:name w:val="Table Grid"/>
    <w:basedOn w:val="TableNormal"/>
    <w:uiPriority w:val="59"/>
    <w:rsid w:val="00FF57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CA"/>
    <w:pPr>
      <w:ind w:left="720"/>
      <w:contextualSpacing/>
    </w:pPr>
  </w:style>
  <w:style w:type="paragraph" w:styleId="NormalWeb">
    <w:name w:val="Normal (Web)"/>
    <w:basedOn w:val="Normal"/>
    <w:uiPriority w:val="99"/>
    <w:unhideWhenUsed/>
    <w:rsid w:val="00C21B3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7268">
      <w:bodyDiv w:val="1"/>
      <w:marLeft w:val="0"/>
      <w:marRight w:val="0"/>
      <w:marTop w:val="0"/>
      <w:marBottom w:val="0"/>
      <w:divBdr>
        <w:top w:val="none" w:sz="0" w:space="0" w:color="auto"/>
        <w:left w:val="none" w:sz="0" w:space="0" w:color="auto"/>
        <w:bottom w:val="none" w:sz="0" w:space="0" w:color="auto"/>
        <w:right w:val="none" w:sz="0" w:space="0" w:color="auto"/>
      </w:divBdr>
    </w:div>
    <w:div w:id="134488406">
      <w:bodyDiv w:val="1"/>
      <w:marLeft w:val="0"/>
      <w:marRight w:val="0"/>
      <w:marTop w:val="0"/>
      <w:marBottom w:val="0"/>
      <w:divBdr>
        <w:top w:val="none" w:sz="0" w:space="0" w:color="auto"/>
        <w:left w:val="none" w:sz="0" w:space="0" w:color="auto"/>
        <w:bottom w:val="none" w:sz="0" w:space="0" w:color="auto"/>
        <w:right w:val="none" w:sz="0" w:space="0" w:color="auto"/>
      </w:divBdr>
    </w:div>
    <w:div w:id="347489378">
      <w:bodyDiv w:val="1"/>
      <w:marLeft w:val="0"/>
      <w:marRight w:val="0"/>
      <w:marTop w:val="0"/>
      <w:marBottom w:val="0"/>
      <w:divBdr>
        <w:top w:val="none" w:sz="0" w:space="0" w:color="auto"/>
        <w:left w:val="none" w:sz="0" w:space="0" w:color="auto"/>
        <w:bottom w:val="none" w:sz="0" w:space="0" w:color="auto"/>
        <w:right w:val="none" w:sz="0" w:space="0" w:color="auto"/>
      </w:divBdr>
    </w:div>
    <w:div w:id="837577658">
      <w:bodyDiv w:val="1"/>
      <w:marLeft w:val="0"/>
      <w:marRight w:val="0"/>
      <w:marTop w:val="0"/>
      <w:marBottom w:val="0"/>
      <w:divBdr>
        <w:top w:val="none" w:sz="0" w:space="0" w:color="auto"/>
        <w:left w:val="none" w:sz="0" w:space="0" w:color="auto"/>
        <w:bottom w:val="none" w:sz="0" w:space="0" w:color="auto"/>
        <w:right w:val="none" w:sz="0" w:space="0" w:color="auto"/>
      </w:divBdr>
      <w:divsChild>
        <w:div w:id="982782241">
          <w:marLeft w:val="720"/>
          <w:marRight w:val="0"/>
          <w:marTop w:val="0"/>
          <w:marBottom w:val="0"/>
          <w:divBdr>
            <w:top w:val="none" w:sz="0" w:space="0" w:color="auto"/>
            <w:left w:val="none" w:sz="0" w:space="0" w:color="auto"/>
            <w:bottom w:val="none" w:sz="0" w:space="0" w:color="auto"/>
            <w:right w:val="none" w:sz="0" w:space="0" w:color="auto"/>
          </w:divBdr>
        </w:div>
      </w:divsChild>
    </w:div>
    <w:div w:id="926966770">
      <w:bodyDiv w:val="1"/>
      <w:marLeft w:val="0"/>
      <w:marRight w:val="0"/>
      <w:marTop w:val="0"/>
      <w:marBottom w:val="0"/>
      <w:divBdr>
        <w:top w:val="none" w:sz="0" w:space="0" w:color="auto"/>
        <w:left w:val="none" w:sz="0" w:space="0" w:color="auto"/>
        <w:bottom w:val="none" w:sz="0" w:space="0" w:color="auto"/>
        <w:right w:val="none" w:sz="0" w:space="0" w:color="auto"/>
      </w:divBdr>
    </w:div>
    <w:div w:id="998122248">
      <w:bodyDiv w:val="1"/>
      <w:marLeft w:val="0"/>
      <w:marRight w:val="0"/>
      <w:marTop w:val="0"/>
      <w:marBottom w:val="0"/>
      <w:divBdr>
        <w:top w:val="none" w:sz="0" w:space="0" w:color="auto"/>
        <w:left w:val="none" w:sz="0" w:space="0" w:color="auto"/>
        <w:bottom w:val="none" w:sz="0" w:space="0" w:color="auto"/>
        <w:right w:val="none" w:sz="0" w:space="0" w:color="auto"/>
      </w:divBdr>
    </w:div>
    <w:div w:id="1049837196">
      <w:bodyDiv w:val="1"/>
      <w:marLeft w:val="0"/>
      <w:marRight w:val="0"/>
      <w:marTop w:val="0"/>
      <w:marBottom w:val="0"/>
      <w:divBdr>
        <w:top w:val="none" w:sz="0" w:space="0" w:color="auto"/>
        <w:left w:val="none" w:sz="0" w:space="0" w:color="auto"/>
        <w:bottom w:val="none" w:sz="0" w:space="0" w:color="auto"/>
        <w:right w:val="none" w:sz="0" w:space="0" w:color="auto"/>
      </w:divBdr>
    </w:div>
    <w:div w:id="1266498566">
      <w:bodyDiv w:val="1"/>
      <w:marLeft w:val="0"/>
      <w:marRight w:val="0"/>
      <w:marTop w:val="0"/>
      <w:marBottom w:val="0"/>
      <w:divBdr>
        <w:top w:val="none" w:sz="0" w:space="0" w:color="auto"/>
        <w:left w:val="none" w:sz="0" w:space="0" w:color="auto"/>
        <w:bottom w:val="none" w:sz="0" w:space="0" w:color="auto"/>
        <w:right w:val="none" w:sz="0" w:space="0" w:color="auto"/>
      </w:divBdr>
    </w:div>
    <w:div w:id="1330983615">
      <w:bodyDiv w:val="1"/>
      <w:marLeft w:val="0"/>
      <w:marRight w:val="0"/>
      <w:marTop w:val="0"/>
      <w:marBottom w:val="0"/>
      <w:divBdr>
        <w:top w:val="none" w:sz="0" w:space="0" w:color="auto"/>
        <w:left w:val="none" w:sz="0" w:space="0" w:color="auto"/>
        <w:bottom w:val="none" w:sz="0" w:space="0" w:color="auto"/>
        <w:right w:val="none" w:sz="0" w:space="0" w:color="auto"/>
      </w:divBdr>
    </w:div>
    <w:div w:id="1377464313">
      <w:bodyDiv w:val="1"/>
      <w:marLeft w:val="0"/>
      <w:marRight w:val="0"/>
      <w:marTop w:val="0"/>
      <w:marBottom w:val="0"/>
      <w:divBdr>
        <w:top w:val="none" w:sz="0" w:space="0" w:color="auto"/>
        <w:left w:val="none" w:sz="0" w:space="0" w:color="auto"/>
        <w:bottom w:val="none" w:sz="0" w:space="0" w:color="auto"/>
        <w:right w:val="none" w:sz="0" w:space="0" w:color="auto"/>
      </w:divBdr>
    </w:div>
    <w:div w:id="1596405395">
      <w:bodyDiv w:val="1"/>
      <w:marLeft w:val="0"/>
      <w:marRight w:val="0"/>
      <w:marTop w:val="0"/>
      <w:marBottom w:val="0"/>
      <w:divBdr>
        <w:top w:val="none" w:sz="0" w:space="0" w:color="auto"/>
        <w:left w:val="none" w:sz="0" w:space="0" w:color="auto"/>
        <w:bottom w:val="none" w:sz="0" w:space="0" w:color="auto"/>
        <w:right w:val="none" w:sz="0" w:space="0" w:color="auto"/>
      </w:divBdr>
      <w:divsChild>
        <w:div w:id="6904409">
          <w:marLeft w:val="720"/>
          <w:marRight w:val="0"/>
          <w:marTop w:val="0"/>
          <w:marBottom w:val="0"/>
          <w:divBdr>
            <w:top w:val="none" w:sz="0" w:space="0" w:color="auto"/>
            <w:left w:val="none" w:sz="0" w:space="0" w:color="auto"/>
            <w:bottom w:val="none" w:sz="0" w:space="0" w:color="auto"/>
            <w:right w:val="none" w:sz="0" w:space="0" w:color="auto"/>
          </w:divBdr>
        </w:div>
        <w:div w:id="352995889">
          <w:marLeft w:val="720"/>
          <w:marRight w:val="0"/>
          <w:marTop w:val="0"/>
          <w:marBottom w:val="0"/>
          <w:divBdr>
            <w:top w:val="none" w:sz="0" w:space="0" w:color="auto"/>
            <w:left w:val="none" w:sz="0" w:space="0" w:color="auto"/>
            <w:bottom w:val="none" w:sz="0" w:space="0" w:color="auto"/>
            <w:right w:val="none" w:sz="0" w:space="0" w:color="auto"/>
          </w:divBdr>
        </w:div>
      </w:divsChild>
    </w:div>
    <w:div w:id="1618443030">
      <w:bodyDiv w:val="1"/>
      <w:marLeft w:val="0"/>
      <w:marRight w:val="0"/>
      <w:marTop w:val="0"/>
      <w:marBottom w:val="0"/>
      <w:divBdr>
        <w:top w:val="none" w:sz="0" w:space="0" w:color="auto"/>
        <w:left w:val="none" w:sz="0" w:space="0" w:color="auto"/>
        <w:bottom w:val="none" w:sz="0" w:space="0" w:color="auto"/>
        <w:right w:val="none" w:sz="0" w:space="0" w:color="auto"/>
      </w:divBdr>
    </w:div>
    <w:div w:id="1620990806">
      <w:bodyDiv w:val="1"/>
      <w:marLeft w:val="0"/>
      <w:marRight w:val="0"/>
      <w:marTop w:val="0"/>
      <w:marBottom w:val="0"/>
      <w:divBdr>
        <w:top w:val="none" w:sz="0" w:space="0" w:color="auto"/>
        <w:left w:val="none" w:sz="0" w:space="0" w:color="auto"/>
        <w:bottom w:val="none" w:sz="0" w:space="0" w:color="auto"/>
        <w:right w:val="none" w:sz="0" w:space="0" w:color="auto"/>
      </w:divBdr>
    </w:div>
    <w:div w:id="1733384126">
      <w:bodyDiv w:val="1"/>
      <w:marLeft w:val="0"/>
      <w:marRight w:val="0"/>
      <w:marTop w:val="0"/>
      <w:marBottom w:val="0"/>
      <w:divBdr>
        <w:top w:val="none" w:sz="0" w:space="0" w:color="auto"/>
        <w:left w:val="none" w:sz="0" w:space="0" w:color="auto"/>
        <w:bottom w:val="none" w:sz="0" w:space="0" w:color="auto"/>
        <w:right w:val="none" w:sz="0" w:space="0" w:color="auto"/>
      </w:divBdr>
    </w:div>
    <w:div w:id="1769085184">
      <w:bodyDiv w:val="1"/>
      <w:marLeft w:val="0"/>
      <w:marRight w:val="0"/>
      <w:marTop w:val="0"/>
      <w:marBottom w:val="0"/>
      <w:divBdr>
        <w:top w:val="none" w:sz="0" w:space="0" w:color="auto"/>
        <w:left w:val="none" w:sz="0" w:space="0" w:color="auto"/>
        <w:bottom w:val="none" w:sz="0" w:space="0" w:color="auto"/>
        <w:right w:val="none" w:sz="0" w:space="0" w:color="auto"/>
      </w:divBdr>
    </w:div>
    <w:div w:id="1860435973">
      <w:bodyDiv w:val="1"/>
      <w:marLeft w:val="0"/>
      <w:marRight w:val="0"/>
      <w:marTop w:val="0"/>
      <w:marBottom w:val="0"/>
      <w:divBdr>
        <w:top w:val="none" w:sz="0" w:space="0" w:color="auto"/>
        <w:left w:val="none" w:sz="0" w:space="0" w:color="auto"/>
        <w:bottom w:val="none" w:sz="0" w:space="0" w:color="auto"/>
        <w:right w:val="none" w:sz="0" w:space="0" w:color="auto"/>
      </w:divBdr>
    </w:div>
    <w:div w:id="21300822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D3D2C-7F83-47F9-B921-7393B444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UConn</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c:creator>
  <cp:keywords/>
  <dc:description/>
  <cp:lastModifiedBy>Bloomberg General</cp:lastModifiedBy>
  <cp:revision>2</cp:revision>
  <cp:lastPrinted>2016-02-08T19:12:00Z</cp:lastPrinted>
  <dcterms:created xsi:type="dcterms:W3CDTF">2017-04-18T15:05:00Z</dcterms:created>
  <dcterms:modified xsi:type="dcterms:W3CDTF">2017-04-18T15:05:00Z</dcterms:modified>
</cp:coreProperties>
</file>