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XSpec="center" w:tblpY="-719"/>
        <w:tblW w:w="11172" w:type="dxa"/>
        <w:tblLook w:val="04A0" w:firstRow="1" w:lastRow="0" w:firstColumn="1" w:lastColumn="0" w:noHBand="0" w:noVBand="1"/>
      </w:tblPr>
      <w:tblGrid>
        <w:gridCol w:w="3065"/>
        <w:gridCol w:w="3055"/>
        <w:gridCol w:w="1802"/>
        <w:gridCol w:w="3250"/>
      </w:tblGrid>
      <w:tr w:rsidR="006E052F" w:rsidRPr="003A4EEC" w:rsidTr="006E052F">
        <w:trPr>
          <w:trHeight w:val="1088"/>
        </w:trPr>
        <w:tc>
          <w:tcPr>
            <w:tcW w:w="3065" w:type="dxa"/>
            <w:vAlign w:val="center"/>
          </w:tcPr>
          <w:p w:rsidR="006E052F" w:rsidRPr="003A4EEC" w:rsidRDefault="006E052F" w:rsidP="006E052F">
            <w:pPr>
              <w:rPr>
                <w:rFonts w:ascii="Calibri" w:hAnsi="Calibri"/>
                <w:sz w:val="18"/>
                <w:szCs w:val="18"/>
              </w:rPr>
            </w:pPr>
            <w:r w:rsidRPr="003A4EEC">
              <w:rPr>
                <w:rFonts w:ascii="Calibri" w:hAnsi="Calibri"/>
                <w:sz w:val="18"/>
                <w:szCs w:val="18"/>
              </w:rPr>
              <w:t>United Technologies</w:t>
            </w:r>
          </w:p>
          <w:p w:rsidR="006E052F" w:rsidRPr="003A4EEC" w:rsidRDefault="006E052F" w:rsidP="006E052F">
            <w:pPr>
              <w:rPr>
                <w:rFonts w:ascii="Calibri" w:hAnsi="Calibri"/>
                <w:sz w:val="18"/>
                <w:szCs w:val="18"/>
              </w:rPr>
            </w:pPr>
            <w:r w:rsidRPr="003A4EEC">
              <w:rPr>
                <w:rFonts w:ascii="Calibri" w:hAnsi="Calibri"/>
                <w:sz w:val="18"/>
                <w:szCs w:val="18"/>
              </w:rPr>
              <w:t>Ticker: UTX</w:t>
            </w:r>
          </w:p>
          <w:p w:rsidR="006E052F" w:rsidRPr="003A4EEC" w:rsidRDefault="006E052F" w:rsidP="006E052F">
            <w:pPr>
              <w:rPr>
                <w:rFonts w:ascii="Calibri" w:hAnsi="Calibri"/>
                <w:sz w:val="18"/>
                <w:szCs w:val="18"/>
              </w:rPr>
            </w:pPr>
            <w:r w:rsidRPr="003A4EEC">
              <w:rPr>
                <w:rFonts w:ascii="Calibri" w:hAnsi="Calibri"/>
                <w:sz w:val="18"/>
                <w:szCs w:val="18"/>
              </w:rPr>
              <w:t>Sector: Industrials</w:t>
            </w:r>
          </w:p>
          <w:p w:rsidR="006E052F" w:rsidRPr="003A4EEC" w:rsidRDefault="006E052F" w:rsidP="006E052F">
            <w:pPr>
              <w:rPr>
                <w:rFonts w:ascii="Calibri" w:hAnsi="Calibri"/>
                <w:sz w:val="18"/>
                <w:szCs w:val="18"/>
              </w:rPr>
            </w:pPr>
            <w:r w:rsidRPr="003A4EEC">
              <w:rPr>
                <w:rFonts w:ascii="Calibri" w:hAnsi="Calibri"/>
                <w:sz w:val="18"/>
                <w:szCs w:val="18"/>
              </w:rPr>
              <w:t>Industry: Aerospace &amp; Defense</w:t>
            </w:r>
          </w:p>
        </w:tc>
        <w:tc>
          <w:tcPr>
            <w:tcW w:w="3055" w:type="dxa"/>
            <w:vAlign w:val="center"/>
          </w:tcPr>
          <w:p w:rsidR="006E052F" w:rsidRPr="003A4EEC" w:rsidRDefault="006E052F" w:rsidP="006E052F">
            <w:pPr>
              <w:rPr>
                <w:rFonts w:ascii="Calibri" w:hAnsi="Calibri"/>
                <w:sz w:val="18"/>
                <w:szCs w:val="18"/>
              </w:rPr>
            </w:pPr>
            <w:r w:rsidRPr="003A4EEC">
              <w:rPr>
                <w:rFonts w:ascii="Calibri" w:hAnsi="Calibri"/>
                <w:sz w:val="18"/>
                <w:szCs w:val="18"/>
              </w:rPr>
              <w:t>Intrinsic Value: $120.00</w:t>
            </w:r>
          </w:p>
          <w:p w:rsidR="006E052F" w:rsidRPr="003A4EEC" w:rsidRDefault="006E052F" w:rsidP="006E052F">
            <w:pPr>
              <w:rPr>
                <w:rFonts w:ascii="Calibri" w:hAnsi="Calibri"/>
                <w:sz w:val="18"/>
                <w:szCs w:val="18"/>
              </w:rPr>
            </w:pPr>
            <w:r w:rsidRPr="003A4EEC">
              <w:rPr>
                <w:rFonts w:ascii="Calibri" w:hAnsi="Calibri"/>
                <w:sz w:val="18"/>
                <w:szCs w:val="18"/>
              </w:rPr>
              <w:t>Current Price: $97.88</w:t>
            </w:r>
          </w:p>
          <w:p w:rsidR="006E052F" w:rsidRPr="003A4EEC" w:rsidRDefault="00390FF0" w:rsidP="006E052F">
            <w:pPr>
              <w:rPr>
                <w:rFonts w:ascii="Calibri" w:hAnsi="Calibri"/>
                <w:sz w:val="18"/>
                <w:szCs w:val="18"/>
              </w:rPr>
            </w:pPr>
            <w:r>
              <w:rPr>
                <w:rFonts w:ascii="Calibri" w:hAnsi="Calibri"/>
                <w:sz w:val="18"/>
                <w:szCs w:val="18"/>
              </w:rPr>
              <w:t>Stop Loss: $79</w:t>
            </w:r>
            <w:r w:rsidR="006E052F" w:rsidRPr="003A4EEC">
              <w:rPr>
                <w:rFonts w:ascii="Calibri" w:hAnsi="Calibri"/>
                <w:sz w:val="18"/>
                <w:szCs w:val="18"/>
              </w:rPr>
              <w:t>.</w:t>
            </w:r>
            <w:r>
              <w:rPr>
                <w:rFonts w:ascii="Calibri" w:hAnsi="Calibri"/>
                <w:sz w:val="18"/>
                <w:szCs w:val="18"/>
              </w:rPr>
              <w:t>00</w:t>
            </w:r>
          </w:p>
          <w:p w:rsidR="006E052F" w:rsidRPr="003A4EEC" w:rsidRDefault="006E052F" w:rsidP="006E052F">
            <w:pPr>
              <w:rPr>
                <w:rFonts w:ascii="Calibri" w:hAnsi="Calibri"/>
                <w:sz w:val="18"/>
                <w:szCs w:val="18"/>
              </w:rPr>
            </w:pPr>
            <w:r w:rsidRPr="003A4EEC">
              <w:rPr>
                <w:rFonts w:ascii="Calibri" w:hAnsi="Calibri"/>
                <w:sz w:val="18"/>
                <w:szCs w:val="18"/>
              </w:rPr>
              <w:t>Upside Review: $155.00</w:t>
            </w:r>
          </w:p>
        </w:tc>
        <w:tc>
          <w:tcPr>
            <w:tcW w:w="1802" w:type="dxa"/>
            <w:vAlign w:val="center"/>
          </w:tcPr>
          <w:p w:rsidR="006E052F" w:rsidRPr="003A4EEC" w:rsidRDefault="006E052F" w:rsidP="006E052F">
            <w:pPr>
              <w:rPr>
                <w:rFonts w:ascii="Calibri" w:hAnsi="Calibri"/>
                <w:sz w:val="18"/>
                <w:szCs w:val="18"/>
              </w:rPr>
            </w:pPr>
            <w:r w:rsidRPr="003A4EEC">
              <w:rPr>
                <w:rFonts w:ascii="Calibri" w:hAnsi="Calibri"/>
                <w:sz w:val="18"/>
                <w:szCs w:val="18"/>
              </w:rPr>
              <w:t>TTM P/E: 13.8</w:t>
            </w:r>
          </w:p>
          <w:p w:rsidR="006E052F" w:rsidRPr="003A4EEC" w:rsidRDefault="006E052F" w:rsidP="006E052F">
            <w:pPr>
              <w:rPr>
                <w:rFonts w:ascii="Calibri" w:hAnsi="Calibri"/>
                <w:sz w:val="18"/>
                <w:szCs w:val="18"/>
              </w:rPr>
            </w:pPr>
            <w:r w:rsidRPr="003A4EEC">
              <w:rPr>
                <w:rFonts w:ascii="Calibri" w:hAnsi="Calibri"/>
                <w:sz w:val="18"/>
                <w:szCs w:val="18"/>
              </w:rPr>
              <w:t>Forward P/E: 18.8</w:t>
            </w:r>
          </w:p>
          <w:p w:rsidR="006E052F" w:rsidRPr="003A4EEC" w:rsidRDefault="006E052F" w:rsidP="006E052F">
            <w:pPr>
              <w:rPr>
                <w:rFonts w:ascii="Calibri" w:hAnsi="Calibri"/>
                <w:sz w:val="18"/>
                <w:szCs w:val="18"/>
              </w:rPr>
            </w:pPr>
            <w:r w:rsidRPr="003A4EEC">
              <w:rPr>
                <w:rFonts w:ascii="Calibri" w:hAnsi="Calibri"/>
                <w:sz w:val="18"/>
                <w:szCs w:val="18"/>
              </w:rPr>
              <w:t>Beta:</w:t>
            </w:r>
            <w:r w:rsidR="004362DE">
              <w:rPr>
                <w:rFonts w:ascii="Calibri" w:hAnsi="Calibri"/>
                <w:sz w:val="18"/>
                <w:szCs w:val="18"/>
              </w:rPr>
              <w:t xml:space="preserve"> </w:t>
            </w:r>
            <w:r w:rsidRPr="003A4EEC">
              <w:rPr>
                <w:rFonts w:ascii="Calibri" w:hAnsi="Calibri"/>
                <w:sz w:val="18"/>
                <w:szCs w:val="18"/>
              </w:rPr>
              <w:t>1.13</w:t>
            </w:r>
          </w:p>
        </w:tc>
        <w:tc>
          <w:tcPr>
            <w:tcW w:w="3250" w:type="dxa"/>
            <w:vAlign w:val="center"/>
          </w:tcPr>
          <w:p w:rsidR="006E052F" w:rsidRPr="003A4EEC" w:rsidRDefault="006E052F" w:rsidP="006E052F">
            <w:pPr>
              <w:rPr>
                <w:rFonts w:ascii="Calibri" w:hAnsi="Calibri"/>
                <w:sz w:val="18"/>
                <w:szCs w:val="18"/>
              </w:rPr>
            </w:pPr>
            <w:r w:rsidRPr="003A4EEC">
              <w:rPr>
                <w:rFonts w:ascii="Calibri" w:hAnsi="Calibri"/>
                <w:sz w:val="18"/>
                <w:szCs w:val="18"/>
              </w:rPr>
              <w:t>Market Cap:$87.4B</w:t>
            </w:r>
          </w:p>
          <w:p w:rsidR="006E052F" w:rsidRPr="003A4EEC" w:rsidRDefault="006E052F" w:rsidP="006E052F">
            <w:pPr>
              <w:rPr>
                <w:rFonts w:ascii="Calibri" w:hAnsi="Calibri"/>
                <w:sz w:val="18"/>
                <w:szCs w:val="18"/>
              </w:rPr>
            </w:pPr>
            <w:r w:rsidRPr="003A4EEC">
              <w:rPr>
                <w:rFonts w:ascii="Calibri" w:hAnsi="Calibri"/>
                <w:sz w:val="18"/>
                <w:szCs w:val="18"/>
              </w:rPr>
              <w:t>Dividend Yield: 2.8%</w:t>
            </w:r>
          </w:p>
          <w:p w:rsidR="006E052F" w:rsidRPr="003A4EEC" w:rsidRDefault="006E052F" w:rsidP="006E052F">
            <w:pPr>
              <w:rPr>
                <w:rFonts w:ascii="Calibri" w:hAnsi="Calibri"/>
                <w:sz w:val="18"/>
                <w:szCs w:val="18"/>
              </w:rPr>
            </w:pPr>
            <w:r w:rsidRPr="003A4EEC">
              <w:rPr>
                <w:rFonts w:ascii="Calibri" w:hAnsi="Calibri"/>
                <w:sz w:val="18"/>
                <w:szCs w:val="18"/>
              </w:rPr>
              <w:t>52 Week Range: $85.50-$124.45</w:t>
            </w:r>
          </w:p>
        </w:tc>
      </w:tr>
      <w:tr w:rsidR="006E052F" w:rsidRPr="003A4EEC" w:rsidTr="003A4EEC">
        <w:trPr>
          <w:trHeight w:val="5363"/>
        </w:trPr>
        <w:tc>
          <w:tcPr>
            <w:tcW w:w="6120" w:type="dxa"/>
            <w:gridSpan w:val="2"/>
          </w:tcPr>
          <w:p w:rsidR="006E052F" w:rsidRPr="003A4EEC" w:rsidRDefault="006E052F" w:rsidP="006E052F">
            <w:pPr>
              <w:rPr>
                <w:rFonts w:ascii="Calibri" w:hAnsi="Calibri"/>
                <w:sz w:val="18"/>
                <w:szCs w:val="18"/>
              </w:rPr>
            </w:pPr>
            <w:r w:rsidRPr="003A4EEC">
              <w:rPr>
                <w:rFonts w:ascii="Calibri" w:hAnsi="Calibri"/>
                <w:b/>
                <w:sz w:val="18"/>
                <w:szCs w:val="18"/>
              </w:rPr>
              <w:t>Business Summary:</w:t>
            </w:r>
            <w:r w:rsidRPr="003A4EEC">
              <w:rPr>
                <w:rFonts w:ascii="Calibri" w:hAnsi="Calibri"/>
                <w:sz w:val="18"/>
                <w:szCs w:val="18"/>
              </w:rPr>
              <w:t xml:space="preserve"> United Technologies Corp. operates in five business segments: Pratt &amp; Whitney (revenues of $14.5 billion in ’14) makes and services commercial and military aircraft engines; Otis ($12.9 billion) the world’s largest manufacturer and servicer of elevators and escalators; UTC Climate ($16.8 billion) makes heating, ventilating, and air-conditioning (HVAC) equipment; Sikorsky ($7.5 billion) makes helicopters (now sold to Lockheed); UTC Aerospace ($14.2 billion) produces aerospace and industrial products. Acquired Goodrich 7/12. (Value Line)</w:t>
            </w:r>
          </w:p>
          <w:p w:rsidR="006E052F" w:rsidRPr="003A4EEC" w:rsidRDefault="006E052F" w:rsidP="006E052F">
            <w:pPr>
              <w:ind w:right="-108"/>
              <w:rPr>
                <w:rFonts w:ascii="Calibri" w:hAnsi="Calibri"/>
                <w:b/>
                <w:sz w:val="18"/>
                <w:szCs w:val="18"/>
              </w:rPr>
            </w:pPr>
            <w:r w:rsidRPr="003A4EEC">
              <w:rPr>
                <w:rFonts w:ascii="Calibri" w:hAnsi="Calibri"/>
                <w:b/>
                <w:sz w:val="18"/>
                <w:szCs w:val="18"/>
              </w:rPr>
              <w:t xml:space="preserve">Industry Trends: </w:t>
            </w:r>
            <w:r w:rsidRPr="003A4EEC">
              <w:rPr>
                <w:rFonts w:ascii="Calibri" w:hAnsi="Calibri"/>
                <w:sz w:val="18"/>
                <w:szCs w:val="18"/>
              </w:rPr>
              <w:t>There is a positive outlook for the commercial aerospace and neutral outlook on defense for the next 12 months.  Increases in commercial air traffic, driven by recovering global economic trends, will help drive strong commercial aerospace results.  Trade association IATA estimates that global passenger air traffic grew 5.9% in 2014 after growing 5.2% for 2013 and sees growth of 7.0% in 2015.  This continued solid demand for new commercial jets, fueled by growth in the developing markets and a need to replace aging, less fuel-efficient aircraft in developed markets. (S&amp;P Capital IQ)</w:t>
            </w:r>
            <w:r w:rsidRPr="003A4EEC">
              <w:rPr>
                <w:rFonts w:ascii="Calibri" w:hAnsi="Calibri"/>
                <w:b/>
                <w:sz w:val="18"/>
                <w:szCs w:val="18"/>
              </w:rPr>
              <w:t xml:space="preserve"> </w:t>
            </w:r>
          </w:p>
          <w:p w:rsidR="006E052F" w:rsidRPr="003A4EEC" w:rsidRDefault="006E052F" w:rsidP="006E052F">
            <w:pPr>
              <w:rPr>
                <w:rFonts w:ascii="Calibri" w:hAnsi="Calibri"/>
                <w:sz w:val="18"/>
                <w:szCs w:val="18"/>
              </w:rPr>
            </w:pPr>
            <w:r w:rsidRPr="003A4EEC">
              <w:rPr>
                <w:rFonts w:ascii="Calibri" w:hAnsi="Calibri"/>
                <w:b/>
                <w:sz w:val="18"/>
                <w:szCs w:val="18"/>
              </w:rPr>
              <w:t xml:space="preserve">Investment Thesis: </w:t>
            </w:r>
            <w:r w:rsidRPr="003A4EEC">
              <w:rPr>
                <w:rFonts w:ascii="Calibri" w:hAnsi="Calibri"/>
                <w:sz w:val="18"/>
                <w:szCs w:val="18"/>
              </w:rPr>
              <w:t xml:space="preserve">Modest organic growth in 2015 as global economic weakness and currency impacts will </w:t>
            </w:r>
            <w:proofErr w:type="spellStart"/>
            <w:r w:rsidRPr="003A4EEC">
              <w:rPr>
                <w:rFonts w:ascii="Calibri" w:hAnsi="Calibri"/>
                <w:sz w:val="18"/>
                <w:szCs w:val="18"/>
              </w:rPr>
              <w:t>offest</w:t>
            </w:r>
            <w:proofErr w:type="spellEnd"/>
            <w:r w:rsidRPr="003A4EEC">
              <w:rPr>
                <w:rFonts w:ascii="Calibri" w:hAnsi="Calibri"/>
                <w:sz w:val="18"/>
                <w:szCs w:val="18"/>
              </w:rPr>
              <w:t xml:space="preserve"> strong North American growth for United Technologies’ aerospace, building and industrial products and services. For 2016, we see United Technologies garnering substantial operating leverage, aided by the significant prior-years' restructuring, and generating strong free cash flow. Margins and cash flow should also benefit from reduced spending on new restructuring and moderating pension headwinds. (S&amp;P Capital IQ)</w:t>
            </w:r>
          </w:p>
        </w:tc>
        <w:tc>
          <w:tcPr>
            <w:tcW w:w="5052" w:type="dxa"/>
            <w:gridSpan w:val="2"/>
          </w:tcPr>
          <w:p w:rsidR="00742DE7" w:rsidRPr="003A4EEC" w:rsidRDefault="006E052F" w:rsidP="006E052F">
            <w:pPr>
              <w:rPr>
                <w:rFonts w:ascii="Calibri" w:hAnsi="Calibri"/>
                <w:sz w:val="18"/>
                <w:szCs w:val="18"/>
              </w:rPr>
            </w:pPr>
            <w:r w:rsidRPr="003A4EEC">
              <w:rPr>
                <w:rFonts w:ascii="Calibri" w:hAnsi="Calibri"/>
                <w:b/>
                <w:sz w:val="18"/>
                <w:szCs w:val="18"/>
              </w:rPr>
              <w:t>Competitive Analysis:</w:t>
            </w:r>
            <w:r w:rsidR="00742DE7" w:rsidRPr="003A4EEC">
              <w:rPr>
                <w:rFonts w:ascii="Calibri" w:hAnsi="Calibri"/>
                <w:b/>
                <w:sz w:val="18"/>
                <w:szCs w:val="18"/>
              </w:rPr>
              <w:t xml:space="preserve"> </w:t>
            </w:r>
            <w:r w:rsidR="00742DE7" w:rsidRPr="003A4EEC">
              <w:rPr>
                <w:rFonts w:ascii="Calibri" w:hAnsi="Calibri"/>
                <w:sz w:val="18"/>
                <w:szCs w:val="18"/>
              </w:rPr>
              <w:t>Sales are down 12% in 2015 and up 3% in 2016, reflecting weakness in Otis in Europe and a slowdown in demand for aftermarket aerospace products, coupled with currency weakness in foreign markets. Offsetting this is accelerating global air traffic growth, rising aerospace OEM production rates and a strengthening U.S. residential construction market, but weaker U.S. government sales. Currency impacts are likely to cut 3%-4% off of top line growth in 2015. The Goodrich integration is progressing well. Synergies are on track for an incremental $500 million in savings by 2016. (S&amp;P Capital IQ)</w:t>
            </w:r>
          </w:p>
          <w:p w:rsidR="006E052F" w:rsidRPr="003A4EEC" w:rsidRDefault="006E052F" w:rsidP="0060599A">
            <w:pPr>
              <w:rPr>
                <w:rFonts w:ascii="Calibri" w:hAnsi="Calibri"/>
                <w:b/>
                <w:sz w:val="18"/>
                <w:szCs w:val="18"/>
              </w:rPr>
            </w:pPr>
            <w:r w:rsidRPr="003A4EEC">
              <w:rPr>
                <w:rFonts w:ascii="Calibri" w:hAnsi="Calibri"/>
                <w:b/>
                <w:sz w:val="18"/>
                <w:szCs w:val="18"/>
              </w:rPr>
              <w:t>Pros:</w:t>
            </w:r>
          </w:p>
          <w:p w:rsidR="00742DE7" w:rsidRPr="003A4EEC" w:rsidRDefault="00742DE7" w:rsidP="00742DE7">
            <w:pPr>
              <w:pStyle w:val="ListParagraph"/>
              <w:numPr>
                <w:ilvl w:val="0"/>
                <w:numId w:val="1"/>
              </w:numPr>
              <w:rPr>
                <w:rFonts w:ascii="Calibri" w:hAnsi="Calibri"/>
                <w:sz w:val="18"/>
                <w:szCs w:val="18"/>
              </w:rPr>
            </w:pPr>
            <w:r w:rsidRPr="003A4EEC">
              <w:rPr>
                <w:rFonts w:ascii="Calibri" w:hAnsi="Calibri"/>
                <w:sz w:val="18"/>
                <w:szCs w:val="18"/>
              </w:rPr>
              <w:t xml:space="preserve">For 2016, we see UTX garnering substantial operating leverage, aided by the significant prior-years' restructuring, and generating strong free cash flow. </w:t>
            </w:r>
          </w:p>
          <w:p w:rsidR="006E052F" w:rsidRPr="003A4EEC" w:rsidRDefault="00742DE7" w:rsidP="006E052F">
            <w:pPr>
              <w:pStyle w:val="ListParagraph"/>
              <w:numPr>
                <w:ilvl w:val="0"/>
                <w:numId w:val="1"/>
              </w:numPr>
              <w:rPr>
                <w:rFonts w:ascii="Calibri" w:hAnsi="Calibri"/>
                <w:sz w:val="18"/>
                <w:szCs w:val="18"/>
              </w:rPr>
            </w:pPr>
            <w:r w:rsidRPr="003A4EEC">
              <w:rPr>
                <w:rFonts w:ascii="Calibri" w:hAnsi="Calibri"/>
                <w:sz w:val="18"/>
                <w:szCs w:val="18"/>
              </w:rPr>
              <w:t>Margins and cash flow should also benefit from reduced spending on new restructuring and moderating pension headwinds.</w:t>
            </w:r>
          </w:p>
          <w:p w:rsidR="006E052F" w:rsidRPr="003A4EEC" w:rsidRDefault="006E052F" w:rsidP="0060599A">
            <w:pPr>
              <w:rPr>
                <w:rFonts w:ascii="Calibri" w:hAnsi="Calibri"/>
                <w:b/>
                <w:sz w:val="18"/>
                <w:szCs w:val="18"/>
              </w:rPr>
            </w:pPr>
            <w:r w:rsidRPr="003A4EEC">
              <w:rPr>
                <w:rFonts w:ascii="Calibri" w:hAnsi="Calibri"/>
                <w:b/>
                <w:sz w:val="18"/>
                <w:szCs w:val="18"/>
              </w:rPr>
              <w:t>Risk Factors:</w:t>
            </w:r>
          </w:p>
          <w:p w:rsidR="00742DE7" w:rsidRPr="003A4EEC" w:rsidRDefault="00742DE7" w:rsidP="00742DE7">
            <w:pPr>
              <w:pStyle w:val="ListParagraph"/>
              <w:numPr>
                <w:ilvl w:val="0"/>
                <w:numId w:val="2"/>
              </w:numPr>
              <w:rPr>
                <w:rFonts w:ascii="Calibri" w:hAnsi="Calibri"/>
                <w:sz w:val="18"/>
                <w:szCs w:val="18"/>
              </w:rPr>
            </w:pPr>
            <w:r w:rsidRPr="003A4EEC">
              <w:rPr>
                <w:rFonts w:ascii="Calibri" w:hAnsi="Calibri"/>
                <w:sz w:val="18"/>
                <w:szCs w:val="18"/>
              </w:rPr>
              <w:t>The possibility of a worsening in the global economy, acquisition integration risk, operational issues, the impact of sequestration on U.S. defense spending and a sustained rise in the dollar, particularly versus the euro.</w:t>
            </w:r>
          </w:p>
        </w:tc>
      </w:tr>
    </w:tbl>
    <w:tbl>
      <w:tblPr>
        <w:tblStyle w:val="TableGrid"/>
        <w:tblW w:w="11160" w:type="dxa"/>
        <w:tblInd w:w="-792" w:type="dxa"/>
        <w:tblLayout w:type="fixed"/>
        <w:tblLook w:val="04A0" w:firstRow="1" w:lastRow="0" w:firstColumn="1" w:lastColumn="0" w:noHBand="0" w:noVBand="1"/>
      </w:tblPr>
      <w:tblGrid>
        <w:gridCol w:w="6120"/>
        <w:gridCol w:w="5040"/>
      </w:tblGrid>
      <w:tr w:rsidR="0012197E" w:rsidRPr="003A4EEC" w:rsidTr="003A4EEC">
        <w:trPr>
          <w:trHeight w:val="6650"/>
        </w:trPr>
        <w:tc>
          <w:tcPr>
            <w:tcW w:w="6120" w:type="dxa"/>
          </w:tcPr>
          <w:p w:rsidR="0012197E" w:rsidRPr="003A4EEC" w:rsidRDefault="0012197E" w:rsidP="006E052F">
            <w:pPr>
              <w:rPr>
                <w:rFonts w:ascii="Calibri" w:hAnsi="Calibri"/>
                <w:b/>
                <w:sz w:val="18"/>
                <w:szCs w:val="18"/>
              </w:rPr>
            </w:pPr>
            <w:r w:rsidRPr="003A4EEC">
              <w:rPr>
                <w:rFonts w:ascii="Calibri" w:hAnsi="Calibri"/>
                <w:b/>
                <w:sz w:val="18"/>
                <w:szCs w:val="18"/>
              </w:rPr>
              <w:t>5 Year Stock Performance:</w:t>
            </w:r>
          </w:p>
          <w:p w:rsidR="0012197E" w:rsidRPr="003A4EEC" w:rsidRDefault="0012197E" w:rsidP="006E052F">
            <w:pPr>
              <w:rPr>
                <w:rFonts w:ascii="Calibri" w:hAnsi="Calibri"/>
                <w:b/>
                <w:sz w:val="18"/>
                <w:szCs w:val="18"/>
              </w:rPr>
            </w:pPr>
            <w:r w:rsidRPr="003A4EEC">
              <w:rPr>
                <w:rFonts w:ascii="Calibri" w:hAnsi="Calibri"/>
                <w:noProof/>
                <w:sz w:val="18"/>
                <w:szCs w:val="18"/>
              </w:rPr>
              <w:drawing>
                <wp:inline distT="0" distB="0" distL="0" distR="0" wp14:anchorId="208AC689" wp14:editId="06EF3FCD">
                  <wp:extent cx="3663543" cy="23497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ve Year Stock Growth Chart_UTX.PNG"/>
                          <pic:cNvPicPr/>
                        </pic:nvPicPr>
                        <pic:blipFill>
                          <a:blip r:embed="rId6">
                            <a:extLst>
                              <a:ext uri="{28A0092B-C50C-407E-A947-70E740481C1C}">
                                <a14:useLocalDpi xmlns:a14="http://schemas.microsoft.com/office/drawing/2010/main" val="0"/>
                              </a:ext>
                            </a:extLst>
                          </a:blip>
                          <a:stretch>
                            <a:fillRect/>
                          </a:stretch>
                        </pic:blipFill>
                        <pic:spPr>
                          <a:xfrm>
                            <a:off x="0" y="0"/>
                            <a:ext cx="3672116" cy="2355294"/>
                          </a:xfrm>
                          <a:prstGeom prst="rect">
                            <a:avLst/>
                          </a:prstGeom>
                        </pic:spPr>
                      </pic:pic>
                    </a:graphicData>
                  </a:graphic>
                </wp:inline>
              </w:drawing>
            </w:r>
          </w:p>
          <w:p w:rsidR="003A4EEC" w:rsidRPr="003A4EEC" w:rsidRDefault="003A4EEC" w:rsidP="006E052F">
            <w:pPr>
              <w:rPr>
                <w:rFonts w:ascii="Calibri" w:hAnsi="Calibri"/>
                <w:b/>
                <w:sz w:val="18"/>
                <w:szCs w:val="18"/>
              </w:rPr>
            </w:pPr>
          </w:p>
          <w:p w:rsidR="003A4EEC" w:rsidRPr="003A4EEC" w:rsidRDefault="003A4EEC" w:rsidP="006E052F">
            <w:pPr>
              <w:rPr>
                <w:rFonts w:ascii="Calibri" w:hAnsi="Calibri"/>
                <w:b/>
                <w:sz w:val="18"/>
                <w:szCs w:val="18"/>
              </w:rPr>
            </w:pPr>
            <w:r w:rsidRPr="003A4EEC">
              <w:rPr>
                <w:rFonts w:ascii="Calibri" w:hAnsi="Calibri"/>
                <w:noProof/>
                <w:sz w:val="18"/>
                <w:szCs w:val="18"/>
              </w:rPr>
              <w:drawing>
                <wp:inline distT="0" distB="0" distL="0" distR="0" wp14:anchorId="236F60A2" wp14:editId="02DAF36F">
                  <wp:extent cx="3721395" cy="1577382"/>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66684" cy="1596579"/>
                          </a:xfrm>
                          <a:prstGeom prst="rect">
                            <a:avLst/>
                          </a:prstGeom>
                          <a:noFill/>
                          <a:ln>
                            <a:noFill/>
                          </a:ln>
                        </pic:spPr>
                      </pic:pic>
                    </a:graphicData>
                  </a:graphic>
                </wp:inline>
              </w:drawing>
            </w:r>
          </w:p>
        </w:tc>
        <w:tc>
          <w:tcPr>
            <w:tcW w:w="5040" w:type="dxa"/>
          </w:tcPr>
          <w:p w:rsidR="0012197E" w:rsidRPr="003A4EEC" w:rsidRDefault="003A4EEC" w:rsidP="006E052F">
            <w:pPr>
              <w:rPr>
                <w:rFonts w:ascii="Calibri" w:hAnsi="Calibri"/>
                <w:b/>
                <w:sz w:val="18"/>
                <w:szCs w:val="18"/>
              </w:rPr>
            </w:pPr>
            <w:r w:rsidRPr="003A4EEC">
              <w:rPr>
                <w:rFonts w:ascii="Calibri" w:hAnsi="Calibri"/>
                <w:b/>
                <w:sz w:val="18"/>
                <w:szCs w:val="18"/>
              </w:rPr>
              <w:t>Key Valuation Assumptions</w:t>
            </w:r>
          </w:p>
          <w:p w:rsidR="00D36C0B" w:rsidRDefault="003A4EEC" w:rsidP="006E052F">
            <w:pPr>
              <w:rPr>
                <w:rFonts w:ascii="Calibri" w:hAnsi="Calibri"/>
                <w:sz w:val="18"/>
                <w:szCs w:val="18"/>
              </w:rPr>
            </w:pPr>
            <w:r w:rsidRPr="003A4EEC">
              <w:rPr>
                <w:rFonts w:ascii="Calibri" w:hAnsi="Calibri"/>
                <w:sz w:val="18"/>
                <w:szCs w:val="18"/>
              </w:rPr>
              <w:t xml:space="preserve">Estimated Revenue Growth: </w:t>
            </w:r>
            <w:r w:rsidR="00D36C0B">
              <w:rPr>
                <w:rFonts w:ascii="Calibri" w:hAnsi="Calibri"/>
                <w:sz w:val="18"/>
                <w:szCs w:val="18"/>
              </w:rPr>
              <w:t>3.5%</w:t>
            </w:r>
          </w:p>
          <w:p w:rsidR="003A4EEC" w:rsidRPr="003A4EEC" w:rsidRDefault="00D36C0B" w:rsidP="006E052F">
            <w:pPr>
              <w:rPr>
                <w:rFonts w:ascii="Calibri" w:hAnsi="Calibri"/>
                <w:sz w:val="18"/>
                <w:szCs w:val="18"/>
              </w:rPr>
            </w:pPr>
            <w:r>
              <w:rPr>
                <w:rFonts w:ascii="Calibri" w:hAnsi="Calibri"/>
                <w:sz w:val="18"/>
                <w:szCs w:val="18"/>
              </w:rPr>
              <w:t xml:space="preserve">WACC: </w:t>
            </w:r>
            <w:r w:rsidR="003A4EEC" w:rsidRPr="003A4EEC">
              <w:rPr>
                <w:rFonts w:ascii="Calibri" w:hAnsi="Calibri"/>
                <w:sz w:val="18"/>
                <w:szCs w:val="18"/>
              </w:rPr>
              <w:t>8</w:t>
            </w:r>
            <w:r>
              <w:rPr>
                <w:rFonts w:ascii="Calibri" w:hAnsi="Calibri"/>
                <w:sz w:val="18"/>
                <w:szCs w:val="18"/>
              </w:rPr>
              <w:t>.5</w:t>
            </w:r>
            <w:r w:rsidR="003A4EEC" w:rsidRPr="003A4EEC">
              <w:rPr>
                <w:rFonts w:ascii="Calibri" w:hAnsi="Calibri"/>
                <w:sz w:val="18"/>
                <w:szCs w:val="18"/>
              </w:rPr>
              <w:t>%</w:t>
            </w:r>
          </w:p>
          <w:p w:rsidR="00A9131E" w:rsidRPr="003A4EEC" w:rsidRDefault="0012197E" w:rsidP="006E052F">
            <w:pPr>
              <w:rPr>
                <w:rFonts w:ascii="Calibri" w:hAnsi="Calibri"/>
                <w:sz w:val="18"/>
                <w:szCs w:val="18"/>
              </w:rPr>
            </w:pPr>
            <w:r w:rsidRPr="003A4EEC">
              <w:rPr>
                <w:rFonts w:ascii="Calibri" w:hAnsi="Calibri"/>
                <w:sz w:val="18"/>
                <w:szCs w:val="18"/>
              </w:rPr>
              <w:t>Expected Inflation:</w:t>
            </w:r>
            <w:r w:rsidR="00A9131E">
              <w:rPr>
                <w:rFonts w:ascii="Calibri" w:hAnsi="Calibri"/>
                <w:sz w:val="18"/>
                <w:szCs w:val="18"/>
              </w:rPr>
              <w:t xml:space="preserve"> 1.8%</w:t>
            </w:r>
          </w:p>
          <w:p w:rsidR="0012197E" w:rsidRPr="003A4EEC" w:rsidRDefault="0012197E" w:rsidP="006E052F">
            <w:pPr>
              <w:rPr>
                <w:rFonts w:ascii="Calibri" w:hAnsi="Calibri"/>
                <w:sz w:val="18"/>
                <w:szCs w:val="18"/>
              </w:rPr>
            </w:pPr>
            <w:r w:rsidRPr="003A4EEC">
              <w:rPr>
                <w:rFonts w:ascii="Calibri" w:hAnsi="Calibri"/>
                <w:sz w:val="18"/>
                <w:szCs w:val="18"/>
              </w:rPr>
              <w:t>Terminal Growth Rate:</w:t>
            </w:r>
            <w:r w:rsidR="00A9131E">
              <w:rPr>
                <w:rFonts w:ascii="Calibri" w:hAnsi="Calibri"/>
                <w:sz w:val="18"/>
                <w:szCs w:val="18"/>
              </w:rPr>
              <w:t xml:space="preserve"> 3.5%</w:t>
            </w:r>
          </w:p>
          <w:p w:rsidR="0012197E" w:rsidRPr="003A4EEC" w:rsidRDefault="0012197E" w:rsidP="006E052F">
            <w:pPr>
              <w:rPr>
                <w:rFonts w:ascii="Calibri" w:hAnsi="Calibri"/>
                <w:sz w:val="18"/>
                <w:szCs w:val="18"/>
              </w:rPr>
            </w:pPr>
            <w:r w:rsidRPr="003A4EEC">
              <w:rPr>
                <w:rFonts w:ascii="Calibri" w:hAnsi="Calibri"/>
                <w:sz w:val="18"/>
                <w:szCs w:val="18"/>
              </w:rPr>
              <w:t>10 Year Risk Free Rate:</w:t>
            </w:r>
            <w:r w:rsidR="00A9131E">
              <w:rPr>
                <w:rFonts w:ascii="Calibri" w:hAnsi="Calibri"/>
                <w:sz w:val="18"/>
                <w:szCs w:val="18"/>
              </w:rPr>
              <w:t xml:space="preserve"> 2.08%</w:t>
            </w:r>
          </w:p>
          <w:p w:rsidR="0012197E" w:rsidRPr="003A4EEC" w:rsidRDefault="0012197E" w:rsidP="006E052F">
            <w:pPr>
              <w:rPr>
                <w:rFonts w:ascii="Calibri" w:hAnsi="Calibri"/>
                <w:sz w:val="18"/>
                <w:szCs w:val="18"/>
              </w:rPr>
            </w:pPr>
            <w:r w:rsidRPr="003A4EEC">
              <w:rPr>
                <w:rFonts w:ascii="Calibri" w:hAnsi="Calibri"/>
                <w:sz w:val="18"/>
                <w:szCs w:val="18"/>
              </w:rPr>
              <w:t>Equity Risk Premium:</w:t>
            </w:r>
            <w:r w:rsidR="00BE41CC">
              <w:rPr>
                <w:rFonts w:ascii="Calibri" w:hAnsi="Calibri"/>
                <w:sz w:val="18"/>
                <w:szCs w:val="18"/>
              </w:rPr>
              <w:t xml:space="preserve"> 7.2%</w:t>
            </w:r>
          </w:p>
          <w:p w:rsidR="0012197E" w:rsidRPr="003A4EEC" w:rsidRDefault="0012197E" w:rsidP="006E052F">
            <w:pPr>
              <w:rPr>
                <w:rFonts w:ascii="Calibri" w:hAnsi="Calibri"/>
                <w:sz w:val="18"/>
                <w:szCs w:val="18"/>
              </w:rPr>
            </w:pPr>
            <w:r w:rsidRPr="003A4EEC">
              <w:rPr>
                <w:rFonts w:ascii="Calibri" w:hAnsi="Calibri"/>
                <w:sz w:val="18"/>
                <w:szCs w:val="18"/>
              </w:rPr>
              <w:t>Tax Rate:</w:t>
            </w:r>
            <w:r w:rsidR="00A9131E">
              <w:rPr>
                <w:rFonts w:ascii="Calibri" w:hAnsi="Calibri"/>
                <w:sz w:val="18"/>
                <w:szCs w:val="18"/>
              </w:rPr>
              <w:t xml:space="preserve"> 30%</w:t>
            </w:r>
          </w:p>
          <w:p w:rsidR="0012197E" w:rsidRPr="003A4EEC" w:rsidRDefault="0012197E" w:rsidP="006E052F">
            <w:pPr>
              <w:rPr>
                <w:rFonts w:ascii="Calibri" w:hAnsi="Calibri"/>
                <w:b/>
                <w:sz w:val="18"/>
                <w:szCs w:val="18"/>
              </w:rPr>
            </w:pPr>
            <w:r w:rsidRPr="003A4EEC">
              <w:rPr>
                <w:rFonts w:ascii="Calibri" w:hAnsi="Calibri"/>
                <w:b/>
                <w:sz w:val="18"/>
                <w:szCs w:val="18"/>
              </w:rPr>
              <w:t>Key Financial Data</w:t>
            </w:r>
          </w:p>
          <w:p w:rsidR="0012197E" w:rsidRPr="003A4EEC" w:rsidRDefault="0012197E" w:rsidP="006E052F">
            <w:pPr>
              <w:rPr>
                <w:rFonts w:ascii="Calibri" w:hAnsi="Calibri"/>
                <w:sz w:val="18"/>
                <w:szCs w:val="18"/>
              </w:rPr>
            </w:pPr>
            <w:r w:rsidRPr="003A4EEC">
              <w:rPr>
                <w:rFonts w:ascii="Calibri" w:hAnsi="Calibri"/>
                <w:sz w:val="18"/>
                <w:szCs w:val="18"/>
              </w:rPr>
              <w:t>Est 2015 EPS:</w:t>
            </w:r>
            <w:r w:rsidR="00AD0373">
              <w:rPr>
                <w:rFonts w:ascii="Calibri" w:hAnsi="Calibri"/>
                <w:sz w:val="18"/>
                <w:szCs w:val="18"/>
              </w:rPr>
              <w:t xml:space="preserve"> 6.22</w:t>
            </w:r>
          </w:p>
          <w:p w:rsidR="0012197E" w:rsidRPr="003A4EEC" w:rsidRDefault="0012197E" w:rsidP="006E052F">
            <w:pPr>
              <w:rPr>
                <w:rFonts w:ascii="Calibri" w:hAnsi="Calibri"/>
                <w:sz w:val="18"/>
                <w:szCs w:val="18"/>
              </w:rPr>
            </w:pPr>
            <w:r w:rsidRPr="003A4EEC">
              <w:rPr>
                <w:rFonts w:ascii="Calibri" w:hAnsi="Calibri"/>
                <w:sz w:val="18"/>
                <w:szCs w:val="18"/>
              </w:rPr>
              <w:t>Est 2016 EPS:</w:t>
            </w:r>
            <w:r w:rsidR="00AD0373">
              <w:rPr>
                <w:rFonts w:ascii="Calibri" w:hAnsi="Calibri"/>
                <w:sz w:val="18"/>
                <w:szCs w:val="18"/>
              </w:rPr>
              <w:t xml:space="preserve"> 6.65</w:t>
            </w:r>
          </w:p>
          <w:p w:rsidR="0012197E" w:rsidRPr="003A4EEC" w:rsidRDefault="0012197E" w:rsidP="006E052F">
            <w:pPr>
              <w:rPr>
                <w:rFonts w:ascii="Calibri" w:hAnsi="Calibri"/>
                <w:sz w:val="18"/>
                <w:szCs w:val="18"/>
              </w:rPr>
            </w:pPr>
            <w:r w:rsidRPr="003A4EEC">
              <w:rPr>
                <w:rFonts w:ascii="Calibri" w:hAnsi="Calibri"/>
                <w:sz w:val="18"/>
                <w:szCs w:val="18"/>
              </w:rPr>
              <w:t>3-5 Year Est EPS Growth:</w:t>
            </w:r>
            <w:r w:rsidR="002C3069">
              <w:rPr>
                <w:rFonts w:ascii="Calibri" w:hAnsi="Calibri"/>
                <w:sz w:val="18"/>
                <w:szCs w:val="18"/>
              </w:rPr>
              <w:t xml:space="preserve"> 8.91%</w:t>
            </w:r>
          </w:p>
          <w:p w:rsidR="0012197E" w:rsidRPr="003A4EEC" w:rsidRDefault="0012197E" w:rsidP="006E052F">
            <w:pPr>
              <w:rPr>
                <w:rFonts w:ascii="Calibri" w:hAnsi="Calibri"/>
                <w:sz w:val="18"/>
                <w:szCs w:val="18"/>
              </w:rPr>
            </w:pPr>
            <w:r w:rsidRPr="003A4EEC">
              <w:rPr>
                <w:rFonts w:ascii="Calibri" w:hAnsi="Calibri"/>
                <w:sz w:val="18"/>
                <w:szCs w:val="18"/>
              </w:rPr>
              <w:t>PEG (TTM):</w:t>
            </w:r>
            <w:r w:rsidR="00AD0373">
              <w:rPr>
                <w:rFonts w:ascii="Calibri" w:hAnsi="Calibri"/>
                <w:sz w:val="18"/>
                <w:szCs w:val="18"/>
              </w:rPr>
              <w:t xml:space="preserve"> 1.23</w:t>
            </w:r>
          </w:p>
          <w:p w:rsidR="0012197E" w:rsidRPr="003A4EEC" w:rsidRDefault="0012197E" w:rsidP="006E052F">
            <w:pPr>
              <w:rPr>
                <w:rFonts w:ascii="Calibri" w:hAnsi="Calibri"/>
                <w:sz w:val="18"/>
                <w:szCs w:val="18"/>
              </w:rPr>
            </w:pPr>
            <w:r w:rsidRPr="003A4EEC">
              <w:rPr>
                <w:rFonts w:ascii="Calibri" w:hAnsi="Calibri"/>
                <w:sz w:val="18"/>
                <w:szCs w:val="18"/>
              </w:rPr>
              <w:t>Credit Quality:</w:t>
            </w:r>
            <w:r w:rsidR="002C3069">
              <w:rPr>
                <w:rFonts w:ascii="Calibri" w:hAnsi="Calibri"/>
                <w:sz w:val="18"/>
                <w:szCs w:val="18"/>
              </w:rPr>
              <w:t xml:space="preserve"> A2 (Moody’s), A- (S&amp;P)</w:t>
            </w:r>
          </w:p>
          <w:p w:rsidR="0012197E" w:rsidRPr="003A4EEC" w:rsidRDefault="0012197E" w:rsidP="006E052F">
            <w:pPr>
              <w:rPr>
                <w:rFonts w:ascii="Calibri" w:hAnsi="Calibri"/>
                <w:sz w:val="18"/>
                <w:szCs w:val="18"/>
              </w:rPr>
            </w:pPr>
            <w:r w:rsidRPr="003A4EEC">
              <w:rPr>
                <w:rFonts w:ascii="Calibri" w:hAnsi="Calibri"/>
                <w:sz w:val="18"/>
                <w:szCs w:val="18"/>
              </w:rPr>
              <w:t>ROE:</w:t>
            </w:r>
            <w:r w:rsidR="00AD0373">
              <w:rPr>
                <w:rFonts w:ascii="Calibri" w:hAnsi="Calibri"/>
                <w:sz w:val="18"/>
                <w:szCs w:val="18"/>
              </w:rPr>
              <w:t xml:space="preserve"> 19.72</w:t>
            </w:r>
          </w:p>
          <w:p w:rsidR="0012197E" w:rsidRPr="003A4EEC" w:rsidRDefault="0012197E" w:rsidP="006E052F">
            <w:pPr>
              <w:rPr>
                <w:rFonts w:ascii="Calibri" w:hAnsi="Calibri"/>
                <w:sz w:val="18"/>
                <w:szCs w:val="18"/>
              </w:rPr>
            </w:pPr>
            <w:r w:rsidRPr="003A4EEC">
              <w:rPr>
                <w:rFonts w:ascii="Calibri" w:hAnsi="Calibri"/>
                <w:sz w:val="18"/>
                <w:szCs w:val="18"/>
              </w:rPr>
              <w:t>ROA:</w:t>
            </w:r>
            <w:r w:rsidR="00AD0373">
              <w:rPr>
                <w:rFonts w:ascii="Calibri" w:hAnsi="Calibri"/>
                <w:sz w:val="18"/>
                <w:szCs w:val="18"/>
              </w:rPr>
              <w:t xml:space="preserve"> 6.84</w:t>
            </w:r>
          </w:p>
          <w:p w:rsidR="0012197E" w:rsidRPr="003A4EEC" w:rsidRDefault="0012197E" w:rsidP="006E052F">
            <w:pPr>
              <w:rPr>
                <w:rFonts w:ascii="Calibri" w:hAnsi="Calibri"/>
                <w:sz w:val="18"/>
                <w:szCs w:val="18"/>
              </w:rPr>
            </w:pPr>
            <w:r w:rsidRPr="003A4EEC">
              <w:rPr>
                <w:rFonts w:ascii="Calibri" w:hAnsi="Calibri"/>
                <w:sz w:val="18"/>
                <w:szCs w:val="18"/>
              </w:rPr>
              <w:t>Price/Book:</w:t>
            </w:r>
            <w:r w:rsidR="00AD0373">
              <w:rPr>
                <w:rFonts w:ascii="Calibri" w:hAnsi="Calibri"/>
                <w:sz w:val="18"/>
                <w:szCs w:val="18"/>
              </w:rPr>
              <w:t xml:space="preserve"> 3.35</w:t>
            </w:r>
          </w:p>
          <w:p w:rsidR="0012197E" w:rsidRPr="003A4EEC" w:rsidRDefault="0012197E" w:rsidP="006E052F">
            <w:pPr>
              <w:rPr>
                <w:rFonts w:ascii="Calibri" w:hAnsi="Calibri"/>
                <w:sz w:val="18"/>
                <w:szCs w:val="18"/>
              </w:rPr>
            </w:pPr>
            <w:r w:rsidRPr="003A4EEC">
              <w:rPr>
                <w:rFonts w:ascii="Calibri" w:hAnsi="Calibri"/>
                <w:sz w:val="18"/>
                <w:szCs w:val="18"/>
              </w:rPr>
              <w:t>Price/Cash Flow:</w:t>
            </w:r>
            <w:r w:rsidR="00AD0373">
              <w:rPr>
                <w:rFonts w:ascii="Calibri" w:hAnsi="Calibri"/>
                <w:sz w:val="18"/>
                <w:szCs w:val="18"/>
              </w:rPr>
              <w:t xml:space="preserve"> 14.29</w:t>
            </w:r>
          </w:p>
          <w:p w:rsidR="0012197E" w:rsidRPr="003A4EEC" w:rsidRDefault="0012197E" w:rsidP="006E052F">
            <w:pPr>
              <w:rPr>
                <w:rFonts w:ascii="Calibri" w:hAnsi="Calibri"/>
                <w:sz w:val="18"/>
                <w:szCs w:val="18"/>
              </w:rPr>
            </w:pPr>
            <w:r w:rsidRPr="003A4EEC">
              <w:rPr>
                <w:rFonts w:ascii="Calibri" w:hAnsi="Calibri"/>
                <w:sz w:val="18"/>
                <w:szCs w:val="18"/>
              </w:rPr>
              <w:t>Debt/Equity:</w:t>
            </w:r>
            <w:r w:rsidR="00AD0373">
              <w:rPr>
                <w:rFonts w:ascii="Calibri" w:hAnsi="Calibri"/>
                <w:sz w:val="18"/>
                <w:szCs w:val="18"/>
              </w:rPr>
              <w:t xml:space="preserve"> 63.43</w:t>
            </w:r>
          </w:p>
          <w:p w:rsidR="0012197E" w:rsidRPr="003A4EEC" w:rsidRDefault="0012197E" w:rsidP="006E052F">
            <w:pPr>
              <w:rPr>
                <w:rFonts w:ascii="Calibri" w:hAnsi="Calibri"/>
                <w:sz w:val="18"/>
                <w:szCs w:val="18"/>
              </w:rPr>
            </w:pPr>
            <w:r w:rsidRPr="003A4EEC">
              <w:rPr>
                <w:rFonts w:ascii="Calibri" w:hAnsi="Calibri"/>
                <w:sz w:val="18"/>
                <w:szCs w:val="18"/>
              </w:rPr>
              <w:t>Current Ratio:</w:t>
            </w:r>
            <w:r w:rsidR="00AD0373">
              <w:rPr>
                <w:rFonts w:ascii="Calibri" w:hAnsi="Calibri"/>
                <w:sz w:val="18"/>
                <w:szCs w:val="18"/>
              </w:rPr>
              <w:t xml:space="preserve"> 1.30</w:t>
            </w:r>
          </w:p>
          <w:p w:rsidR="0012197E" w:rsidRPr="003A4EEC" w:rsidRDefault="0012197E" w:rsidP="006E052F">
            <w:pPr>
              <w:rPr>
                <w:rFonts w:ascii="Calibri" w:hAnsi="Calibri"/>
                <w:sz w:val="18"/>
                <w:szCs w:val="18"/>
              </w:rPr>
            </w:pPr>
            <w:r w:rsidRPr="003A4EEC">
              <w:rPr>
                <w:rFonts w:ascii="Calibri" w:hAnsi="Calibri"/>
                <w:sz w:val="18"/>
                <w:szCs w:val="18"/>
              </w:rPr>
              <w:t>Quick Ratio:</w:t>
            </w:r>
            <w:r w:rsidR="00AD0373">
              <w:rPr>
                <w:rFonts w:ascii="Calibri" w:hAnsi="Calibri"/>
                <w:sz w:val="18"/>
                <w:szCs w:val="18"/>
              </w:rPr>
              <w:t xml:space="preserve"> 0.87</w:t>
            </w:r>
          </w:p>
          <w:p w:rsidR="0012197E" w:rsidRPr="003A4EEC" w:rsidRDefault="0012197E" w:rsidP="006E052F">
            <w:pPr>
              <w:rPr>
                <w:rFonts w:ascii="Calibri" w:hAnsi="Calibri"/>
                <w:b/>
                <w:sz w:val="18"/>
                <w:szCs w:val="18"/>
              </w:rPr>
            </w:pPr>
            <w:r w:rsidRPr="003A4EEC">
              <w:rPr>
                <w:rFonts w:ascii="Calibri" w:hAnsi="Calibri"/>
                <w:b/>
                <w:sz w:val="18"/>
                <w:szCs w:val="18"/>
              </w:rPr>
              <w:t>CSR Characteristics</w:t>
            </w:r>
            <w:r w:rsidR="00A9131E">
              <w:rPr>
                <w:rFonts w:ascii="Calibri" w:hAnsi="Calibri"/>
                <w:b/>
                <w:sz w:val="18"/>
                <w:szCs w:val="18"/>
              </w:rPr>
              <w:t xml:space="preserve"> (Company/Industry)</w:t>
            </w:r>
          </w:p>
          <w:p w:rsidR="0012197E" w:rsidRDefault="0012197E" w:rsidP="006E052F">
            <w:pPr>
              <w:rPr>
                <w:rFonts w:ascii="Calibri" w:hAnsi="Calibri"/>
                <w:sz w:val="18"/>
                <w:szCs w:val="18"/>
              </w:rPr>
            </w:pPr>
            <w:r w:rsidRPr="003A4EEC">
              <w:rPr>
                <w:rFonts w:ascii="Calibri" w:hAnsi="Calibri"/>
                <w:sz w:val="18"/>
                <w:szCs w:val="18"/>
              </w:rPr>
              <w:t>ESG Disclosure</w:t>
            </w:r>
            <w:r w:rsidR="000C4B6B">
              <w:rPr>
                <w:rFonts w:ascii="Calibri" w:hAnsi="Calibri"/>
                <w:sz w:val="18"/>
                <w:szCs w:val="18"/>
              </w:rPr>
              <w:t xml:space="preserve"> Score</w:t>
            </w:r>
            <w:r w:rsidRPr="003A4EEC">
              <w:rPr>
                <w:rFonts w:ascii="Calibri" w:hAnsi="Calibri"/>
                <w:sz w:val="18"/>
                <w:szCs w:val="18"/>
              </w:rPr>
              <w:t>:</w:t>
            </w:r>
            <w:r w:rsidR="000C4B6B">
              <w:rPr>
                <w:rFonts w:ascii="Calibri" w:hAnsi="Calibri"/>
                <w:sz w:val="18"/>
                <w:szCs w:val="18"/>
              </w:rPr>
              <w:t xml:space="preserve"> 28.10 (</w:t>
            </w:r>
            <w:r w:rsidR="00A9131E">
              <w:rPr>
                <w:rFonts w:ascii="Calibri" w:hAnsi="Calibri"/>
                <w:sz w:val="18"/>
                <w:szCs w:val="18"/>
              </w:rPr>
              <w:t>20.77</w:t>
            </w:r>
            <w:r w:rsidR="000C4B6B">
              <w:rPr>
                <w:rFonts w:ascii="Calibri" w:hAnsi="Calibri"/>
                <w:sz w:val="18"/>
                <w:szCs w:val="18"/>
              </w:rPr>
              <w:t xml:space="preserve"> Industry Average)</w:t>
            </w:r>
          </w:p>
          <w:p w:rsidR="000C4B6B" w:rsidRDefault="000C4B6B" w:rsidP="006E052F">
            <w:pPr>
              <w:rPr>
                <w:rFonts w:ascii="Calibri" w:hAnsi="Calibri"/>
                <w:sz w:val="18"/>
                <w:szCs w:val="18"/>
              </w:rPr>
            </w:pPr>
            <w:r>
              <w:rPr>
                <w:rFonts w:ascii="Calibri" w:hAnsi="Calibri"/>
                <w:sz w:val="18"/>
                <w:szCs w:val="18"/>
              </w:rPr>
              <w:t>Governance Disclosure Score: 55.36 (53.41 Industry Average)</w:t>
            </w:r>
          </w:p>
          <w:p w:rsidR="000C4B6B" w:rsidRPr="003A4EEC" w:rsidRDefault="000C4B6B" w:rsidP="006E052F">
            <w:pPr>
              <w:rPr>
                <w:rFonts w:ascii="Calibri" w:hAnsi="Calibri"/>
                <w:sz w:val="18"/>
                <w:szCs w:val="18"/>
              </w:rPr>
            </w:pPr>
            <w:r>
              <w:rPr>
                <w:rFonts w:ascii="Calibri" w:hAnsi="Calibri"/>
                <w:sz w:val="18"/>
                <w:szCs w:val="18"/>
              </w:rPr>
              <w:t>Social Disclosure Score: 24.56 (25.06 Industry Average)</w:t>
            </w:r>
          </w:p>
          <w:p w:rsidR="0012197E" w:rsidRPr="003A4EEC" w:rsidRDefault="0012197E" w:rsidP="006E052F">
            <w:pPr>
              <w:rPr>
                <w:rFonts w:ascii="Calibri" w:hAnsi="Calibri"/>
                <w:sz w:val="18"/>
                <w:szCs w:val="18"/>
              </w:rPr>
            </w:pPr>
            <w:r w:rsidRPr="003A4EEC">
              <w:rPr>
                <w:rFonts w:ascii="Calibri" w:hAnsi="Calibri"/>
                <w:sz w:val="18"/>
                <w:szCs w:val="18"/>
              </w:rPr>
              <w:t>Environmental Disclosure:</w:t>
            </w:r>
            <w:r w:rsidR="00A9131E">
              <w:rPr>
                <w:rFonts w:ascii="Calibri" w:hAnsi="Calibri"/>
                <w:sz w:val="18"/>
                <w:szCs w:val="18"/>
              </w:rPr>
              <w:t xml:space="preserve"> 17.83</w:t>
            </w:r>
            <w:r w:rsidR="000C4B6B">
              <w:rPr>
                <w:rFonts w:ascii="Calibri" w:hAnsi="Calibri"/>
                <w:sz w:val="18"/>
                <w:szCs w:val="18"/>
              </w:rPr>
              <w:t xml:space="preserve"> (</w:t>
            </w:r>
            <w:r w:rsidR="00A9131E">
              <w:rPr>
                <w:rFonts w:ascii="Calibri" w:hAnsi="Calibri"/>
                <w:sz w:val="18"/>
                <w:szCs w:val="18"/>
              </w:rPr>
              <w:t>16.28</w:t>
            </w:r>
            <w:r w:rsidR="000C4B6B">
              <w:rPr>
                <w:rFonts w:ascii="Calibri" w:hAnsi="Calibri"/>
                <w:sz w:val="18"/>
                <w:szCs w:val="18"/>
              </w:rPr>
              <w:t xml:space="preserve"> Industry Average)</w:t>
            </w:r>
            <w:bookmarkStart w:id="0" w:name="_GoBack"/>
            <w:bookmarkEnd w:id="0"/>
          </w:p>
          <w:p w:rsidR="0012197E" w:rsidRDefault="0012197E" w:rsidP="0012197E">
            <w:pPr>
              <w:rPr>
                <w:rFonts w:ascii="Calibri" w:hAnsi="Calibri"/>
                <w:b/>
                <w:sz w:val="18"/>
                <w:szCs w:val="18"/>
              </w:rPr>
            </w:pPr>
            <w:r w:rsidRPr="003A4EEC">
              <w:rPr>
                <w:rFonts w:ascii="Calibri" w:hAnsi="Calibri"/>
                <w:b/>
                <w:sz w:val="18"/>
                <w:szCs w:val="18"/>
              </w:rPr>
              <w:t xml:space="preserve">Prepared by Alex </w:t>
            </w:r>
            <w:proofErr w:type="spellStart"/>
            <w:r w:rsidRPr="003A4EEC">
              <w:rPr>
                <w:rFonts w:ascii="Calibri" w:hAnsi="Calibri"/>
                <w:b/>
                <w:sz w:val="18"/>
                <w:szCs w:val="18"/>
              </w:rPr>
              <w:t>Sadowski</w:t>
            </w:r>
            <w:proofErr w:type="spellEnd"/>
            <w:r w:rsidRPr="003A4EEC">
              <w:rPr>
                <w:rFonts w:ascii="Calibri" w:hAnsi="Calibri"/>
                <w:b/>
                <w:sz w:val="18"/>
                <w:szCs w:val="18"/>
              </w:rPr>
              <w:t xml:space="preserve"> (October 21, 2015)</w:t>
            </w:r>
          </w:p>
          <w:p w:rsidR="008E5014" w:rsidRPr="008E5014" w:rsidRDefault="008E5014" w:rsidP="0012197E">
            <w:pPr>
              <w:rPr>
                <w:rFonts w:ascii="Calibri" w:hAnsi="Calibri"/>
                <w:sz w:val="18"/>
                <w:szCs w:val="18"/>
              </w:rPr>
            </w:pPr>
            <w:r>
              <w:rPr>
                <w:rFonts w:ascii="Calibri" w:hAnsi="Calibri"/>
                <w:sz w:val="18"/>
                <w:szCs w:val="18"/>
              </w:rPr>
              <w:t>Information From: Bloomberg, Value Line, S&amp;P Net Advantage, and Yahoo Finance</w:t>
            </w:r>
          </w:p>
        </w:tc>
      </w:tr>
    </w:tbl>
    <w:p w:rsidR="00A860CB" w:rsidRPr="003A4EEC" w:rsidRDefault="00A860CB" w:rsidP="006E052F">
      <w:pPr>
        <w:rPr>
          <w:rFonts w:ascii="Calibri" w:hAnsi="Calibri"/>
          <w:sz w:val="18"/>
          <w:szCs w:val="18"/>
        </w:rPr>
      </w:pPr>
    </w:p>
    <w:sectPr w:rsidR="00A860CB" w:rsidRPr="003A4E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A6C1B"/>
    <w:multiLevelType w:val="hybridMultilevel"/>
    <w:tmpl w:val="3564BA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633A7DC2"/>
    <w:multiLevelType w:val="hybridMultilevel"/>
    <w:tmpl w:val="B56C90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AB8"/>
    <w:rsid w:val="00017B72"/>
    <w:rsid w:val="00034657"/>
    <w:rsid w:val="00075BF4"/>
    <w:rsid w:val="000A1544"/>
    <w:rsid w:val="000C0A0D"/>
    <w:rsid w:val="000C4B6B"/>
    <w:rsid w:val="0012197E"/>
    <w:rsid w:val="00192CC7"/>
    <w:rsid w:val="001D54B7"/>
    <w:rsid w:val="00226F97"/>
    <w:rsid w:val="00256F36"/>
    <w:rsid w:val="002827C9"/>
    <w:rsid w:val="002A5AE4"/>
    <w:rsid w:val="002C3069"/>
    <w:rsid w:val="002E5E13"/>
    <w:rsid w:val="003176CD"/>
    <w:rsid w:val="00354088"/>
    <w:rsid w:val="00390FF0"/>
    <w:rsid w:val="00392303"/>
    <w:rsid w:val="003A4EEC"/>
    <w:rsid w:val="0042098D"/>
    <w:rsid w:val="004362DE"/>
    <w:rsid w:val="004A099F"/>
    <w:rsid w:val="004A3A31"/>
    <w:rsid w:val="00507EAC"/>
    <w:rsid w:val="00563214"/>
    <w:rsid w:val="00587B25"/>
    <w:rsid w:val="005A4CC7"/>
    <w:rsid w:val="0060599A"/>
    <w:rsid w:val="00617567"/>
    <w:rsid w:val="00632E16"/>
    <w:rsid w:val="0064770F"/>
    <w:rsid w:val="00647E4A"/>
    <w:rsid w:val="00674254"/>
    <w:rsid w:val="00685821"/>
    <w:rsid w:val="006A6A2F"/>
    <w:rsid w:val="006C623C"/>
    <w:rsid w:val="006E052F"/>
    <w:rsid w:val="006E757F"/>
    <w:rsid w:val="00710C48"/>
    <w:rsid w:val="00742DE7"/>
    <w:rsid w:val="00785AB8"/>
    <w:rsid w:val="00790E79"/>
    <w:rsid w:val="00810565"/>
    <w:rsid w:val="008916EE"/>
    <w:rsid w:val="008E5014"/>
    <w:rsid w:val="009078EB"/>
    <w:rsid w:val="00934A07"/>
    <w:rsid w:val="0099371B"/>
    <w:rsid w:val="009D5CC5"/>
    <w:rsid w:val="00A2374E"/>
    <w:rsid w:val="00A30E17"/>
    <w:rsid w:val="00A66B21"/>
    <w:rsid w:val="00A7044D"/>
    <w:rsid w:val="00A860CB"/>
    <w:rsid w:val="00A9131E"/>
    <w:rsid w:val="00AD0373"/>
    <w:rsid w:val="00B03D3E"/>
    <w:rsid w:val="00B238EC"/>
    <w:rsid w:val="00B43144"/>
    <w:rsid w:val="00B97637"/>
    <w:rsid w:val="00BA3E4C"/>
    <w:rsid w:val="00BE41CC"/>
    <w:rsid w:val="00C31B1B"/>
    <w:rsid w:val="00CE3CF7"/>
    <w:rsid w:val="00D36C0B"/>
    <w:rsid w:val="00D4144F"/>
    <w:rsid w:val="00D43059"/>
    <w:rsid w:val="00D77422"/>
    <w:rsid w:val="00E82453"/>
    <w:rsid w:val="00EA367A"/>
    <w:rsid w:val="00EB6B7A"/>
    <w:rsid w:val="00FB07C9"/>
    <w:rsid w:val="00FC5A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85A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E05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052F"/>
    <w:rPr>
      <w:rFonts w:ascii="Tahoma" w:hAnsi="Tahoma" w:cs="Tahoma"/>
      <w:sz w:val="16"/>
      <w:szCs w:val="16"/>
    </w:rPr>
  </w:style>
  <w:style w:type="paragraph" w:styleId="ListParagraph">
    <w:name w:val="List Paragraph"/>
    <w:basedOn w:val="Normal"/>
    <w:uiPriority w:val="34"/>
    <w:qFormat/>
    <w:rsid w:val="00742DE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85A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E05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052F"/>
    <w:rPr>
      <w:rFonts w:ascii="Tahoma" w:hAnsi="Tahoma" w:cs="Tahoma"/>
      <w:sz w:val="16"/>
      <w:szCs w:val="16"/>
    </w:rPr>
  </w:style>
  <w:style w:type="paragraph" w:styleId="ListParagraph">
    <w:name w:val="List Paragraph"/>
    <w:basedOn w:val="Normal"/>
    <w:uiPriority w:val="34"/>
    <w:qFormat/>
    <w:rsid w:val="00742D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594</Words>
  <Characters>3392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Sadowski</dc:creator>
  <cp:lastModifiedBy>Alex Sadowski</cp:lastModifiedBy>
  <cp:revision>2</cp:revision>
  <cp:lastPrinted>2015-10-27T17:39:00Z</cp:lastPrinted>
  <dcterms:created xsi:type="dcterms:W3CDTF">2015-10-28T20:39:00Z</dcterms:created>
  <dcterms:modified xsi:type="dcterms:W3CDTF">2015-10-28T20:39:00Z</dcterms:modified>
</cp:coreProperties>
</file>