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95" w:type="dxa"/>
        <w:tblLook w:val="04A0" w:firstRow="1" w:lastRow="0" w:firstColumn="1" w:lastColumn="0" w:noHBand="0" w:noVBand="1"/>
      </w:tblPr>
      <w:tblGrid>
        <w:gridCol w:w="2875"/>
        <w:gridCol w:w="2697"/>
        <w:gridCol w:w="2343"/>
        <w:gridCol w:w="2880"/>
      </w:tblGrid>
      <w:tr w:rsidR="001608C0" w:rsidTr="00BB31A2">
        <w:tc>
          <w:tcPr>
            <w:tcW w:w="2875" w:type="dxa"/>
          </w:tcPr>
          <w:p w:rsidR="006B50DC" w:rsidRDefault="00484149" w:rsidP="006B50DC">
            <w:r>
              <w:softHyphen/>
            </w:r>
            <w:r w:rsidR="006B50DC">
              <w:t>Toll Brothers Inc.</w:t>
            </w:r>
          </w:p>
          <w:p w:rsidR="006B50DC" w:rsidRDefault="006B50DC" w:rsidP="006B50DC">
            <w:r>
              <w:t>Ticker: TOL US</w:t>
            </w:r>
          </w:p>
          <w:p w:rsidR="006B50DC" w:rsidRDefault="006B50DC" w:rsidP="006B50DC">
            <w:r>
              <w:t xml:space="preserve">Sector: </w:t>
            </w:r>
            <w:r w:rsidR="00F06D99">
              <w:t>Home Builder</w:t>
            </w:r>
          </w:p>
          <w:p w:rsidR="006B50DC" w:rsidRDefault="006B50DC" w:rsidP="00F06D99">
            <w:r>
              <w:t xml:space="preserve">Industry: </w:t>
            </w:r>
            <w:r w:rsidR="00F06D99">
              <w:t>Household Durables</w:t>
            </w:r>
          </w:p>
        </w:tc>
        <w:tc>
          <w:tcPr>
            <w:tcW w:w="2697" w:type="dxa"/>
          </w:tcPr>
          <w:p w:rsidR="006B50DC" w:rsidRDefault="008C4BC3" w:rsidP="006B50DC">
            <w:r>
              <w:t>Intrinsic Value:</w:t>
            </w:r>
            <w:r w:rsidR="00617448">
              <w:t xml:space="preserve"> </w:t>
            </w:r>
            <w:r w:rsidR="00617448">
              <w:tab/>
              <w:t>43.70</w:t>
            </w:r>
          </w:p>
          <w:p w:rsidR="008C4BC3" w:rsidRDefault="008C4BC3" w:rsidP="006B50DC">
            <w:r>
              <w:t>Current Price:</w:t>
            </w:r>
            <w:r w:rsidR="00617448">
              <w:t xml:space="preserve"> </w:t>
            </w:r>
            <w:r w:rsidR="00617448">
              <w:tab/>
              <w:t>36.58</w:t>
            </w:r>
          </w:p>
          <w:p w:rsidR="008C4BC3" w:rsidRDefault="008C4BC3" w:rsidP="006B50DC">
            <w:r>
              <w:t>Stop Loss:</w:t>
            </w:r>
            <w:r w:rsidR="008F3ECF">
              <w:t xml:space="preserve"> </w:t>
            </w:r>
            <w:r w:rsidR="008F3ECF">
              <w:tab/>
              <w:t>28</w:t>
            </w:r>
            <w:r w:rsidR="00484149">
              <w:t>.</w:t>
            </w:r>
            <w:r w:rsidR="008F3ECF">
              <w:t>50</w:t>
            </w:r>
          </w:p>
          <w:p w:rsidR="008C4BC3" w:rsidRDefault="008C4BC3" w:rsidP="006B50DC">
            <w:r>
              <w:t>Upside Review:</w:t>
            </w:r>
            <w:r w:rsidR="00617448">
              <w:tab/>
            </w:r>
          </w:p>
        </w:tc>
        <w:tc>
          <w:tcPr>
            <w:tcW w:w="2343" w:type="dxa"/>
          </w:tcPr>
          <w:p w:rsidR="006B50DC" w:rsidRDefault="002311A9" w:rsidP="00BB31A2">
            <w:r>
              <w:t>TTM P/E:</w:t>
            </w:r>
          </w:p>
          <w:p w:rsidR="002311A9" w:rsidRDefault="002311A9" w:rsidP="00BB31A2">
            <w:r>
              <w:t>Forward P/E</w:t>
            </w:r>
            <w:r w:rsidR="001A5B30">
              <w:t>:</w:t>
            </w:r>
            <w:r w:rsidR="001A5B30">
              <w:tab/>
              <w:t>13.4</w:t>
            </w:r>
          </w:p>
          <w:p w:rsidR="002311A9" w:rsidRDefault="002311A9" w:rsidP="00BB31A2">
            <w:r>
              <w:t>Beta:</w:t>
            </w:r>
            <w:r w:rsidR="001A5B30">
              <w:tab/>
            </w:r>
            <w:r w:rsidR="001A5B30">
              <w:tab/>
              <w:t>1.3</w:t>
            </w:r>
          </w:p>
        </w:tc>
        <w:tc>
          <w:tcPr>
            <w:tcW w:w="2880" w:type="dxa"/>
          </w:tcPr>
          <w:p w:rsidR="006B50DC" w:rsidRDefault="002311A9" w:rsidP="006B50DC">
            <w:r>
              <w:t>Market Cap:</w:t>
            </w:r>
            <w:r w:rsidR="001A5B30">
              <w:t xml:space="preserve">   $6,485.87(M)</w:t>
            </w:r>
          </w:p>
          <w:p w:rsidR="002311A9" w:rsidRDefault="002311A9" w:rsidP="006B50DC">
            <w:r>
              <w:t>Dividend Yield:</w:t>
            </w:r>
            <w:r w:rsidR="001A5B30">
              <w:tab/>
              <w:t xml:space="preserve">      0.0</w:t>
            </w:r>
          </w:p>
          <w:p w:rsidR="002311A9" w:rsidRDefault="001A5B30" w:rsidP="001A5B30">
            <w:r>
              <w:t xml:space="preserve">52 </w:t>
            </w:r>
            <w:proofErr w:type="spellStart"/>
            <w:r>
              <w:t>Wk</w:t>
            </w:r>
            <w:proofErr w:type="spellEnd"/>
            <w:r>
              <w:t xml:space="preserve"> Range</w:t>
            </w:r>
            <w:r w:rsidR="002311A9">
              <w:t>:</w:t>
            </w:r>
            <w:r>
              <w:t xml:space="preserve">   30.81-</w:t>
            </w:r>
            <w:r w:rsidRPr="001A5B30">
              <w:t>42.19</w:t>
            </w:r>
          </w:p>
        </w:tc>
      </w:tr>
      <w:tr w:rsidR="001A5B30" w:rsidTr="00BB31A2">
        <w:tc>
          <w:tcPr>
            <w:tcW w:w="5572" w:type="dxa"/>
            <w:gridSpan w:val="2"/>
          </w:tcPr>
          <w:p w:rsidR="001A5B30" w:rsidRDefault="001A5B30" w:rsidP="006B50DC">
            <w:r w:rsidRPr="00F06D99">
              <w:rPr>
                <w:b/>
              </w:rPr>
              <w:t>Business Summary:</w:t>
            </w:r>
            <w:r>
              <w:t xml:space="preserve"> </w:t>
            </w:r>
            <w:r w:rsidRPr="001A5B30">
              <w:t>Toll Brothers, Inc. is a builder of upscale single-family detached homes, townhouses, and condominiums located primarily on land it has developed. The company operates in 19 states and in 50 markets. Sold 5,397 single-family and attached homes in fiscal 2014. Single-family detached homes sell for between approximately $200,000 and $2,000,000. Company provides financing in conjunction with several mortgage banking companies.</w:t>
            </w:r>
            <w:r>
              <w:t xml:space="preserve"> (</w:t>
            </w:r>
            <w:proofErr w:type="spellStart"/>
            <w:r>
              <w:t>Valueline</w:t>
            </w:r>
            <w:proofErr w:type="spellEnd"/>
            <w:r>
              <w:t>)</w:t>
            </w:r>
          </w:p>
          <w:p w:rsidR="001A5B30" w:rsidRDefault="001A5B30" w:rsidP="00F06D99">
            <w:r w:rsidRPr="00F06D99">
              <w:rPr>
                <w:b/>
              </w:rPr>
              <w:t xml:space="preserve">Industry Trends: </w:t>
            </w:r>
            <w:r w:rsidR="00F06D99">
              <w:rPr>
                <w:b/>
              </w:rPr>
              <w:t xml:space="preserve"> </w:t>
            </w:r>
            <w:r w:rsidR="00F06D99">
              <w:t xml:space="preserve">There’s a continuing recovery in this industry from the crisis.  Revenues have </w:t>
            </w:r>
            <w:r w:rsidR="00DC2686">
              <w:t>increased</w:t>
            </w:r>
            <w:r w:rsidR="00F06D99">
              <w:t xml:space="preserve"> annually through 2013, with macroeconomic factors suggesting the trend to continue.  Large inventory of existing houses being on the market with more competitive pricing will continue to slump returns in the short-term.  However, a continued increase in consumer confidence, softening lending standards and overall economic growth will benefit builders greatly.  A consumer taste shift into renting versus buying will be the greatest risk moving forward. </w:t>
            </w:r>
          </w:p>
          <w:p w:rsidR="00F06D99" w:rsidRPr="00F06D99" w:rsidRDefault="00F06D99" w:rsidP="00782EB3">
            <w:r>
              <w:rPr>
                <w:b/>
              </w:rPr>
              <w:t>Investment Thesis:</w:t>
            </w:r>
            <w:r>
              <w:t xml:space="preserve"> Mortgages for purchases are recovering, new home sales while not at post crisis peak are strong, employment figures are good and wages are due for a bump.  Most all eco</w:t>
            </w:r>
            <w:r w:rsidR="00782EB3">
              <w:t xml:space="preserve">nomic factors point to a strong bounce back in the industry.  Trepidation over interest rates should be subdued as mortgages are largely adjustable rate and fixed rate, despite likely hood of increase, are still at all-time lows.  The </w:t>
            </w:r>
            <w:r w:rsidR="00760BC0">
              <w:t>company in 2014 made a strategic acquisition to expand operations in the west coast, 5,200 home sites.</w:t>
            </w:r>
          </w:p>
        </w:tc>
        <w:tc>
          <w:tcPr>
            <w:tcW w:w="5223" w:type="dxa"/>
            <w:gridSpan w:val="2"/>
          </w:tcPr>
          <w:p w:rsidR="001A5B30" w:rsidRDefault="00760BC0" w:rsidP="00114D7C">
            <w:r>
              <w:rPr>
                <w:b/>
              </w:rPr>
              <w:t>Competitive Analysis:</w:t>
            </w:r>
            <w:r>
              <w:t xml:space="preserve"> The company is the premier luxury home builder in the country.  On average Toll homes </w:t>
            </w:r>
            <w:proofErr w:type="gramStart"/>
            <w:r>
              <w:t>are</w:t>
            </w:r>
            <w:proofErr w:type="gramEnd"/>
            <w:r>
              <w:t xml:space="preserve"> $300,000 more expensive than the mean of the top 5 builders, definitively placing it in another market.  </w:t>
            </w:r>
            <w:r w:rsidR="00114D7C">
              <w:t>The company assuredly has cost savings and business model advantages over its true competitors in scale, coverage and brand awareness.  While the lower priced builders have experienced dramatic revenue growth since the crash this luxury market has yet to see comparable growth.  As the market continues to recover I expect luxury home sales to do very well with this company being a large benefactor</w:t>
            </w:r>
          </w:p>
          <w:p w:rsidR="00114D7C" w:rsidRDefault="00114D7C" w:rsidP="00114D7C">
            <w:r w:rsidRPr="00114D7C">
              <w:rPr>
                <w:b/>
              </w:rPr>
              <w:t>Pros:</w:t>
            </w:r>
            <w:r>
              <w:rPr>
                <w:b/>
              </w:rPr>
              <w:t xml:space="preserve"> </w:t>
            </w:r>
          </w:p>
          <w:p w:rsidR="00114D7C" w:rsidRDefault="00114D7C" w:rsidP="00114D7C">
            <w:pPr>
              <w:pStyle w:val="ListParagraph"/>
              <w:numPr>
                <w:ilvl w:val="0"/>
                <w:numId w:val="1"/>
              </w:numPr>
              <w:ind w:left="345"/>
            </w:pPr>
            <w:r>
              <w:t>Cyclical housing rebound may prove stronger than expected with Millennials aging into home buying years</w:t>
            </w:r>
          </w:p>
          <w:p w:rsidR="00114D7C" w:rsidRDefault="00114D7C" w:rsidP="00114D7C">
            <w:pPr>
              <w:pStyle w:val="ListParagraph"/>
              <w:numPr>
                <w:ilvl w:val="0"/>
                <w:numId w:val="1"/>
              </w:numPr>
              <w:ind w:left="345"/>
            </w:pPr>
            <w:r>
              <w:t>Exp</w:t>
            </w:r>
            <w:r w:rsidR="00BB31A2">
              <w:t>anding City Living and Apartment Living brands should do well to capture customers who prefer to rent</w:t>
            </w:r>
            <w:r>
              <w:t xml:space="preserve"> </w:t>
            </w:r>
          </w:p>
          <w:p w:rsidR="00BB31A2" w:rsidRPr="00114D7C" w:rsidRDefault="00BB31A2" w:rsidP="00114D7C">
            <w:pPr>
              <w:pStyle w:val="ListParagraph"/>
              <w:numPr>
                <w:ilvl w:val="0"/>
                <w:numId w:val="1"/>
              </w:numPr>
              <w:ind w:left="345"/>
            </w:pPr>
            <w:r>
              <w:t>Interest rate environment is a concern however at Toll’s price point customers are much less price sensitive</w:t>
            </w:r>
          </w:p>
          <w:p w:rsidR="00114D7C" w:rsidRDefault="00114D7C" w:rsidP="00114D7C">
            <w:pPr>
              <w:rPr>
                <w:b/>
              </w:rPr>
            </w:pPr>
            <w:r>
              <w:rPr>
                <w:b/>
              </w:rPr>
              <w:t>Risk Factors:</w:t>
            </w:r>
          </w:p>
          <w:p w:rsidR="00BB31A2" w:rsidRPr="00BB31A2" w:rsidRDefault="00BB31A2" w:rsidP="00BB31A2">
            <w:pPr>
              <w:pStyle w:val="ListParagraph"/>
              <w:numPr>
                <w:ilvl w:val="0"/>
                <w:numId w:val="2"/>
              </w:numPr>
              <w:ind w:left="345"/>
              <w:rPr>
                <w:b/>
              </w:rPr>
            </w:pPr>
            <w:r>
              <w:t>Very capital intensive, especially in luxury front, so return on capital is not best in class</w:t>
            </w:r>
          </w:p>
          <w:p w:rsidR="00BB31A2" w:rsidRPr="00BB31A2" w:rsidRDefault="00BB31A2" w:rsidP="00BB31A2">
            <w:pPr>
              <w:pStyle w:val="ListParagraph"/>
              <w:numPr>
                <w:ilvl w:val="0"/>
                <w:numId w:val="2"/>
              </w:numPr>
              <w:ind w:left="345"/>
              <w:rPr>
                <w:b/>
              </w:rPr>
            </w:pPr>
            <w:r>
              <w:t>City Living and Apartment Living brands are yet unproven and increase risk for the company</w:t>
            </w:r>
          </w:p>
          <w:p w:rsidR="00BB31A2" w:rsidRPr="00BB31A2" w:rsidRDefault="00BB31A2" w:rsidP="00BB31A2">
            <w:pPr>
              <w:ind w:left="-15"/>
              <w:rPr>
                <w:b/>
              </w:rPr>
            </w:pPr>
          </w:p>
        </w:tc>
      </w:tr>
      <w:tr w:rsidR="00BB31A2" w:rsidTr="00BB31A2">
        <w:tc>
          <w:tcPr>
            <w:tcW w:w="5572" w:type="dxa"/>
            <w:gridSpan w:val="2"/>
          </w:tcPr>
          <w:p w:rsidR="00BB31A2" w:rsidRDefault="00BB31A2" w:rsidP="006B50DC">
            <w:r>
              <w:t>5 Year Stock Performance:</w:t>
            </w:r>
          </w:p>
          <w:p w:rsidR="00BB31A2" w:rsidRPr="00BB31A2" w:rsidRDefault="001608C0" w:rsidP="001608C0">
            <w:r>
              <w:rPr>
                <w:noProof/>
              </w:rPr>
              <w:drawing>
                <wp:inline distT="0" distB="0" distL="0" distR="0" wp14:anchorId="76ACB7DE" wp14:editId="0A555710">
                  <wp:extent cx="3114675" cy="21613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7318" cy="2177064"/>
                          </a:xfrm>
                          <a:prstGeom prst="rect">
                            <a:avLst/>
                          </a:prstGeom>
                        </pic:spPr>
                      </pic:pic>
                    </a:graphicData>
                  </a:graphic>
                </wp:inline>
              </w:drawing>
            </w:r>
          </w:p>
        </w:tc>
        <w:tc>
          <w:tcPr>
            <w:tcW w:w="5223" w:type="dxa"/>
            <w:gridSpan w:val="2"/>
            <w:vMerge w:val="restart"/>
          </w:tcPr>
          <w:p w:rsidR="001608C0" w:rsidRDefault="001608C0" w:rsidP="00114D7C">
            <w:pPr>
              <w:rPr>
                <w:b/>
              </w:rPr>
            </w:pPr>
            <w:r>
              <w:rPr>
                <w:b/>
              </w:rPr>
              <w:t>CSR Characteristics</w:t>
            </w:r>
          </w:p>
          <w:p w:rsidR="001608C0" w:rsidRDefault="001608C0" w:rsidP="00114D7C">
            <w:r>
              <w:tab/>
            </w:r>
          </w:p>
          <w:p w:rsidR="001608C0" w:rsidRDefault="001608C0" w:rsidP="00114D7C">
            <w:r>
              <w:t>ESG Disclosure</w:t>
            </w:r>
            <w:r w:rsidR="00D12AAA">
              <w:t xml:space="preserve"> Score:  16.53 (</w:t>
            </w:r>
            <w:r>
              <w:t>12.87</w:t>
            </w:r>
            <w:r w:rsidR="00D12AAA">
              <w:t xml:space="preserve"> Industry)</w:t>
            </w:r>
          </w:p>
          <w:p w:rsidR="00D12AAA" w:rsidRDefault="00D12AAA" w:rsidP="00114D7C">
            <w:r>
              <w:t>Governance Disclosure Score: 51.79 (49.40 Industry)</w:t>
            </w:r>
          </w:p>
          <w:p w:rsidR="00D12AAA" w:rsidRDefault="00D12AAA" w:rsidP="00114D7C">
            <w:r>
              <w:t>Social Disclosure Score: 19.30 (12.28 Industry)</w:t>
            </w:r>
            <w:bookmarkStart w:id="0" w:name="_GoBack"/>
            <w:bookmarkEnd w:id="0"/>
          </w:p>
          <w:p w:rsidR="001608C0" w:rsidRDefault="001608C0" w:rsidP="00114D7C">
            <w:r>
              <w:t>E</w:t>
            </w:r>
            <w:r w:rsidR="00D12AAA">
              <w:t>nvironment Disclosure Score: 6.98 (</w:t>
            </w:r>
            <w:r>
              <w:t>4.26</w:t>
            </w:r>
            <w:r w:rsidR="00D12AAA">
              <w:t xml:space="preserve"> Industry)</w:t>
            </w:r>
          </w:p>
          <w:p w:rsidR="00D12AAA" w:rsidRDefault="00D12AAA" w:rsidP="00114D7C"/>
          <w:p w:rsidR="00D12AAA" w:rsidRDefault="00D12AAA" w:rsidP="00114D7C"/>
          <w:p w:rsidR="00D12AAA" w:rsidRPr="001608C0" w:rsidRDefault="00D12AAA" w:rsidP="00114D7C"/>
        </w:tc>
      </w:tr>
      <w:tr w:rsidR="00BB31A2" w:rsidTr="00BB31A2">
        <w:tc>
          <w:tcPr>
            <w:tcW w:w="5572" w:type="dxa"/>
            <w:gridSpan w:val="2"/>
          </w:tcPr>
          <w:p w:rsidR="00BB31A2" w:rsidRPr="00BB31A2" w:rsidRDefault="00BB31A2" w:rsidP="006B50DC">
            <w:r>
              <w:t>Competitor Comparison:</w:t>
            </w:r>
          </w:p>
        </w:tc>
        <w:tc>
          <w:tcPr>
            <w:tcW w:w="5223" w:type="dxa"/>
            <w:gridSpan w:val="2"/>
            <w:vMerge/>
          </w:tcPr>
          <w:p w:rsidR="00BB31A2" w:rsidRDefault="00BB31A2" w:rsidP="00114D7C">
            <w:pPr>
              <w:rPr>
                <w:b/>
              </w:rPr>
            </w:pPr>
          </w:p>
        </w:tc>
      </w:tr>
    </w:tbl>
    <w:p w:rsidR="006B50DC" w:rsidRDefault="006B50DC" w:rsidP="006B50DC">
      <w:pPr>
        <w:spacing w:after="0"/>
      </w:pPr>
    </w:p>
    <w:p w:rsidR="00451679" w:rsidRDefault="00CB5896" w:rsidP="00F6002F">
      <w:pPr>
        <w:jc w:val="both"/>
      </w:pPr>
      <w:r>
        <w:br w:type="page"/>
      </w:r>
    </w:p>
    <w:p w:rsidR="00CB5896" w:rsidRPr="00F36033" w:rsidRDefault="00CB5896" w:rsidP="00CB5896">
      <w:pPr>
        <w:jc w:val="center"/>
        <w:rPr>
          <w:b/>
          <w:sz w:val="24"/>
          <w:szCs w:val="24"/>
          <w:u w:val="thick"/>
        </w:rPr>
      </w:pPr>
      <w:r w:rsidRPr="00F36033">
        <w:rPr>
          <w:b/>
          <w:sz w:val="24"/>
          <w:szCs w:val="24"/>
          <w:u w:val="thick"/>
        </w:rPr>
        <w:lastRenderedPageBreak/>
        <w:t>Mortgage Originations</w:t>
      </w:r>
    </w:p>
    <w:p w:rsidR="00CB5896" w:rsidRDefault="00CB5896" w:rsidP="00CB5896">
      <w:pPr>
        <w:jc w:val="center"/>
        <w:rPr>
          <w:sz w:val="16"/>
        </w:rPr>
      </w:pPr>
      <w:r w:rsidRPr="00CB5896">
        <w:rPr>
          <w:noProof/>
        </w:rPr>
        <w:drawing>
          <wp:inline distT="0" distB="0" distL="0" distR="0">
            <wp:extent cx="4924425" cy="6448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6448425"/>
                    </a:xfrm>
                    <a:prstGeom prst="rect">
                      <a:avLst/>
                    </a:prstGeom>
                    <a:noFill/>
                    <a:ln>
                      <a:noFill/>
                    </a:ln>
                  </pic:spPr>
                </pic:pic>
              </a:graphicData>
            </a:graphic>
          </wp:inline>
        </w:drawing>
      </w:r>
    </w:p>
    <w:p w:rsidR="00F36033" w:rsidRDefault="00CB5896" w:rsidP="00121648">
      <w:pPr>
        <w:jc w:val="center"/>
        <w:rPr>
          <w:sz w:val="16"/>
        </w:rPr>
      </w:pPr>
      <w:r>
        <w:rPr>
          <w:sz w:val="16"/>
        </w:rPr>
        <w:t xml:space="preserve">Source: </w:t>
      </w:r>
      <w:r w:rsidRPr="00CB5896">
        <w:rPr>
          <w:sz w:val="16"/>
        </w:rPr>
        <w:t>Mortgage Bankers Association</w:t>
      </w:r>
    </w:p>
    <w:p w:rsidR="008C1E73" w:rsidRDefault="00F36033" w:rsidP="00F36033">
      <w:pPr>
        <w:rPr>
          <w:sz w:val="24"/>
          <w:szCs w:val="24"/>
        </w:rPr>
      </w:pPr>
      <w:r>
        <w:rPr>
          <w:sz w:val="24"/>
          <w:szCs w:val="24"/>
        </w:rPr>
        <w:t>Looking at the chart above</w:t>
      </w:r>
      <w:r w:rsidR="00BD2E92">
        <w:rPr>
          <w:sz w:val="24"/>
          <w:szCs w:val="24"/>
        </w:rPr>
        <w:t>,</w:t>
      </w:r>
      <w:r>
        <w:rPr>
          <w:sz w:val="24"/>
          <w:szCs w:val="24"/>
        </w:rPr>
        <w:t xml:space="preserve"> we are finally seeing a good trend of mortgages </w:t>
      </w:r>
      <w:r w:rsidR="00BD2E92">
        <w:rPr>
          <w:sz w:val="24"/>
          <w:szCs w:val="24"/>
        </w:rPr>
        <w:t xml:space="preserve">meant for purchases </w:t>
      </w:r>
      <w:r>
        <w:rPr>
          <w:sz w:val="24"/>
          <w:szCs w:val="24"/>
        </w:rPr>
        <w:t xml:space="preserve">outpacing </w:t>
      </w:r>
      <w:r w:rsidR="00BD2E92">
        <w:rPr>
          <w:sz w:val="24"/>
          <w:szCs w:val="24"/>
        </w:rPr>
        <w:t xml:space="preserve">those for </w:t>
      </w:r>
      <w:r>
        <w:rPr>
          <w:sz w:val="24"/>
          <w:szCs w:val="24"/>
        </w:rPr>
        <w:t xml:space="preserve">refinancing.  While mortgage originations have been much higher in </w:t>
      </w:r>
      <w:r w:rsidR="00BD2E92">
        <w:rPr>
          <w:sz w:val="24"/>
          <w:szCs w:val="24"/>
        </w:rPr>
        <w:t>quarters</w:t>
      </w:r>
      <w:r>
        <w:rPr>
          <w:sz w:val="24"/>
          <w:szCs w:val="24"/>
        </w:rPr>
        <w:t xml:space="preserve"> after the bubble burst a majority of those were distressed refinancing.</w:t>
      </w:r>
      <w:r w:rsidR="006B50DC">
        <w:rPr>
          <w:sz w:val="24"/>
          <w:szCs w:val="24"/>
        </w:rPr>
        <w:t xml:space="preserve"> </w:t>
      </w:r>
    </w:p>
    <w:p w:rsidR="008C1E73" w:rsidRDefault="008C1E73" w:rsidP="00F36033">
      <w:pPr>
        <w:rPr>
          <w:sz w:val="24"/>
          <w:szCs w:val="24"/>
        </w:rPr>
      </w:pPr>
    </w:p>
    <w:p w:rsidR="008C1E73" w:rsidRDefault="00121648" w:rsidP="008C1E73">
      <w:pPr>
        <w:jc w:val="center"/>
        <w:rPr>
          <w:sz w:val="24"/>
          <w:szCs w:val="24"/>
        </w:rPr>
      </w:pPr>
      <w:r>
        <w:rPr>
          <w:noProof/>
        </w:rPr>
        <w:lastRenderedPageBreak/>
        <w:drawing>
          <wp:inline distT="0" distB="0" distL="0" distR="0" wp14:anchorId="66A17565" wp14:editId="3549B01B">
            <wp:extent cx="4752975" cy="2923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58089" cy="2926530"/>
                    </a:xfrm>
                    <a:prstGeom prst="rect">
                      <a:avLst/>
                    </a:prstGeom>
                  </pic:spPr>
                </pic:pic>
              </a:graphicData>
            </a:graphic>
          </wp:inline>
        </w:drawing>
      </w:r>
    </w:p>
    <w:p w:rsidR="00121648" w:rsidRDefault="00121648" w:rsidP="008C1E73">
      <w:pPr>
        <w:jc w:val="center"/>
        <w:rPr>
          <w:sz w:val="24"/>
          <w:szCs w:val="24"/>
        </w:rPr>
      </w:pPr>
      <w:r>
        <w:rPr>
          <w:sz w:val="16"/>
        </w:rPr>
        <w:t>Source: Bloomberg</w:t>
      </w:r>
    </w:p>
    <w:p w:rsidR="008C1E73" w:rsidRPr="00F36033" w:rsidRDefault="008C1E73" w:rsidP="00F36033">
      <w:pPr>
        <w:rPr>
          <w:sz w:val="24"/>
          <w:szCs w:val="24"/>
        </w:rPr>
      </w:pPr>
      <w:r>
        <w:rPr>
          <w:sz w:val="24"/>
          <w:szCs w:val="24"/>
        </w:rPr>
        <w:t xml:space="preserve">Of the five builders with the highest sales Toll averages the highest price by far. Toll is a luxury home builder, their competition in this market are niche and smaller builders.  Therefore, Toll </w:t>
      </w:r>
      <w:r w:rsidR="006B50DC">
        <w:rPr>
          <w:sz w:val="24"/>
          <w:szCs w:val="24"/>
        </w:rPr>
        <w:t>must have</w:t>
      </w:r>
      <w:r>
        <w:rPr>
          <w:sz w:val="24"/>
          <w:szCs w:val="24"/>
        </w:rPr>
        <w:t xml:space="preserve"> many cost savings advantages since they operate at a scale much larger than its </w:t>
      </w:r>
      <w:r w:rsidR="006B50DC">
        <w:rPr>
          <w:sz w:val="24"/>
          <w:szCs w:val="24"/>
        </w:rPr>
        <w:t xml:space="preserve">true </w:t>
      </w:r>
      <w:r>
        <w:rPr>
          <w:sz w:val="24"/>
          <w:szCs w:val="24"/>
        </w:rPr>
        <w:t xml:space="preserve">competition.  Also this tells us direct comparison to other </w:t>
      </w:r>
      <w:r w:rsidR="006B50DC">
        <w:rPr>
          <w:sz w:val="24"/>
          <w:szCs w:val="24"/>
        </w:rPr>
        <w:t xml:space="preserve">large </w:t>
      </w:r>
      <w:r>
        <w:rPr>
          <w:sz w:val="24"/>
          <w:szCs w:val="24"/>
        </w:rPr>
        <w:t>public builders is inconclusive because of the assumed dif</w:t>
      </w:r>
      <w:r w:rsidR="006B50DC">
        <w:rPr>
          <w:sz w:val="24"/>
          <w:szCs w:val="24"/>
        </w:rPr>
        <w:t>ferences in materials/</w:t>
      </w:r>
      <w:r w:rsidR="00121648">
        <w:rPr>
          <w:sz w:val="24"/>
          <w:szCs w:val="24"/>
        </w:rPr>
        <w:t>labor</w:t>
      </w:r>
      <w:r w:rsidR="006B50DC">
        <w:rPr>
          <w:sz w:val="24"/>
          <w:szCs w:val="24"/>
        </w:rPr>
        <w:t>/structure</w:t>
      </w:r>
      <w:r w:rsidR="00121648">
        <w:rPr>
          <w:sz w:val="24"/>
          <w:szCs w:val="24"/>
        </w:rPr>
        <w:t xml:space="preserve"> utilized by the companies.</w:t>
      </w:r>
    </w:p>
    <w:p w:rsidR="00F36033" w:rsidRDefault="00F36033" w:rsidP="006B50DC">
      <w:pPr>
        <w:tabs>
          <w:tab w:val="left" w:pos="5310"/>
        </w:tabs>
        <w:jc w:val="center"/>
        <w:rPr>
          <w:sz w:val="16"/>
        </w:rPr>
      </w:pPr>
    </w:p>
    <w:p w:rsidR="00617448" w:rsidRDefault="00617448" w:rsidP="00F6002F">
      <w:pPr>
        <w:jc w:val="center"/>
        <w:rPr>
          <w:sz w:val="16"/>
        </w:rPr>
      </w:pPr>
    </w:p>
    <w:p w:rsidR="00617448" w:rsidRDefault="00617448">
      <w:pPr>
        <w:rPr>
          <w:sz w:val="16"/>
        </w:rPr>
      </w:pPr>
      <w:r>
        <w:rPr>
          <w:sz w:val="16"/>
        </w:rPr>
        <w:br w:type="page"/>
      </w:r>
    </w:p>
    <w:p w:rsidR="00F6002F" w:rsidRDefault="00617448" w:rsidP="00617448">
      <w:pPr>
        <w:jc w:val="center"/>
        <w:rPr>
          <w:sz w:val="16"/>
        </w:rPr>
      </w:pPr>
      <w:r w:rsidRPr="00617448">
        <w:rPr>
          <w:noProof/>
          <w:sz w:val="16"/>
        </w:rPr>
        <w:lastRenderedPageBreak/>
        <mc:AlternateContent>
          <mc:Choice Requires="wps">
            <w:drawing>
              <wp:anchor distT="45720" distB="45720" distL="114300" distR="114300" simplePos="0" relativeHeight="251659264" behindDoc="0" locked="0" layoutInCell="1" allowOverlap="1">
                <wp:simplePos x="0" y="0"/>
                <wp:positionH relativeFrom="column">
                  <wp:posOffset>5707380</wp:posOffset>
                </wp:positionH>
                <wp:positionV relativeFrom="paragraph">
                  <wp:posOffset>3538855</wp:posOffset>
                </wp:positionV>
                <wp:extent cx="2360930" cy="1404620"/>
                <wp:effectExtent l="0" t="3175" r="1714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60930" cy="1404620"/>
                        </a:xfrm>
                        <a:prstGeom prst="rect">
                          <a:avLst/>
                        </a:prstGeom>
                        <a:solidFill>
                          <a:srgbClr val="FFFFFF"/>
                        </a:solidFill>
                        <a:ln w="9525">
                          <a:solidFill>
                            <a:srgbClr val="000000"/>
                          </a:solidFill>
                          <a:miter lim="800000"/>
                          <a:headEnd/>
                          <a:tailEnd/>
                        </a:ln>
                      </wps:spPr>
                      <wps:txbx>
                        <w:txbxContent>
                          <w:p w:rsidR="00617448" w:rsidRPr="00617448" w:rsidRDefault="00617448" w:rsidP="00617448">
                            <w:pPr>
                              <w:jc w:val="center"/>
                              <w:rPr>
                                <w:b/>
                                <w:u w:val="single"/>
                              </w:rPr>
                            </w:pPr>
                            <w:r w:rsidRPr="00617448">
                              <w:rPr>
                                <w:b/>
                                <w:u w:val="single"/>
                              </w:rPr>
                              <w:t>Bloomberg DCF Analysis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49.4pt;margin-top:278.65pt;width:185.9pt;height:110.6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">
                <v:textbox style="mso-fit-shape-to-text:t">
                  <w:txbxContent>
                    <w:p w:rsidR="00617448" w:rsidRPr="00617448" w:rsidRDefault="00617448" w:rsidP="00617448">
                      <w:pPr>
                        <w:jc w:val="center"/>
                        <w:rPr>
                          <w:b/>
                          <w:u w:val="single"/>
                        </w:rPr>
                      </w:pPr>
                      <w:r w:rsidRPr="00617448">
                        <w:rPr>
                          <w:b/>
                          <w:u w:val="single"/>
                        </w:rPr>
                        <w:t>Bloomberg DCF Analysis</w:t>
                      </w:r>
                    </w:p>
                  </w:txbxContent>
                </v:textbox>
                <w10:wrap type="square"/>
              </v:shape>
            </w:pict>
          </mc:Fallback>
        </mc:AlternateContent>
      </w:r>
      <w:r w:rsidRPr="00617448">
        <w:rPr>
          <w:noProof/>
        </w:rPr>
        <w:t xml:space="preserve"> </w:t>
      </w:r>
      <w:r>
        <w:rPr>
          <w:noProof/>
        </w:rPr>
        <w:drawing>
          <wp:inline distT="0" distB="0" distL="0" distR="0" wp14:anchorId="78979D1C" wp14:editId="3FDE6440">
            <wp:extent cx="8888525" cy="4326572"/>
            <wp:effectExtent l="0" t="508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5400000">
                      <a:off x="0" y="0"/>
                      <a:ext cx="8894906" cy="4329678"/>
                    </a:xfrm>
                    <a:prstGeom prst="rect">
                      <a:avLst/>
                    </a:prstGeom>
                  </pic:spPr>
                </pic:pic>
              </a:graphicData>
            </a:graphic>
          </wp:inline>
        </w:drawing>
      </w:r>
      <w:r>
        <w:rPr>
          <w:noProof/>
        </w:rPr>
        <w:t xml:space="preserve"> </w:t>
      </w:r>
      <w:r>
        <w:rPr>
          <w:noProof/>
        </w:rPr>
        <w:lastRenderedPageBreak/>
        <w:drawing>
          <wp:inline distT="0" distB="0" distL="0" distR="0" wp14:anchorId="5ACB1FED" wp14:editId="61902CFF">
            <wp:extent cx="8832426" cy="4408034"/>
            <wp:effectExtent l="254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5400000">
                      <a:off x="0" y="0"/>
                      <a:ext cx="8832426" cy="4408034"/>
                    </a:xfrm>
                    <a:prstGeom prst="rect">
                      <a:avLst/>
                    </a:prstGeom>
                  </pic:spPr>
                </pic:pic>
              </a:graphicData>
            </a:graphic>
          </wp:inline>
        </w:drawing>
      </w:r>
    </w:p>
    <w:sectPr w:rsidR="00F6002F" w:rsidSect="006B50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9AB" w:rsidRDefault="000F49AB" w:rsidP="00CB5896">
      <w:pPr>
        <w:spacing w:after="0" w:line="240" w:lineRule="auto"/>
      </w:pPr>
      <w:r>
        <w:separator/>
      </w:r>
    </w:p>
  </w:endnote>
  <w:endnote w:type="continuationSeparator" w:id="0">
    <w:p w:rsidR="000F49AB" w:rsidRDefault="000F49AB" w:rsidP="00CB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9AB" w:rsidRDefault="000F49AB" w:rsidP="00CB5896">
      <w:pPr>
        <w:spacing w:after="0" w:line="240" w:lineRule="auto"/>
      </w:pPr>
      <w:r>
        <w:separator/>
      </w:r>
    </w:p>
  </w:footnote>
  <w:footnote w:type="continuationSeparator" w:id="0">
    <w:p w:rsidR="000F49AB" w:rsidRDefault="000F49AB" w:rsidP="00CB5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865D0"/>
    <w:multiLevelType w:val="hybridMultilevel"/>
    <w:tmpl w:val="5E40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5F5E15"/>
    <w:multiLevelType w:val="hybridMultilevel"/>
    <w:tmpl w:val="2656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96"/>
    <w:rsid w:val="00060CF9"/>
    <w:rsid w:val="000F49AB"/>
    <w:rsid w:val="00114D7C"/>
    <w:rsid w:val="00121648"/>
    <w:rsid w:val="001608C0"/>
    <w:rsid w:val="001A5B30"/>
    <w:rsid w:val="002311A9"/>
    <w:rsid w:val="00315588"/>
    <w:rsid w:val="00451679"/>
    <w:rsid w:val="00484149"/>
    <w:rsid w:val="00617448"/>
    <w:rsid w:val="006B50DC"/>
    <w:rsid w:val="006C6641"/>
    <w:rsid w:val="00760BC0"/>
    <w:rsid w:val="00782EB3"/>
    <w:rsid w:val="008C1E73"/>
    <w:rsid w:val="008C4BC3"/>
    <w:rsid w:val="008F3ECF"/>
    <w:rsid w:val="00B839DA"/>
    <w:rsid w:val="00BB31A2"/>
    <w:rsid w:val="00BD2E92"/>
    <w:rsid w:val="00CB5896"/>
    <w:rsid w:val="00D12AAA"/>
    <w:rsid w:val="00DC2686"/>
    <w:rsid w:val="00F06D99"/>
    <w:rsid w:val="00F36033"/>
    <w:rsid w:val="00F6002F"/>
    <w:rsid w:val="00FA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896"/>
  </w:style>
  <w:style w:type="paragraph" w:styleId="Footer">
    <w:name w:val="footer"/>
    <w:basedOn w:val="Normal"/>
    <w:link w:val="FooterChar"/>
    <w:uiPriority w:val="99"/>
    <w:unhideWhenUsed/>
    <w:rsid w:val="00CB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896"/>
  </w:style>
  <w:style w:type="table" w:styleId="TableGrid">
    <w:name w:val="Table Grid"/>
    <w:basedOn w:val="TableNormal"/>
    <w:uiPriority w:val="39"/>
    <w:rsid w:val="006B5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D7C"/>
    <w:pPr>
      <w:ind w:left="720"/>
      <w:contextualSpacing/>
    </w:pPr>
  </w:style>
  <w:style w:type="paragraph" w:styleId="BalloonText">
    <w:name w:val="Balloon Text"/>
    <w:basedOn w:val="Normal"/>
    <w:link w:val="BalloonTextChar"/>
    <w:uiPriority w:val="99"/>
    <w:semiHidden/>
    <w:unhideWhenUsed/>
    <w:rsid w:val="00D12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A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896"/>
  </w:style>
  <w:style w:type="paragraph" w:styleId="Footer">
    <w:name w:val="footer"/>
    <w:basedOn w:val="Normal"/>
    <w:link w:val="FooterChar"/>
    <w:uiPriority w:val="99"/>
    <w:unhideWhenUsed/>
    <w:rsid w:val="00CB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896"/>
  </w:style>
  <w:style w:type="table" w:styleId="TableGrid">
    <w:name w:val="Table Grid"/>
    <w:basedOn w:val="TableNormal"/>
    <w:uiPriority w:val="39"/>
    <w:rsid w:val="006B5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D7C"/>
    <w:pPr>
      <w:ind w:left="720"/>
      <w:contextualSpacing/>
    </w:pPr>
  </w:style>
  <w:style w:type="paragraph" w:styleId="BalloonText">
    <w:name w:val="Balloon Text"/>
    <w:basedOn w:val="Normal"/>
    <w:link w:val="BalloonTextChar"/>
    <w:uiPriority w:val="99"/>
    <w:semiHidden/>
    <w:unhideWhenUsed/>
    <w:rsid w:val="00D12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121997">
      <w:bodyDiv w:val="1"/>
      <w:marLeft w:val="0"/>
      <w:marRight w:val="0"/>
      <w:marTop w:val="0"/>
      <w:marBottom w:val="0"/>
      <w:divBdr>
        <w:top w:val="none" w:sz="0" w:space="0" w:color="auto"/>
        <w:left w:val="none" w:sz="0" w:space="0" w:color="auto"/>
        <w:bottom w:val="none" w:sz="0" w:space="0" w:color="auto"/>
        <w:right w:val="none" w:sz="0" w:space="0" w:color="auto"/>
      </w:divBdr>
    </w:div>
    <w:div w:id="1335567829">
      <w:bodyDiv w:val="1"/>
      <w:marLeft w:val="0"/>
      <w:marRight w:val="0"/>
      <w:marTop w:val="0"/>
      <w:marBottom w:val="0"/>
      <w:divBdr>
        <w:top w:val="none" w:sz="0" w:space="0" w:color="auto"/>
        <w:left w:val="none" w:sz="0" w:space="0" w:color="auto"/>
        <w:bottom w:val="none" w:sz="0" w:space="0" w:color="auto"/>
        <w:right w:val="none" w:sz="0" w:space="0" w:color="auto"/>
      </w:divBdr>
    </w:div>
    <w:div w:id="1503885679">
      <w:bodyDiv w:val="1"/>
      <w:marLeft w:val="0"/>
      <w:marRight w:val="0"/>
      <w:marTop w:val="0"/>
      <w:marBottom w:val="0"/>
      <w:divBdr>
        <w:top w:val="none" w:sz="0" w:space="0" w:color="auto"/>
        <w:left w:val="none" w:sz="0" w:space="0" w:color="auto"/>
        <w:bottom w:val="none" w:sz="0" w:space="0" w:color="auto"/>
        <w:right w:val="none" w:sz="0" w:space="0" w:color="auto"/>
      </w:divBdr>
    </w:div>
    <w:div w:id="1663505285">
      <w:bodyDiv w:val="1"/>
      <w:marLeft w:val="0"/>
      <w:marRight w:val="0"/>
      <w:marTop w:val="0"/>
      <w:marBottom w:val="0"/>
      <w:divBdr>
        <w:top w:val="none" w:sz="0" w:space="0" w:color="auto"/>
        <w:left w:val="none" w:sz="0" w:space="0" w:color="auto"/>
        <w:bottom w:val="none" w:sz="0" w:space="0" w:color="auto"/>
        <w:right w:val="none" w:sz="0" w:space="0" w:color="auto"/>
      </w:divBdr>
    </w:div>
    <w:div w:id="188744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sbtrader</dc:creator>
  <cp:lastModifiedBy>Alex Sadowski</cp:lastModifiedBy>
  <cp:revision>2</cp:revision>
  <dcterms:created xsi:type="dcterms:W3CDTF">2015-10-28T20:43:00Z</dcterms:created>
  <dcterms:modified xsi:type="dcterms:W3CDTF">2015-10-28T20:43:00Z</dcterms:modified>
</cp:coreProperties>
</file>