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700" w:type="dxa"/>
        <w:tblInd w:w="-1332" w:type="dxa"/>
        <w:tblLayout w:type="fixed"/>
        <w:tblLook w:val="04A0" w:firstRow="1" w:lastRow="0" w:firstColumn="1" w:lastColumn="0" w:noHBand="0" w:noVBand="1"/>
      </w:tblPr>
      <w:tblGrid>
        <w:gridCol w:w="3005"/>
        <w:gridCol w:w="3397"/>
        <w:gridCol w:w="1984"/>
        <w:gridCol w:w="3314"/>
      </w:tblGrid>
      <w:tr w:rsidR="00E8555E" w:rsidRPr="00324315" w14:paraId="3AA29E37" w14:textId="77777777" w:rsidTr="00D8492B">
        <w:trPr>
          <w:trHeight w:val="80"/>
        </w:trPr>
        <w:tc>
          <w:tcPr>
            <w:tcW w:w="3005" w:type="dxa"/>
            <w:shd w:val="clear" w:color="auto" w:fill="365F91" w:themeFill="accent1" w:themeFillShade="BF"/>
          </w:tcPr>
          <w:p w14:paraId="2E49CA38" w14:textId="4355A23A" w:rsidR="00E8555E" w:rsidRPr="00324315" w:rsidRDefault="00E8555E" w:rsidP="0013182F">
            <w:pPr>
              <w:rPr>
                <w:b/>
                <w:color w:val="FFFFFF" w:themeColor="background1"/>
                <w:sz w:val="16"/>
                <w:szCs w:val="16"/>
              </w:rPr>
            </w:pPr>
            <w:r w:rsidRPr="00324315">
              <w:rPr>
                <w:b/>
                <w:color w:val="FFFFFF" w:themeColor="background1"/>
                <w:sz w:val="16"/>
                <w:szCs w:val="16"/>
              </w:rPr>
              <w:t>Company:</w:t>
            </w:r>
            <w:r w:rsidR="003F11FA">
              <w:rPr>
                <w:b/>
                <w:color w:val="FFFFFF" w:themeColor="background1"/>
                <w:sz w:val="16"/>
                <w:szCs w:val="16"/>
              </w:rPr>
              <w:t xml:space="preserve"> </w:t>
            </w:r>
            <w:r w:rsidR="0013182F">
              <w:rPr>
                <w:b/>
                <w:color w:val="FFFFFF" w:themeColor="background1"/>
                <w:sz w:val="16"/>
                <w:szCs w:val="16"/>
              </w:rPr>
              <w:t>TJX</w:t>
            </w:r>
          </w:p>
        </w:tc>
        <w:tc>
          <w:tcPr>
            <w:tcW w:w="3397" w:type="dxa"/>
            <w:shd w:val="clear" w:color="auto" w:fill="365F91" w:themeFill="accent1" w:themeFillShade="BF"/>
          </w:tcPr>
          <w:p w14:paraId="5FDF97F0" w14:textId="4B487BA4" w:rsidR="00E8555E" w:rsidRPr="00324315" w:rsidRDefault="00E8555E">
            <w:pPr>
              <w:rPr>
                <w:color w:val="FFFFFF" w:themeColor="background1"/>
                <w:sz w:val="16"/>
                <w:szCs w:val="16"/>
              </w:rPr>
            </w:pPr>
            <w:r w:rsidRPr="00324315">
              <w:rPr>
                <w:color w:val="FFFFFF" w:themeColor="background1"/>
                <w:sz w:val="16"/>
                <w:szCs w:val="16"/>
              </w:rPr>
              <w:t xml:space="preserve">Ticker:  </w:t>
            </w:r>
            <w:r w:rsidR="0013182F">
              <w:rPr>
                <w:color w:val="FFFFFF" w:themeColor="background1"/>
                <w:sz w:val="16"/>
                <w:szCs w:val="16"/>
              </w:rPr>
              <w:t>TJX</w:t>
            </w:r>
            <w:r w:rsidR="00601444" w:rsidRPr="00324315">
              <w:rPr>
                <w:color w:val="FFFFFF" w:themeColor="background1"/>
                <w:sz w:val="16"/>
                <w:szCs w:val="16"/>
              </w:rPr>
              <w:t xml:space="preserve">       </w:t>
            </w:r>
            <w:r w:rsidR="003F11FA">
              <w:rPr>
                <w:color w:val="FFFFFF" w:themeColor="background1"/>
                <w:sz w:val="16"/>
                <w:szCs w:val="16"/>
              </w:rPr>
              <w:t xml:space="preserve">       </w:t>
            </w:r>
            <w:r w:rsidR="004F60B9" w:rsidRPr="00324315">
              <w:rPr>
                <w:color w:val="FFFFFF" w:themeColor="background1"/>
                <w:sz w:val="16"/>
                <w:szCs w:val="16"/>
              </w:rPr>
              <w:t xml:space="preserve">     </w:t>
            </w:r>
            <w:r w:rsidRPr="00324315">
              <w:rPr>
                <w:color w:val="FFFFFF" w:themeColor="background1"/>
                <w:sz w:val="16"/>
                <w:szCs w:val="16"/>
              </w:rPr>
              <w:t>Current Price:</w:t>
            </w:r>
            <w:r w:rsidR="0013182F">
              <w:rPr>
                <w:color w:val="FFFFFF" w:themeColor="background1"/>
                <w:sz w:val="16"/>
                <w:szCs w:val="16"/>
              </w:rPr>
              <w:t xml:space="preserve"> $71.89</w:t>
            </w:r>
          </w:p>
        </w:tc>
        <w:tc>
          <w:tcPr>
            <w:tcW w:w="1984" w:type="dxa"/>
            <w:shd w:val="clear" w:color="auto" w:fill="365F91" w:themeFill="accent1" w:themeFillShade="BF"/>
          </w:tcPr>
          <w:p w14:paraId="1FD4CAF9" w14:textId="6A222076" w:rsidR="00E8555E" w:rsidRPr="00324315" w:rsidRDefault="00E8555E">
            <w:pPr>
              <w:rPr>
                <w:color w:val="FFFFFF" w:themeColor="background1"/>
                <w:sz w:val="16"/>
                <w:szCs w:val="16"/>
              </w:rPr>
            </w:pPr>
            <w:r w:rsidRPr="00324315">
              <w:rPr>
                <w:color w:val="FFFFFF" w:themeColor="background1"/>
                <w:sz w:val="16"/>
                <w:szCs w:val="16"/>
              </w:rPr>
              <w:t>Industry:</w:t>
            </w:r>
            <w:r w:rsidR="0013182F">
              <w:rPr>
                <w:color w:val="FFFFFF" w:themeColor="background1"/>
                <w:sz w:val="16"/>
                <w:szCs w:val="16"/>
              </w:rPr>
              <w:t xml:space="preserve"> Consumer</w:t>
            </w:r>
          </w:p>
        </w:tc>
        <w:tc>
          <w:tcPr>
            <w:tcW w:w="3314" w:type="dxa"/>
            <w:shd w:val="clear" w:color="auto" w:fill="365F91" w:themeFill="accent1" w:themeFillShade="BF"/>
          </w:tcPr>
          <w:p w14:paraId="417B84CE" w14:textId="69411B38" w:rsidR="00E8555E" w:rsidRPr="00324315" w:rsidRDefault="00E8555E" w:rsidP="004F60B9">
            <w:pPr>
              <w:rPr>
                <w:color w:val="FFFFFF" w:themeColor="background1"/>
                <w:sz w:val="16"/>
                <w:szCs w:val="16"/>
              </w:rPr>
            </w:pPr>
            <w:r w:rsidRPr="00324315">
              <w:rPr>
                <w:color w:val="FFFFFF" w:themeColor="background1"/>
                <w:sz w:val="16"/>
                <w:szCs w:val="16"/>
              </w:rPr>
              <w:t xml:space="preserve">Sub Industry: </w:t>
            </w:r>
            <w:r w:rsidR="0013182F">
              <w:rPr>
                <w:color w:val="FFFFFF" w:themeColor="background1"/>
                <w:sz w:val="16"/>
                <w:szCs w:val="16"/>
              </w:rPr>
              <w:t>Apparel Retail</w:t>
            </w:r>
          </w:p>
        </w:tc>
      </w:tr>
      <w:tr w:rsidR="006E44B8" w:rsidRPr="00324315" w14:paraId="185E94E4" w14:textId="77777777" w:rsidTr="00D8492B">
        <w:trPr>
          <w:trHeight w:val="512"/>
        </w:trPr>
        <w:tc>
          <w:tcPr>
            <w:tcW w:w="3005" w:type="dxa"/>
          </w:tcPr>
          <w:p w14:paraId="159CAB82" w14:textId="74E120AA" w:rsidR="00E8555E" w:rsidRPr="00324315" w:rsidRDefault="00E8555E" w:rsidP="00E8555E">
            <w:pPr>
              <w:rPr>
                <w:sz w:val="16"/>
                <w:szCs w:val="16"/>
              </w:rPr>
            </w:pPr>
            <w:r w:rsidRPr="00324315">
              <w:rPr>
                <w:sz w:val="16"/>
                <w:szCs w:val="16"/>
              </w:rPr>
              <w:t>Target Price</w:t>
            </w:r>
            <w:r w:rsidR="00C161B3" w:rsidRPr="00324315">
              <w:rPr>
                <w:sz w:val="16"/>
                <w:szCs w:val="16"/>
              </w:rPr>
              <w:t>:</w:t>
            </w:r>
            <w:r w:rsidR="00D8492B" w:rsidRPr="00324315">
              <w:rPr>
                <w:sz w:val="16"/>
                <w:szCs w:val="16"/>
              </w:rPr>
              <w:t xml:space="preserve"> $</w:t>
            </w:r>
            <w:r w:rsidR="0013182F">
              <w:rPr>
                <w:sz w:val="16"/>
                <w:szCs w:val="16"/>
              </w:rPr>
              <w:t>80</w:t>
            </w:r>
          </w:p>
          <w:p w14:paraId="75FA6E0E" w14:textId="054DBEDA" w:rsidR="003F11FA" w:rsidRPr="00324315" w:rsidRDefault="00C161B3" w:rsidP="00E8555E">
            <w:pPr>
              <w:rPr>
                <w:sz w:val="16"/>
                <w:szCs w:val="16"/>
              </w:rPr>
            </w:pPr>
            <w:r w:rsidRPr="00324315">
              <w:rPr>
                <w:sz w:val="16"/>
                <w:szCs w:val="16"/>
              </w:rPr>
              <w:t>Stop Loss:</w:t>
            </w:r>
            <w:r w:rsidR="0013182F">
              <w:rPr>
                <w:sz w:val="16"/>
                <w:szCs w:val="16"/>
              </w:rPr>
              <w:t xml:space="preserve"> $ 57.51</w:t>
            </w:r>
          </w:p>
          <w:p w14:paraId="7E50A51D" w14:textId="4DF32E8D" w:rsidR="006E44B8" w:rsidRPr="00324315" w:rsidRDefault="0013182F" w:rsidP="003F7FD3">
            <w:pPr>
              <w:rPr>
                <w:sz w:val="16"/>
                <w:szCs w:val="16"/>
              </w:rPr>
            </w:pPr>
            <w:r>
              <w:rPr>
                <w:sz w:val="16"/>
                <w:szCs w:val="16"/>
              </w:rPr>
              <w:t>52 Week High/ Low: $ 63.53 – 76.93</w:t>
            </w:r>
          </w:p>
        </w:tc>
        <w:tc>
          <w:tcPr>
            <w:tcW w:w="3397" w:type="dxa"/>
          </w:tcPr>
          <w:p w14:paraId="3197DF2A" w14:textId="129F6CB1" w:rsidR="004F60B9" w:rsidRPr="00324315" w:rsidRDefault="00E8555E" w:rsidP="00E8555E">
            <w:pPr>
              <w:rPr>
                <w:sz w:val="16"/>
                <w:szCs w:val="16"/>
              </w:rPr>
            </w:pPr>
            <w:r w:rsidRPr="00324315">
              <w:rPr>
                <w:sz w:val="16"/>
                <w:szCs w:val="16"/>
              </w:rPr>
              <w:t xml:space="preserve">TTM P/E: </w:t>
            </w:r>
            <w:r w:rsidR="0013182F">
              <w:rPr>
                <w:sz w:val="16"/>
                <w:szCs w:val="16"/>
              </w:rPr>
              <w:t>21.86</w:t>
            </w:r>
          </w:p>
          <w:p w14:paraId="24D3234E" w14:textId="06FB1388" w:rsidR="003F11FA" w:rsidRDefault="00E8555E" w:rsidP="003F11FA">
            <w:pPr>
              <w:rPr>
                <w:sz w:val="16"/>
                <w:szCs w:val="16"/>
              </w:rPr>
            </w:pPr>
            <w:r w:rsidRPr="00324315">
              <w:rPr>
                <w:sz w:val="16"/>
                <w:szCs w:val="16"/>
              </w:rPr>
              <w:t>Forward P/E:</w:t>
            </w:r>
            <w:r w:rsidR="0013182F">
              <w:rPr>
                <w:sz w:val="16"/>
                <w:szCs w:val="16"/>
              </w:rPr>
              <w:t xml:space="preserve"> 19.89</w:t>
            </w:r>
            <w:r w:rsidRPr="00324315">
              <w:rPr>
                <w:sz w:val="16"/>
                <w:szCs w:val="16"/>
              </w:rPr>
              <w:t xml:space="preserve"> </w:t>
            </w:r>
          </w:p>
          <w:p w14:paraId="5AA3FEF7" w14:textId="09197E52" w:rsidR="006E44B8" w:rsidRPr="00324315" w:rsidRDefault="00E8555E" w:rsidP="003F11FA">
            <w:pPr>
              <w:rPr>
                <w:sz w:val="16"/>
                <w:szCs w:val="16"/>
              </w:rPr>
            </w:pPr>
            <w:r w:rsidRPr="00324315">
              <w:rPr>
                <w:sz w:val="16"/>
                <w:szCs w:val="16"/>
              </w:rPr>
              <w:t xml:space="preserve">EPS: </w:t>
            </w:r>
            <w:r w:rsidR="0013182F">
              <w:rPr>
                <w:sz w:val="16"/>
                <w:szCs w:val="16"/>
              </w:rPr>
              <w:t>3.28</w:t>
            </w:r>
          </w:p>
        </w:tc>
        <w:tc>
          <w:tcPr>
            <w:tcW w:w="1984" w:type="dxa"/>
          </w:tcPr>
          <w:p w14:paraId="25238E11" w14:textId="60AFE001" w:rsidR="00E8555E" w:rsidRPr="00324315" w:rsidRDefault="00923CAB" w:rsidP="00E8555E">
            <w:pPr>
              <w:rPr>
                <w:sz w:val="16"/>
                <w:szCs w:val="16"/>
                <w:lang w:eastAsia="zh-CN"/>
              </w:rPr>
            </w:pPr>
            <w:r w:rsidRPr="00324315">
              <w:rPr>
                <w:sz w:val="16"/>
                <w:szCs w:val="16"/>
              </w:rPr>
              <w:t xml:space="preserve">Beta: </w:t>
            </w:r>
            <w:r w:rsidR="0013182F">
              <w:rPr>
                <w:sz w:val="16"/>
                <w:szCs w:val="16"/>
              </w:rPr>
              <w:t>0.66</w:t>
            </w:r>
          </w:p>
          <w:p w14:paraId="61C6D51C" w14:textId="54269207" w:rsidR="00A30926" w:rsidRPr="00324315" w:rsidRDefault="00E8555E" w:rsidP="00E8555E">
            <w:pPr>
              <w:rPr>
                <w:sz w:val="16"/>
                <w:szCs w:val="16"/>
              </w:rPr>
            </w:pPr>
            <w:r w:rsidRPr="00324315">
              <w:rPr>
                <w:sz w:val="16"/>
                <w:szCs w:val="16"/>
              </w:rPr>
              <w:t>Credit Rating:</w:t>
            </w:r>
            <w:r w:rsidR="00EB7E76" w:rsidRPr="00324315">
              <w:rPr>
                <w:sz w:val="16"/>
                <w:szCs w:val="16"/>
              </w:rPr>
              <w:t xml:space="preserve"> </w:t>
            </w:r>
            <w:r w:rsidR="004F60B9" w:rsidRPr="00324315">
              <w:rPr>
                <w:sz w:val="16"/>
                <w:szCs w:val="16"/>
              </w:rPr>
              <w:t>A</w:t>
            </w:r>
            <w:r w:rsidR="003F11FA">
              <w:rPr>
                <w:sz w:val="16"/>
                <w:szCs w:val="16"/>
              </w:rPr>
              <w:t>+</w:t>
            </w:r>
          </w:p>
          <w:p w14:paraId="5BFE3D7B" w14:textId="5D284B47" w:rsidR="003073EA" w:rsidRPr="00324315" w:rsidRDefault="003073EA" w:rsidP="00E8555E">
            <w:pPr>
              <w:rPr>
                <w:sz w:val="16"/>
                <w:szCs w:val="16"/>
              </w:rPr>
            </w:pPr>
            <w:r w:rsidRPr="00324315">
              <w:rPr>
                <w:sz w:val="16"/>
                <w:szCs w:val="16"/>
              </w:rPr>
              <w:t xml:space="preserve">Rating Outlook: </w:t>
            </w:r>
            <w:r w:rsidR="004F60B9" w:rsidRPr="00324315">
              <w:rPr>
                <w:sz w:val="16"/>
                <w:szCs w:val="16"/>
              </w:rPr>
              <w:t>Stable</w:t>
            </w:r>
          </w:p>
        </w:tc>
        <w:tc>
          <w:tcPr>
            <w:tcW w:w="3314" w:type="dxa"/>
          </w:tcPr>
          <w:p w14:paraId="438980BC" w14:textId="66E62128" w:rsidR="006E44B8" w:rsidRPr="003F11FA" w:rsidRDefault="0013332F">
            <w:pPr>
              <w:rPr>
                <w:b/>
                <w:sz w:val="16"/>
                <w:szCs w:val="16"/>
              </w:rPr>
            </w:pPr>
            <w:r w:rsidRPr="00324315">
              <w:rPr>
                <w:sz w:val="16"/>
                <w:szCs w:val="16"/>
              </w:rPr>
              <w:t xml:space="preserve">Market Cap: </w:t>
            </w:r>
            <w:r w:rsidR="0013182F">
              <w:rPr>
                <w:sz w:val="16"/>
                <w:szCs w:val="16"/>
              </w:rPr>
              <w:t>$48.07</w:t>
            </w:r>
            <w:r w:rsidR="003F11FA">
              <w:rPr>
                <w:b/>
                <w:sz w:val="16"/>
                <w:szCs w:val="16"/>
              </w:rPr>
              <w:t>B</w:t>
            </w:r>
          </w:p>
          <w:p w14:paraId="37B82920" w14:textId="0F4C7573" w:rsidR="00C441B3" w:rsidRPr="00324315" w:rsidRDefault="00501519">
            <w:pPr>
              <w:rPr>
                <w:sz w:val="16"/>
                <w:szCs w:val="16"/>
              </w:rPr>
            </w:pPr>
            <w:r w:rsidRPr="00324315">
              <w:rPr>
                <w:rFonts w:cs="UniversLTStd-BoldCn"/>
                <w:bCs/>
                <w:sz w:val="16"/>
                <w:szCs w:val="16"/>
              </w:rPr>
              <w:t>Avg Vol (</w:t>
            </w:r>
            <w:r w:rsidR="00C441B3" w:rsidRPr="00324315">
              <w:rPr>
                <w:rFonts w:cs="UniversLTStd-BoldCn"/>
                <w:bCs/>
                <w:sz w:val="16"/>
                <w:szCs w:val="16"/>
              </w:rPr>
              <w:t>12 M</w:t>
            </w:r>
            <w:r w:rsidRPr="00324315">
              <w:rPr>
                <w:rFonts w:cs="UniversLTStd-BoldCn"/>
                <w:bCs/>
                <w:sz w:val="16"/>
                <w:szCs w:val="16"/>
              </w:rPr>
              <w:t>onth</w:t>
            </w:r>
            <w:r w:rsidR="00C441B3" w:rsidRPr="00324315">
              <w:rPr>
                <w:rFonts w:cs="UniversLTStd-BoldCn"/>
                <w:bCs/>
                <w:sz w:val="16"/>
                <w:szCs w:val="16"/>
              </w:rPr>
              <w:t>)</w:t>
            </w:r>
            <w:r w:rsidR="00BF2DE5" w:rsidRPr="00324315">
              <w:rPr>
                <w:rFonts w:cs="UniversLTStd-BoldCn"/>
                <w:bCs/>
                <w:sz w:val="16"/>
                <w:szCs w:val="16"/>
              </w:rPr>
              <w:t>:</w:t>
            </w:r>
            <w:r w:rsidR="00F56E16" w:rsidRPr="00324315">
              <w:rPr>
                <w:rFonts w:cs="UniversLTStd-BoldCn"/>
                <w:bCs/>
                <w:sz w:val="16"/>
                <w:szCs w:val="16"/>
              </w:rPr>
              <w:t xml:space="preserve"> </w:t>
            </w:r>
            <w:r w:rsidR="0013182F">
              <w:rPr>
                <w:rFonts w:cs="UniversLTStd-BoldCn"/>
                <w:bCs/>
                <w:sz w:val="16"/>
                <w:szCs w:val="16"/>
              </w:rPr>
              <w:t>3.4</w:t>
            </w:r>
            <w:r w:rsidR="004F60B9" w:rsidRPr="00324315">
              <w:rPr>
                <w:rFonts w:cs="UniversLTStd-BoldCn"/>
                <w:bCs/>
                <w:sz w:val="16"/>
                <w:szCs w:val="16"/>
              </w:rPr>
              <w:t>M</w:t>
            </w:r>
          </w:p>
          <w:p w14:paraId="0D1C791A" w14:textId="2A5CF6CF" w:rsidR="00E5675C" w:rsidRPr="00324315" w:rsidRDefault="0013182F" w:rsidP="00BF2DE5">
            <w:pPr>
              <w:rPr>
                <w:sz w:val="16"/>
                <w:szCs w:val="16"/>
              </w:rPr>
            </w:pPr>
            <w:r>
              <w:rPr>
                <w:sz w:val="16"/>
                <w:szCs w:val="16"/>
              </w:rPr>
              <w:t>Dividend Yield: 1.20</w:t>
            </w:r>
            <w:r w:rsidR="004F60B9" w:rsidRPr="00324315">
              <w:rPr>
                <w:sz w:val="16"/>
                <w:szCs w:val="16"/>
              </w:rPr>
              <w:t>%</w:t>
            </w:r>
          </w:p>
        </w:tc>
      </w:tr>
    </w:tbl>
    <w:p w14:paraId="4F402887" w14:textId="2A591AC3" w:rsidR="00443ED9" w:rsidRPr="00324315"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rsidRPr="00324315" w14:paraId="311194DC" w14:textId="77777777" w:rsidTr="00DB5A10">
        <w:trPr>
          <w:trHeight w:val="197"/>
        </w:trPr>
        <w:tc>
          <w:tcPr>
            <w:tcW w:w="11700" w:type="dxa"/>
            <w:shd w:val="clear" w:color="auto" w:fill="365F91" w:themeFill="accent1" w:themeFillShade="BF"/>
          </w:tcPr>
          <w:p w14:paraId="14342F91" w14:textId="5A8BBA7A" w:rsidR="00DB5A10" w:rsidRPr="0013182F" w:rsidRDefault="00DB5A10" w:rsidP="00DB5A10">
            <w:pPr>
              <w:tabs>
                <w:tab w:val="left" w:pos="3690"/>
              </w:tabs>
              <w:jc w:val="both"/>
              <w:rPr>
                <w:color w:val="FFFFFF" w:themeColor="background1"/>
                <w:sz w:val="16"/>
                <w:szCs w:val="16"/>
              </w:rPr>
            </w:pPr>
            <w:r w:rsidRPr="0013182F">
              <w:rPr>
                <w:b/>
                <w:color w:val="FFFFFF" w:themeColor="background1"/>
                <w:sz w:val="16"/>
                <w:szCs w:val="16"/>
              </w:rPr>
              <w:t xml:space="preserve">Company Background:  </w:t>
            </w:r>
            <w:r w:rsidRPr="0013182F">
              <w:rPr>
                <w:b/>
                <w:color w:val="FFFFFF" w:themeColor="background1"/>
                <w:sz w:val="16"/>
                <w:szCs w:val="16"/>
              </w:rPr>
              <w:tab/>
            </w:r>
          </w:p>
        </w:tc>
      </w:tr>
      <w:tr w:rsidR="00DB5A10" w:rsidRPr="00324315" w14:paraId="325C88BE" w14:textId="77777777" w:rsidTr="00DB5A10">
        <w:tc>
          <w:tcPr>
            <w:tcW w:w="11700" w:type="dxa"/>
          </w:tcPr>
          <w:p w14:paraId="693779CF" w14:textId="1E55CDC8" w:rsidR="003F11FA" w:rsidRPr="003464F4" w:rsidRDefault="0013182F" w:rsidP="003464F4">
            <w:pPr>
              <w:pStyle w:val="ListParagraph"/>
              <w:numPr>
                <w:ilvl w:val="0"/>
                <w:numId w:val="12"/>
              </w:numPr>
              <w:ind w:left="319"/>
              <w:rPr>
                <w:sz w:val="16"/>
                <w:szCs w:val="16"/>
              </w:rPr>
            </w:pPr>
            <w:r w:rsidRPr="003464F4">
              <w:rPr>
                <w:sz w:val="16"/>
                <w:szCs w:val="16"/>
              </w:rPr>
              <w:t xml:space="preserve">TJX Companies is the largest U.S. </w:t>
            </w:r>
            <w:r w:rsidR="00AA3F35" w:rsidRPr="003464F4">
              <w:rPr>
                <w:sz w:val="16"/>
                <w:szCs w:val="16"/>
              </w:rPr>
              <w:t>off-price</w:t>
            </w:r>
            <w:r w:rsidRPr="003464F4">
              <w:rPr>
                <w:sz w:val="16"/>
                <w:szCs w:val="16"/>
              </w:rPr>
              <w:t xml:space="preserve"> family apparel and home fashion retailer. As of February 1, 2015, the company's core Marmaxx Group division operated 1,119 T.J. Maxx stores, 975 Marshalls stores, six Sierra Trading Post stores, sierratradingpost.com, and tjmaxx.com. TJX also operated 487 HomeGoods in the U.S.; 33 HomeSense and 407 T.K. Maxx stores and tkmaxx.com in Europe; and 96 HomeSense, 234 Winners and 38 Marshalls stores in Canada</w:t>
            </w:r>
          </w:p>
          <w:p w14:paraId="0A8884D5" w14:textId="05AE3455" w:rsidR="00AA3F35" w:rsidRPr="0013365E" w:rsidRDefault="00AA3F35" w:rsidP="009F0830">
            <w:pPr>
              <w:pStyle w:val="ListParagraph"/>
              <w:numPr>
                <w:ilvl w:val="0"/>
                <w:numId w:val="12"/>
              </w:numPr>
              <w:ind w:left="319"/>
              <w:rPr>
                <w:rFonts w:eastAsia="Times New Roman" w:cs="Times New Roman"/>
                <w:sz w:val="16"/>
                <w:szCs w:val="16"/>
              </w:rPr>
            </w:pPr>
            <w:r w:rsidRPr="003464F4">
              <w:rPr>
                <w:rFonts w:eastAsia="Times New Roman" w:cs="Arial"/>
                <w:color w:val="000000"/>
                <w:sz w:val="16"/>
                <w:szCs w:val="16"/>
                <w:shd w:val="clear" w:color="auto" w:fill="FFFFFF"/>
              </w:rPr>
              <w:t>In FY 15 (Jan.), the breakdown of total net sales and profit by the four operating segments are as follows: Marmaxx, 64% and 70%, respectively; HomeGoods, 12% and 12%; TJX Canada, 10% and 10%; and TJX Europe, 14% and 9%. Net sales by product categories were as follows: clothing and footwear, 57%; jewelry and accessories, 14%; and home fashions, 29%. </w:t>
            </w:r>
          </w:p>
        </w:tc>
      </w:tr>
      <w:tr w:rsidR="00274740" w:rsidRPr="00324315" w14:paraId="4EB61633" w14:textId="77777777" w:rsidTr="00274740">
        <w:tc>
          <w:tcPr>
            <w:tcW w:w="11700" w:type="dxa"/>
            <w:shd w:val="clear" w:color="auto" w:fill="365F91" w:themeFill="accent1" w:themeFillShade="BF"/>
          </w:tcPr>
          <w:p w14:paraId="38206B03" w14:textId="7B341966" w:rsidR="00274740" w:rsidRPr="00324315" w:rsidRDefault="00274740" w:rsidP="00BB61F8">
            <w:pPr>
              <w:tabs>
                <w:tab w:val="left" w:pos="3225"/>
              </w:tabs>
              <w:rPr>
                <w:b/>
                <w:color w:val="FFFFFF" w:themeColor="background1"/>
                <w:sz w:val="16"/>
                <w:szCs w:val="16"/>
              </w:rPr>
            </w:pPr>
            <w:r w:rsidRPr="00324315">
              <w:rPr>
                <w:b/>
                <w:color w:val="FFFFFF" w:themeColor="background1"/>
                <w:sz w:val="16"/>
                <w:szCs w:val="16"/>
              </w:rPr>
              <w:t xml:space="preserve">Industry </w:t>
            </w:r>
            <w:r w:rsidR="00BB3908" w:rsidRPr="00324315">
              <w:rPr>
                <w:b/>
                <w:color w:val="FFFFFF" w:themeColor="background1"/>
                <w:sz w:val="16"/>
                <w:szCs w:val="16"/>
              </w:rPr>
              <w:t>Outlook:</w:t>
            </w:r>
            <w:r w:rsidRPr="00324315">
              <w:rPr>
                <w:b/>
                <w:color w:val="FFFFFF" w:themeColor="background1"/>
                <w:sz w:val="16"/>
                <w:szCs w:val="16"/>
              </w:rPr>
              <w:t xml:space="preserve"> </w:t>
            </w:r>
          </w:p>
        </w:tc>
      </w:tr>
      <w:tr w:rsidR="00274740" w:rsidRPr="00324315" w14:paraId="52C52C72" w14:textId="77777777" w:rsidTr="00A8303B">
        <w:trPr>
          <w:trHeight w:val="1214"/>
        </w:trPr>
        <w:tc>
          <w:tcPr>
            <w:tcW w:w="11700" w:type="dxa"/>
          </w:tcPr>
          <w:p w14:paraId="22F6BE40" w14:textId="08293EFF" w:rsidR="0013182F" w:rsidRPr="00994DCA" w:rsidRDefault="001903E3" w:rsidP="00F818EA">
            <w:pPr>
              <w:pStyle w:val="ListParagraph"/>
              <w:numPr>
                <w:ilvl w:val="0"/>
                <w:numId w:val="10"/>
              </w:numPr>
              <w:ind w:left="319"/>
              <w:rPr>
                <w:rFonts w:eastAsia="Times New Roman" w:cs="Times New Roman"/>
                <w:sz w:val="16"/>
                <w:szCs w:val="16"/>
              </w:rPr>
            </w:pPr>
            <w:r>
              <w:rPr>
                <w:sz w:val="16"/>
                <w:szCs w:val="16"/>
              </w:rPr>
              <w:t>N</w:t>
            </w:r>
            <w:r w:rsidR="0013182F" w:rsidRPr="00994DCA">
              <w:rPr>
                <w:sz w:val="16"/>
                <w:szCs w:val="16"/>
              </w:rPr>
              <w:t>et sales</w:t>
            </w:r>
            <w:r>
              <w:rPr>
                <w:sz w:val="16"/>
                <w:szCs w:val="16"/>
              </w:rPr>
              <w:t xml:space="preserve"> are expected</w:t>
            </w:r>
            <w:r w:rsidR="0013182F" w:rsidRPr="00994DCA">
              <w:rPr>
                <w:sz w:val="16"/>
                <w:szCs w:val="16"/>
              </w:rPr>
              <w:t xml:space="preserve"> to increase 5.6% in FY 16 (Jan.) -- after some foreign currency headwinds -- and 6.9% in FY 17</w:t>
            </w:r>
          </w:p>
          <w:p w14:paraId="6B6B94FD" w14:textId="2FDCF57F" w:rsidR="00547D0B" w:rsidRDefault="00994DCA" w:rsidP="00F818EA">
            <w:pPr>
              <w:pStyle w:val="ListParagraph"/>
              <w:numPr>
                <w:ilvl w:val="0"/>
                <w:numId w:val="10"/>
              </w:numPr>
              <w:ind w:left="319"/>
              <w:rPr>
                <w:rFonts w:eastAsia="Times New Roman" w:cs="Times New Roman"/>
                <w:sz w:val="16"/>
                <w:szCs w:val="16"/>
              </w:rPr>
            </w:pPr>
            <w:r w:rsidRPr="00994DCA">
              <w:rPr>
                <w:sz w:val="16"/>
                <w:szCs w:val="16"/>
              </w:rPr>
              <w:t>Apparel</w:t>
            </w:r>
            <w:r w:rsidR="0013182F" w:rsidRPr="00994DCA">
              <w:rPr>
                <w:sz w:val="16"/>
                <w:szCs w:val="16"/>
              </w:rPr>
              <w:t xml:space="preserve"> sales to grow 1% to 2% in 2016, supported by new fashion trends, and some easing of p</w:t>
            </w:r>
            <w:r w:rsidR="00547D0B">
              <w:rPr>
                <w:sz w:val="16"/>
                <w:szCs w:val="16"/>
              </w:rPr>
              <w:t>romotional activity. O</w:t>
            </w:r>
            <w:r w:rsidR="0013182F" w:rsidRPr="00994DCA">
              <w:rPr>
                <w:sz w:val="16"/>
                <w:szCs w:val="16"/>
              </w:rPr>
              <w:t>ff-price retailers are best positioned to gain market share in 2016, given their attractive value pricing, frequent in-flow of new merchandise, and ability to quickly move in and out of product categories based on customer demand</w:t>
            </w:r>
          </w:p>
          <w:p w14:paraId="2219CC73" w14:textId="78561D62" w:rsidR="0013182F" w:rsidRPr="00547D0B" w:rsidRDefault="00547D0B" w:rsidP="00F818EA">
            <w:pPr>
              <w:pStyle w:val="ListParagraph"/>
              <w:numPr>
                <w:ilvl w:val="0"/>
                <w:numId w:val="10"/>
              </w:numPr>
              <w:ind w:left="319"/>
              <w:rPr>
                <w:rFonts w:eastAsia="Times New Roman" w:cs="Times New Roman"/>
                <w:sz w:val="16"/>
                <w:szCs w:val="16"/>
              </w:rPr>
            </w:pPr>
            <w:r>
              <w:rPr>
                <w:sz w:val="16"/>
                <w:szCs w:val="16"/>
              </w:rPr>
              <w:t>A</w:t>
            </w:r>
            <w:r w:rsidR="0013182F" w:rsidRPr="00547D0B">
              <w:rPr>
                <w:sz w:val="16"/>
                <w:szCs w:val="16"/>
              </w:rPr>
              <w:t>pparel retailers</w:t>
            </w:r>
            <w:r>
              <w:rPr>
                <w:sz w:val="16"/>
                <w:szCs w:val="16"/>
              </w:rPr>
              <w:t xml:space="preserve"> are expected</w:t>
            </w:r>
            <w:r w:rsidR="0013182F" w:rsidRPr="00547D0B">
              <w:rPr>
                <w:sz w:val="16"/>
                <w:szCs w:val="16"/>
              </w:rPr>
              <w:t xml:space="preserve"> to focus their expansion on outlet centers in order to reach cost-conscious consumers who might otherwise not shop their brands and to raise brand awareness among international shoppers.</w:t>
            </w:r>
          </w:p>
        </w:tc>
      </w:tr>
      <w:tr w:rsidR="00DB5A10" w:rsidRPr="00324315" w14:paraId="6A32B295" w14:textId="77777777" w:rsidTr="00A8303B">
        <w:trPr>
          <w:trHeight w:val="90"/>
        </w:trPr>
        <w:tc>
          <w:tcPr>
            <w:tcW w:w="11700" w:type="dxa"/>
            <w:shd w:val="clear" w:color="auto" w:fill="365F91" w:themeFill="accent1" w:themeFillShade="BF"/>
          </w:tcPr>
          <w:p w14:paraId="22F69EB1" w14:textId="5B91B2A3" w:rsidR="00DB5A10" w:rsidRPr="00324315" w:rsidRDefault="00DB5A10" w:rsidP="00DB5A10">
            <w:pPr>
              <w:tabs>
                <w:tab w:val="left" w:pos="3225"/>
              </w:tabs>
              <w:rPr>
                <w:b/>
                <w:color w:val="FFFFFF" w:themeColor="background1"/>
                <w:sz w:val="16"/>
                <w:szCs w:val="16"/>
              </w:rPr>
            </w:pPr>
            <w:r w:rsidRPr="00324315">
              <w:rPr>
                <w:b/>
                <w:color w:val="FFFFFF" w:themeColor="background1"/>
                <w:sz w:val="16"/>
                <w:szCs w:val="16"/>
              </w:rPr>
              <w:t>Investment Thesis:</w:t>
            </w:r>
            <w:r w:rsidRPr="00324315">
              <w:rPr>
                <w:b/>
                <w:color w:val="FFFFFF" w:themeColor="background1"/>
                <w:sz w:val="16"/>
                <w:szCs w:val="16"/>
              </w:rPr>
              <w:tab/>
            </w:r>
          </w:p>
        </w:tc>
      </w:tr>
      <w:tr w:rsidR="00DB5A10" w:rsidRPr="00324315" w14:paraId="4F0CBDAD" w14:textId="77777777" w:rsidTr="003464F4">
        <w:trPr>
          <w:trHeight w:val="1178"/>
        </w:trPr>
        <w:tc>
          <w:tcPr>
            <w:tcW w:w="11700" w:type="dxa"/>
          </w:tcPr>
          <w:p w14:paraId="65E2A04D" w14:textId="77777777" w:rsidR="002E5ADC" w:rsidRPr="003464F4" w:rsidRDefault="00C60355" w:rsidP="003464F4">
            <w:pPr>
              <w:pStyle w:val="ListParagraph"/>
              <w:numPr>
                <w:ilvl w:val="0"/>
                <w:numId w:val="14"/>
              </w:numPr>
              <w:ind w:left="319"/>
              <w:rPr>
                <w:rFonts w:eastAsia="Times New Roman" w:cs="Arial"/>
                <w:color w:val="000000"/>
                <w:sz w:val="16"/>
                <w:szCs w:val="16"/>
                <w:shd w:val="clear" w:color="auto" w:fill="FFFFFF"/>
              </w:rPr>
            </w:pPr>
            <w:r w:rsidRPr="003464F4">
              <w:rPr>
                <w:rFonts w:eastAsia="Times New Roman" w:cs="Arial"/>
                <w:color w:val="000000"/>
                <w:sz w:val="16"/>
                <w:szCs w:val="16"/>
                <w:shd w:val="clear" w:color="auto" w:fill="FFFFFF"/>
              </w:rPr>
              <w:t>TJX steadfastly focused on its key growth pillars, including continued retail expansion (through the addition of new store locations), and growth in same-store sales (which have risen for 27 consecutive quarters through October 31, 2015). </w:t>
            </w:r>
          </w:p>
          <w:p w14:paraId="6233BBDE" w14:textId="77777777" w:rsidR="00C60355" w:rsidRPr="003464F4" w:rsidRDefault="00C60355" w:rsidP="003464F4">
            <w:pPr>
              <w:pStyle w:val="ListParagraph"/>
              <w:numPr>
                <w:ilvl w:val="0"/>
                <w:numId w:val="14"/>
              </w:numPr>
              <w:ind w:left="319"/>
              <w:rPr>
                <w:rFonts w:eastAsia="Times New Roman" w:cs="Times New Roman"/>
                <w:sz w:val="16"/>
                <w:szCs w:val="16"/>
              </w:rPr>
            </w:pPr>
            <w:r w:rsidRPr="003464F4">
              <w:rPr>
                <w:rFonts w:eastAsia="Times New Roman" w:cs="Arial"/>
                <w:color w:val="000000"/>
                <w:sz w:val="16"/>
                <w:szCs w:val="16"/>
                <w:shd w:val="clear" w:color="auto" w:fill="FFFFFF"/>
              </w:rPr>
              <w:t>Over the long term, it sees an opportunity to grow its store base by more than 50% to almost 5,500 locations across the U.S., Europe and Canada.</w:t>
            </w:r>
          </w:p>
          <w:p w14:paraId="60932C2C" w14:textId="77777777" w:rsidR="00C60355" w:rsidRPr="003464F4" w:rsidRDefault="00C60355" w:rsidP="003464F4">
            <w:pPr>
              <w:pStyle w:val="ListParagraph"/>
              <w:numPr>
                <w:ilvl w:val="0"/>
                <w:numId w:val="14"/>
              </w:numPr>
              <w:ind w:left="319"/>
              <w:rPr>
                <w:rFonts w:eastAsia="Times New Roman" w:cs="Times New Roman"/>
                <w:sz w:val="16"/>
                <w:szCs w:val="16"/>
              </w:rPr>
            </w:pPr>
            <w:r w:rsidRPr="003464F4">
              <w:rPr>
                <w:rFonts w:eastAsia="Times New Roman" w:cs="Arial"/>
                <w:color w:val="000000"/>
                <w:sz w:val="16"/>
                <w:szCs w:val="16"/>
                <w:shd w:val="clear" w:color="auto" w:fill="FFFFFF"/>
              </w:rPr>
              <w:t>In October 2015, the company acquired Trade secrets, an off-price retailer that operates 35 stores in Australia - for AUD $80 million (about US$59 million).</w:t>
            </w:r>
          </w:p>
          <w:p w14:paraId="35F9E681" w14:textId="2B2B04BF" w:rsidR="00C60355" w:rsidRPr="003464F4" w:rsidRDefault="00C60355" w:rsidP="003464F4">
            <w:pPr>
              <w:pStyle w:val="ListParagraph"/>
              <w:numPr>
                <w:ilvl w:val="0"/>
                <w:numId w:val="14"/>
              </w:numPr>
              <w:ind w:left="319"/>
              <w:rPr>
                <w:rFonts w:eastAsia="Times New Roman" w:cs="Times New Roman"/>
                <w:sz w:val="16"/>
                <w:szCs w:val="16"/>
              </w:rPr>
            </w:pPr>
            <w:r w:rsidRPr="003464F4">
              <w:rPr>
                <w:rFonts w:eastAsia="Times New Roman" w:cs="Arial"/>
                <w:color w:val="000000"/>
                <w:sz w:val="16"/>
                <w:szCs w:val="16"/>
                <w:shd w:val="clear" w:color="auto" w:fill="FFFFFF"/>
              </w:rPr>
              <w:t>TJX recently held about $2.1 billion in cash (over $3.10 a share), with a 1.2% dividend yield also adding to total return.</w:t>
            </w:r>
          </w:p>
        </w:tc>
      </w:tr>
      <w:tr w:rsidR="00DB5A10" w:rsidRPr="00324315" w14:paraId="3604FAC8" w14:textId="77777777" w:rsidTr="00DB5A10">
        <w:tc>
          <w:tcPr>
            <w:tcW w:w="11700" w:type="dxa"/>
            <w:shd w:val="clear" w:color="auto" w:fill="365F91" w:themeFill="accent1" w:themeFillShade="BF"/>
          </w:tcPr>
          <w:p w14:paraId="36D57562" w14:textId="69893D12" w:rsidR="00DB5A10" w:rsidRPr="00324315" w:rsidRDefault="00DB5A10" w:rsidP="00DB5A10">
            <w:pPr>
              <w:tabs>
                <w:tab w:val="left" w:pos="2235"/>
              </w:tabs>
              <w:rPr>
                <w:sz w:val="16"/>
                <w:szCs w:val="16"/>
              </w:rPr>
            </w:pPr>
            <w:r w:rsidRPr="00324315">
              <w:rPr>
                <w:b/>
                <w:color w:val="FFFFFF" w:themeColor="background1"/>
                <w:sz w:val="16"/>
                <w:szCs w:val="16"/>
              </w:rPr>
              <w:t>Investment Risks:</w:t>
            </w:r>
            <w:r w:rsidRPr="00324315">
              <w:rPr>
                <w:b/>
                <w:color w:val="FFFFFF" w:themeColor="background1"/>
                <w:sz w:val="16"/>
                <w:szCs w:val="16"/>
              </w:rPr>
              <w:tab/>
            </w:r>
          </w:p>
        </w:tc>
      </w:tr>
      <w:tr w:rsidR="00DB5A10" w:rsidRPr="00324315" w14:paraId="7051B972" w14:textId="77777777" w:rsidTr="003464F4">
        <w:trPr>
          <w:trHeight w:val="683"/>
        </w:trPr>
        <w:tc>
          <w:tcPr>
            <w:tcW w:w="11700" w:type="dxa"/>
          </w:tcPr>
          <w:p w14:paraId="692540A7" w14:textId="3C72997E" w:rsidR="00C60355" w:rsidRPr="003464F4" w:rsidRDefault="00C60355" w:rsidP="003464F4">
            <w:pPr>
              <w:pStyle w:val="ListParagraph"/>
              <w:numPr>
                <w:ilvl w:val="0"/>
                <w:numId w:val="13"/>
              </w:numPr>
              <w:ind w:left="319"/>
              <w:rPr>
                <w:rFonts w:eastAsia="Times New Roman" w:cs="Times New Roman"/>
                <w:sz w:val="16"/>
                <w:szCs w:val="16"/>
              </w:rPr>
            </w:pPr>
            <w:r w:rsidRPr="003464F4">
              <w:rPr>
                <w:rFonts w:eastAsia="Times New Roman" w:cs="Arial"/>
                <w:color w:val="000000"/>
                <w:sz w:val="16"/>
                <w:szCs w:val="16"/>
                <w:shd w:val="clear" w:color="auto" w:fill="FFFFFF"/>
              </w:rPr>
              <w:t>The company could be vulnerable to a sharp pullback in consumer discretionary spending.</w:t>
            </w:r>
          </w:p>
          <w:p w14:paraId="2712AD00" w14:textId="6211D794" w:rsidR="00C60355" w:rsidRPr="003464F4" w:rsidRDefault="00C60355" w:rsidP="003464F4">
            <w:pPr>
              <w:pStyle w:val="ListParagraph"/>
              <w:numPr>
                <w:ilvl w:val="0"/>
                <w:numId w:val="13"/>
              </w:numPr>
              <w:ind w:left="319"/>
              <w:rPr>
                <w:rFonts w:eastAsia="Times New Roman" w:cs="Times New Roman"/>
                <w:sz w:val="16"/>
                <w:szCs w:val="16"/>
              </w:rPr>
            </w:pPr>
            <w:r w:rsidRPr="003464F4">
              <w:rPr>
                <w:rFonts w:eastAsia="Times New Roman" w:cs="Arial"/>
                <w:color w:val="000000"/>
                <w:sz w:val="16"/>
                <w:szCs w:val="16"/>
                <w:shd w:val="clear" w:color="auto" w:fill="FFFFFF"/>
              </w:rPr>
              <w:t>Potential stagnation in market share growth, amid intensifying competition in a challenging retail environment.</w:t>
            </w:r>
          </w:p>
          <w:p w14:paraId="78159DC0" w14:textId="6DE22A78" w:rsidR="00601444" w:rsidRPr="003464F4" w:rsidRDefault="00C60355" w:rsidP="00C60355">
            <w:pPr>
              <w:pStyle w:val="ListParagraph"/>
              <w:numPr>
                <w:ilvl w:val="0"/>
                <w:numId w:val="13"/>
              </w:numPr>
              <w:ind w:left="319"/>
              <w:rPr>
                <w:rFonts w:eastAsia="Times New Roman" w:cs="Times New Roman"/>
                <w:sz w:val="16"/>
                <w:szCs w:val="16"/>
              </w:rPr>
            </w:pPr>
            <w:r w:rsidRPr="003464F4">
              <w:rPr>
                <w:rFonts w:eastAsia="Times New Roman" w:cs="Arial"/>
                <w:color w:val="000000"/>
                <w:sz w:val="16"/>
                <w:szCs w:val="16"/>
                <w:shd w:val="clear" w:color="auto" w:fill="FFFFFF"/>
              </w:rPr>
              <w:t>Severe foreign currency headwinds arising from the company's growing international operations in Canada and Europe.</w:t>
            </w:r>
          </w:p>
        </w:tc>
      </w:tr>
      <w:tr w:rsidR="00DB5A10" w:rsidRPr="00324315" w14:paraId="76F577E7" w14:textId="77777777" w:rsidTr="00DB5A10">
        <w:tc>
          <w:tcPr>
            <w:tcW w:w="11700" w:type="dxa"/>
            <w:shd w:val="clear" w:color="auto" w:fill="365F91" w:themeFill="accent1" w:themeFillShade="BF"/>
          </w:tcPr>
          <w:p w14:paraId="0A443D6F" w14:textId="4EB2A931" w:rsidR="00DB5A10" w:rsidRPr="00324315" w:rsidRDefault="00DB5A10" w:rsidP="00DB5A10">
            <w:pPr>
              <w:ind w:left="72"/>
              <w:jc w:val="both"/>
              <w:rPr>
                <w:color w:val="FFFFFF" w:themeColor="background1"/>
                <w:sz w:val="16"/>
                <w:szCs w:val="16"/>
              </w:rPr>
            </w:pPr>
            <w:r w:rsidRPr="00324315">
              <w:rPr>
                <w:b/>
                <w:color w:val="FFFFFF" w:themeColor="background1"/>
                <w:sz w:val="16"/>
                <w:szCs w:val="16"/>
              </w:rPr>
              <w:t xml:space="preserve">3-5 take </w:t>
            </w:r>
            <w:r w:rsidR="00274740" w:rsidRPr="00324315">
              <w:rPr>
                <w:b/>
                <w:color w:val="FFFFFF" w:themeColor="background1"/>
                <w:sz w:val="16"/>
                <w:szCs w:val="16"/>
              </w:rPr>
              <w:t>away</w:t>
            </w:r>
            <w:r w:rsidRPr="00324315">
              <w:rPr>
                <w:b/>
                <w:color w:val="FFFFFF" w:themeColor="background1"/>
                <w:sz w:val="16"/>
                <w:szCs w:val="16"/>
              </w:rPr>
              <w:t xml:space="preserve"> from last quarter investor call transcript: </w:t>
            </w:r>
          </w:p>
        </w:tc>
      </w:tr>
      <w:tr w:rsidR="00DB5A10" w:rsidRPr="00324315" w14:paraId="75D76709" w14:textId="77777777" w:rsidTr="00573A72">
        <w:trPr>
          <w:trHeight w:val="800"/>
        </w:trPr>
        <w:tc>
          <w:tcPr>
            <w:tcW w:w="11700" w:type="dxa"/>
          </w:tcPr>
          <w:p w14:paraId="38F912E0" w14:textId="15386E18" w:rsidR="00450C7B" w:rsidRPr="00573A72" w:rsidRDefault="007F52E8" w:rsidP="00573A72">
            <w:pPr>
              <w:pStyle w:val="ListParagraph"/>
              <w:numPr>
                <w:ilvl w:val="0"/>
                <w:numId w:val="16"/>
              </w:numPr>
              <w:ind w:left="319"/>
              <w:rPr>
                <w:rFonts w:eastAsia="Times New Roman" w:cs="Times New Roman"/>
                <w:color w:val="000000"/>
                <w:sz w:val="16"/>
                <w:szCs w:val="16"/>
                <w:shd w:val="clear" w:color="auto" w:fill="FFFFFF"/>
              </w:rPr>
            </w:pPr>
            <w:r>
              <w:rPr>
                <w:rFonts w:eastAsia="Times New Roman" w:cs="Times New Roman"/>
                <w:color w:val="000000"/>
                <w:sz w:val="16"/>
                <w:szCs w:val="16"/>
                <w:shd w:val="clear" w:color="auto" w:fill="FFFFFF"/>
              </w:rPr>
              <w:t>T</w:t>
            </w:r>
            <w:r w:rsidR="0013365E" w:rsidRPr="00573A72">
              <w:rPr>
                <w:rFonts w:eastAsia="Times New Roman" w:cs="Times New Roman"/>
                <w:color w:val="000000"/>
                <w:sz w:val="16"/>
                <w:szCs w:val="16"/>
                <w:shd w:val="clear" w:color="auto" w:fill="FFFFFF"/>
              </w:rPr>
              <w:t>hird quarter consolidated comparable store sales increased 5% continuing our strong trend this year and exceeding our plan.</w:t>
            </w:r>
          </w:p>
          <w:p w14:paraId="00B5E733" w14:textId="15E48693" w:rsidR="0013365E" w:rsidRPr="00573A72" w:rsidRDefault="0013365E" w:rsidP="00573A72">
            <w:pPr>
              <w:pStyle w:val="ListParagraph"/>
              <w:numPr>
                <w:ilvl w:val="0"/>
                <w:numId w:val="16"/>
              </w:numPr>
              <w:ind w:left="319"/>
              <w:rPr>
                <w:rFonts w:eastAsia="Times New Roman" w:cs="Times New Roman"/>
                <w:sz w:val="16"/>
                <w:szCs w:val="16"/>
              </w:rPr>
            </w:pPr>
            <w:r w:rsidRPr="00573A72">
              <w:rPr>
                <w:rFonts w:eastAsia="Times New Roman" w:cs="Times New Roman"/>
                <w:color w:val="000000"/>
                <w:sz w:val="16"/>
                <w:szCs w:val="16"/>
                <w:shd w:val="clear" w:color="auto" w:fill="FFFFFF"/>
              </w:rPr>
              <w:t>Year-to-date we have retired 19.1 million shares buying back 1.3 billion of stock. We continue to anticipate buying back 1.8 billion to 1.9 billion of TJX stock this yea</w:t>
            </w:r>
            <w:r w:rsidR="00547D0B">
              <w:rPr>
                <w:rFonts w:eastAsia="Times New Roman" w:cs="Times New Roman"/>
                <w:color w:val="000000"/>
                <w:sz w:val="16"/>
                <w:szCs w:val="16"/>
                <w:shd w:val="clear" w:color="auto" w:fill="FFFFFF"/>
              </w:rPr>
              <w:t>r.</w:t>
            </w:r>
          </w:p>
          <w:p w14:paraId="4205DC0B" w14:textId="64F838A2" w:rsidR="0013365E" w:rsidRPr="00573A72" w:rsidRDefault="0013365E" w:rsidP="00573A72">
            <w:pPr>
              <w:pStyle w:val="ListParagraph"/>
              <w:numPr>
                <w:ilvl w:val="0"/>
                <w:numId w:val="16"/>
              </w:numPr>
              <w:ind w:left="319"/>
              <w:rPr>
                <w:rFonts w:ascii="Times New Roman" w:eastAsia="Times New Roman" w:hAnsi="Times New Roman" w:cs="Times New Roman"/>
              </w:rPr>
            </w:pPr>
            <w:r w:rsidRPr="00573A72">
              <w:rPr>
                <w:rFonts w:eastAsia="Times New Roman" w:cs="Times New Roman"/>
                <w:color w:val="000000"/>
                <w:sz w:val="16"/>
                <w:szCs w:val="16"/>
                <w:shd w:val="clear" w:color="auto" w:fill="FFFFFF"/>
              </w:rPr>
              <w:t>TJX Canada comp sales increased 10% marking the third consecutive quarter of double-digit comp growth.</w:t>
            </w:r>
          </w:p>
        </w:tc>
      </w:tr>
    </w:tbl>
    <w:p w14:paraId="5873EF7F" w14:textId="77777777" w:rsidR="00B7642F" w:rsidRPr="00324315"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rsidRPr="00324315" w14:paraId="730DB2FF" w14:textId="77777777" w:rsidTr="00034A52">
        <w:tc>
          <w:tcPr>
            <w:tcW w:w="7488" w:type="dxa"/>
            <w:shd w:val="clear" w:color="auto" w:fill="365F91" w:themeFill="accent1" w:themeFillShade="BF"/>
          </w:tcPr>
          <w:p w14:paraId="7CF6246B" w14:textId="38A66325" w:rsidR="00830F06" w:rsidRPr="00324315" w:rsidRDefault="00830F06" w:rsidP="00443ED9">
            <w:pPr>
              <w:jc w:val="both"/>
              <w:rPr>
                <w:b/>
                <w:color w:val="FFFFFF" w:themeColor="background1"/>
                <w:sz w:val="16"/>
                <w:szCs w:val="16"/>
              </w:rPr>
            </w:pPr>
            <w:r w:rsidRPr="00324315">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324315" w:rsidRDefault="00830F06" w:rsidP="00443ED9">
            <w:pPr>
              <w:jc w:val="both"/>
              <w:rPr>
                <w:b/>
                <w:color w:val="FFFFFF" w:themeColor="background1"/>
                <w:sz w:val="16"/>
                <w:szCs w:val="16"/>
              </w:rPr>
            </w:pPr>
            <w:r w:rsidRPr="00324315">
              <w:rPr>
                <w:b/>
                <w:color w:val="FFFFFF" w:themeColor="background1"/>
                <w:sz w:val="16"/>
                <w:szCs w:val="16"/>
              </w:rPr>
              <w:t xml:space="preserve">Discounted Cash Flow </w:t>
            </w:r>
          </w:p>
        </w:tc>
      </w:tr>
      <w:tr w:rsidR="00830F06" w:rsidRPr="00324315" w14:paraId="0538015D" w14:textId="77777777" w:rsidTr="00830F06">
        <w:tc>
          <w:tcPr>
            <w:tcW w:w="7488" w:type="dxa"/>
          </w:tcPr>
          <w:p w14:paraId="6F98E45C" w14:textId="0B76D2EE" w:rsidR="00830F06" w:rsidRPr="00324315" w:rsidRDefault="00AD0D1F" w:rsidP="00443ED9">
            <w:pPr>
              <w:jc w:val="both"/>
              <w:rPr>
                <w:sz w:val="16"/>
                <w:szCs w:val="16"/>
              </w:rPr>
            </w:pPr>
            <w:r>
              <w:rPr>
                <w:noProof/>
                <w:sz w:val="16"/>
                <w:szCs w:val="16"/>
              </w:rPr>
              <w:pict w14:anchorId="027AF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pt;height:3in">
                  <v:imagedata r:id="rId6" o:title="FA1"/>
                </v:shape>
              </w:pict>
            </w:r>
            <w:r>
              <w:rPr>
                <w:noProof/>
                <w:sz w:val="16"/>
                <w:szCs w:val="16"/>
              </w:rPr>
              <w:pict w14:anchorId="2B5583DE">
                <v:shape id="_x0000_i1026" type="#_x0000_t75" style="width:136.95pt;height:3in">
                  <v:imagedata r:id="rId7" o:title="fa2"/>
                </v:shape>
              </w:pict>
            </w:r>
          </w:p>
        </w:tc>
        <w:tc>
          <w:tcPr>
            <w:tcW w:w="4320" w:type="dxa"/>
          </w:tcPr>
          <w:p w14:paraId="3276E349" w14:textId="77777777" w:rsidR="00830F06" w:rsidRPr="00324315" w:rsidRDefault="00830F06" w:rsidP="00443ED9">
            <w:pPr>
              <w:jc w:val="both"/>
              <w:rPr>
                <w:sz w:val="16"/>
                <w:szCs w:val="16"/>
              </w:rPr>
            </w:pPr>
          </w:p>
          <w:tbl>
            <w:tblPr>
              <w:tblStyle w:val="TableGrid"/>
              <w:tblW w:w="0" w:type="auto"/>
              <w:tblLook w:val="04A0" w:firstRow="1" w:lastRow="0" w:firstColumn="1" w:lastColumn="0" w:noHBand="0" w:noVBand="1"/>
            </w:tblPr>
            <w:tblGrid>
              <w:gridCol w:w="1908"/>
              <w:gridCol w:w="1129"/>
              <w:gridCol w:w="1080"/>
            </w:tblGrid>
            <w:tr w:rsidR="0060598F" w:rsidRPr="00324315" w14:paraId="4C54BF94" w14:textId="77777777" w:rsidTr="0060598F">
              <w:tc>
                <w:tcPr>
                  <w:tcW w:w="1908" w:type="dxa"/>
                  <w:shd w:val="clear" w:color="auto" w:fill="DBE5F1" w:themeFill="accent1" w:themeFillTint="33"/>
                </w:tcPr>
                <w:p w14:paraId="15FA463B" w14:textId="77777777" w:rsidR="00830F06" w:rsidRPr="00324315" w:rsidRDefault="00830F06" w:rsidP="00830F06">
                  <w:pPr>
                    <w:rPr>
                      <w:sz w:val="16"/>
                      <w:szCs w:val="16"/>
                    </w:rPr>
                  </w:pPr>
                </w:p>
              </w:tc>
              <w:tc>
                <w:tcPr>
                  <w:tcW w:w="1129" w:type="dxa"/>
                  <w:shd w:val="clear" w:color="auto" w:fill="DBE5F1" w:themeFill="accent1" w:themeFillTint="33"/>
                </w:tcPr>
                <w:p w14:paraId="3D650FB0" w14:textId="39B87B1D" w:rsidR="00830F06" w:rsidRPr="00324315" w:rsidRDefault="00FA5BBC" w:rsidP="00830F06">
                  <w:pPr>
                    <w:rPr>
                      <w:sz w:val="16"/>
                      <w:szCs w:val="16"/>
                    </w:rPr>
                  </w:pPr>
                  <w:r w:rsidRPr="00324315">
                    <w:rPr>
                      <w:sz w:val="16"/>
                      <w:szCs w:val="16"/>
                    </w:rPr>
                    <w:t>2010</w:t>
                  </w:r>
                  <w:r w:rsidR="00830F06" w:rsidRPr="00324315">
                    <w:rPr>
                      <w:sz w:val="16"/>
                      <w:szCs w:val="16"/>
                    </w:rPr>
                    <w:t>-14</w:t>
                  </w:r>
                </w:p>
              </w:tc>
              <w:tc>
                <w:tcPr>
                  <w:tcW w:w="1080" w:type="dxa"/>
                  <w:shd w:val="clear" w:color="auto" w:fill="DBE5F1" w:themeFill="accent1" w:themeFillTint="33"/>
                </w:tcPr>
                <w:p w14:paraId="6917AD00" w14:textId="77777777" w:rsidR="00830F06" w:rsidRPr="00324315" w:rsidRDefault="00830F06" w:rsidP="00830F06">
                  <w:pPr>
                    <w:rPr>
                      <w:sz w:val="16"/>
                      <w:szCs w:val="16"/>
                    </w:rPr>
                  </w:pPr>
                  <w:r w:rsidRPr="00324315">
                    <w:rPr>
                      <w:sz w:val="16"/>
                      <w:szCs w:val="16"/>
                    </w:rPr>
                    <w:t>2015-19</w:t>
                  </w:r>
                </w:p>
              </w:tc>
            </w:tr>
            <w:tr w:rsidR="0060598F" w:rsidRPr="00324315" w14:paraId="5A9DD5F4" w14:textId="77777777" w:rsidTr="0010720B">
              <w:tc>
                <w:tcPr>
                  <w:tcW w:w="1908" w:type="dxa"/>
                </w:tcPr>
                <w:p w14:paraId="6A465DCA" w14:textId="77777777" w:rsidR="00830F06" w:rsidRPr="00324315" w:rsidRDefault="00830F06" w:rsidP="00830F06">
                  <w:pPr>
                    <w:rPr>
                      <w:sz w:val="16"/>
                      <w:szCs w:val="16"/>
                    </w:rPr>
                  </w:pPr>
                  <w:r w:rsidRPr="00324315">
                    <w:rPr>
                      <w:sz w:val="16"/>
                      <w:szCs w:val="16"/>
                    </w:rPr>
                    <w:t xml:space="preserve">Avg  Revenue growth </w:t>
                  </w:r>
                </w:p>
              </w:tc>
              <w:tc>
                <w:tcPr>
                  <w:tcW w:w="1129" w:type="dxa"/>
                </w:tcPr>
                <w:p w14:paraId="28890419" w14:textId="442F7697" w:rsidR="00830F06" w:rsidRPr="00324315" w:rsidRDefault="00994DCA" w:rsidP="00830F06">
                  <w:pPr>
                    <w:rPr>
                      <w:sz w:val="16"/>
                      <w:szCs w:val="16"/>
                      <w:lang w:eastAsia="zh-CN"/>
                    </w:rPr>
                  </w:pPr>
                  <w:r>
                    <w:rPr>
                      <w:sz w:val="16"/>
                      <w:szCs w:val="16"/>
                      <w:lang w:eastAsia="zh-CN"/>
                    </w:rPr>
                    <w:t>7%</w:t>
                  </w:r>
                </w:p>
              </w:tc>
              <w:tc>
                <w:tcPr>
                  <w:tcW w:w="1080" w:type="dxa"/>
                </w:tcPr>
                <w:p w14:paraId="2B6EF445" w14:textId="58FE5108" w:rsidR="00830F06" w:rsidRPr="00324315" w:rsidRDefault="00994DCA" w:rsidP="00830F06">
                  <w:pPr>
                    <w:rPr>
                      <w:sz w:val="16"/>
                      <w:szCs w:val="16"/>
                    </w:rPr>
                  </w:pPr>
                  <w:r>
                    <w:rPr>
                      <w:sz w:val="16"/>
                      <w:szCs w:val="16"/>
                    </w:rPr>
                    <w:t>7</w:t>
                  </w:r>
                  <w:r w:rsidR="00FA5BBC" w:rsidRPr="00324315">
                    <w:rPr>
                      <w:sz w:val="16"/>
                      <w:szCs w:val="16"/>
                    </w:rPr>
                    <w:t>%</w:t>
                  </w:r>
                </w:p>
              </w:tc>
            </w:tr>
            <w:tr w:rsidR="0060598F" w:rsidRPr="00324315" w14:paraId="49A71F37" w14:textId="77777777" w:rsidTr="0010720B">
              <w:tc>
                <w:tcPr>
                  <w:tcW w:w="1908" w:type="dxa"/>
                </w:tcPr>
                <w:p w14:paraId="7425D824" w14:textId="77777777" w:rsidR="00830F06" w:rsidRPr="00324315" w:rsidRDefault="00830F06" w:rsidP="00830F06">
                  <w:pPr>
                    <w:rPr>
                      <w:sz w:val="16"/>
                      <w:szCs w:val="16"/>
                    </w:rPr>
                  </w:pPr>
                  <w:r w:rsidRPr="00324315">
                    <w:rPr>
                      <w:sz w:val="16"/>
                      <w:szCs w:val="16"/>
                    </w:rPr>
                    <w:t xml:space="preserve">Avg  EBITDA Margin </w:t>
                  </w:r>
                </w:p>
              </w:tc>
              <w:tc>
                <w:tcPr>
                  <w:tcW w:w="1129" w:type="dxa"/>
                </w:tcPr>
                <w:p w14:paraId="6AE1C97F" w14:textId="18E4BF43" w:rsidR="00830F06" w:rsidRPr="00324315" w:rsidRDefault="00994DCA" w:rsidP="00830F06">
                  <w:pPr>
                    <w:rPr>
                      <w:sz w:val="16"/>
                      <w:szCs w:val="16"/>
                      <w:lang w:eastAsia="zh-CN"/>
                    </w:rPr>
                  </w:pPr>
                  <w:r>
                    <w:rPr>
                      <w:sz w:val="16"/>
                      <w:szCs w:val="16"/>
                      <w:lang w:eastAsia="zh-CN"/>
                    </w:rPr>
                    <w:t>13</w:t>
                  </w:r>
                  <w:r w:rsidR="00BD4639" w:rsidRPr="00324315">
                    <w:rPr>
                      <w:sz w:val="16"/>
                      <w:szCs w:val="16"/>
                      <w:lang w:eastAsia="zh-CN"/>
                    </w:rPr>
                    <w:t>%</w:t>
                  </w:r>
                </w:p>
              </w:tc>
              <w:tc>
                <w:tcPr>
                  <w:tcW w:w="1080" w:type="dxa"/>
                </w:tcPr>
                <w:p w14:paraId="72FC070B" w14:textId="447AD129" w:rsidR="00830F06" w:rsidRPr="00324315" w:rsidRDefault="00994DCA" w:rsidP="00830F06">
                  <w:pPr>
                    <w:rPr>
                      <w:sz w:val="16"/>
                      <w:szCs w:val="16"/>
                    </w:rPr>
                  </w:pPr>
                  <w:r>
                    <w:rPr>
                      <w:sz w:val="16"/>
                      <w:szCs w:val="16"/>
                    </w:rPr>
                    <w:t>14</w:t>
                  </w:r>
                  <w:r w:rsidR="00FA5BBC" w:rsidRPr="00324315">
                    <w:rPr>
                      <w:sz w:val="16"/>
                      <w:szCs w:val="16"/>
                    </w:rPr>
                    <w:t>%</w:t>
                  </w:r>
                </w:p>
              </w:tc>
            </w:tr>
            <w:tr w:rsidR="0060598F" w:rsidRPr="00324315" w14:paraId="5B01660D" w14:textId="77777777" w:rsidTr="0010720B">
              <w:tc>
                <w:tcPr>
                  <w:tcW w:w="1908" w:type="dxa"/>
                </w:tcPr>
                <w:p w14:paraId="2B656250" w14:textId="67D1BE93" w:rsidR="00830F06" w:rsidRPr="00324315" w:rsidRDefault="00830F06" w:rsidP="00E15185">
                  <w:pPr>
                    <w:rPr>
                      <w:sz w:val="16"/>
                      <w:szCs w:val="16"/>
                    </w:rPr>
                  </w:pPr>
                  <w:r w:rsidRPr="00324315">
                    <w:rPr>
                      <w:sz w:val="16"/>
                      <w:szCs w:val="16"/>
                    </w:rPr>
                    <w:t xml:space="preserve">Avg  </w:t>
                  </w:r>
                  <w:r w:rsidR="00E15185">
                    <w:rPr>
                      <w:sz w:val="16"/>
                      <w:szCs w:val="16"/>
                    </w:rPr>
                    <w:t>NOPAT</w:t>
                  </w:r>
                </w:p>
              </w:tc>
              <w:tc>
                <w:tcPr>
                  <w:tcW w:w="1129" w:type="dxa"/>
                </w:tcPr>
                <w:p w14:paraId="6B796F07" w14:textId="230856C3" w:rsidR="00830F06" w:rsidRPr="00324315" w:rsidRDefault="00994DCA" w:rsidP="00830F06">
                  <w:pPr>
                    <w:rPr>
                      <w:sz w:val="16"/>
                      <w:szCs w:val="16"/>
                      <w:lang w:eastAsia="zh-CN"/>
                    </w:rPr>
                  </w:pPr>
                  <w:r>
                    <w:rPr>
                      <w:sz w:val="16"/>
                      <w:szCs w:val="16"/>
                      <w:lang w:eastAsia="zh-CN"/>
                    </w:rPr>
                    <w:t>7</w:t>
                  </w:r>
                  <w:r w:rsidR="00E15185">
                    <w:rPr>
                      <w:sz w:val="16"/>
                      <w:szCs w:val="16"/>
                      <w:lang w:eastAsia="zh-CN"/>
                    </w:rPr>
                    <w:t>%</w:t>
                  </w:r>
                </w:p>
              </w:tc>
              <w:tc>
                <w:tcPr>
                  <w:tcW w:w="1080" w:type="dxa"/>
                </w:tcPr>
                <w:p w14:paraId="2CA542D3" w14:textId="0A2DC002" w:rsidR="00830F06" w:rsidRPr="00324315" w:rsidRDefault="00994DCA" w:rsidP="00830F06">
                  <w:pPr>
                    <w:rPr>
                      <w:sz w:val="16"/>
                      <w:szCs w:val="16"/>
                      <w:highlight w:val="yellow"/>
                    </w:rPr>
                  </w:pPr>
                  <w:r>
                    <w:rPr>
                      <w:sz w:val="16"/>
                      <w:szCs w:val="16"/>
                    </w:rPr>
                    <w:t>8</w:t>
                  </w:r>
                  <w:r w:rsidR="00E15185" w:rsidRPr="00E15185">
                    <w:rPr>
                      <w:sz w:val="16"/>
                      <w:szCs w:val="16"/>
                    </w:rPr>
                    <w:t>%</w:t>
                  </w:r>
                </w:p>
              </w:tc>
            </w:tr>
            <w:tr w:rsidR="0060598F" w:rsidRPr="00324315" w14:paraId="1407D251" w14:textId="77777777" w:rsidTr="0010720B">
              <w:tc>
                <w:tcPr>
                  <w:tcW w:w="1908" w:type="dxa"/>
                </w:tcPr>
                <w:p w14:paraId="5FB4F2E9" w14:textId="099B718E" w:rsidR="00830F06" w:rsidRPr="00324315" w:rsidRDefault="00830F06" w:rsidP="00E15185">
                  <w:pPr>
                    <w:rPr>
                      <w:sz w:val="16"/>
                      <w:szCs w:val="16"/>
                    </w:rPr>
                  </w:pPr>
                  <w:r w:rsidRPr="00324315">
                    <w:rPr>
                      <w:sz w:val="16"/>
                      <w:szCs w:val="16"/>
                    </w:rPr>
                    <w:t xml:space="preserve">Avg  </w:t>
                  </w:r>
                  <w:r w:rsidR="00E15185">
                    <w:rPr>
                      <w:sz w:val="16"/>
                      <w:szCs w:val="16"/>
                    </w:rPr>
                    <w:t>FCF/Margin</w:t>
                  </w:r>
                  <w:r w:rsidRPr="00324315">
                    <w:rPr>
                      <w:sz w:val="16"/>
                      <w:szCs w:val="16"/>
                    </w:rPr>
                    <w:t xml:space="preserve"> </w:t>
                  </w:r>
                </w:p>
              </w:tc>
              <w:tc>
                <w:tcPr>
                  <w:tcW w:w="1129" w:type="dxa"/>
                </w:tcPr>
                <w:p w14:paraId="3BD7CDF4" w14:textId="62C6CD8F" w:rsidR="00830F06" w:rsidRPr="00324315" w:rsidRDefault="00994DCA" w:rsidP="00830F06">
                  <w:pPr>
                    <w:rPr>
                      <w:sz w:val="16"/>
                      <w:szCs w:val="16"/>
                      <w:lang w:eastAsia="zh-CN"/>
                    </w:rPr>
                  </w:pPr>
                  <w:r>
                    <w:rPr>
                      <w:sz w:val="16"/>
                      <w:szCs w:val="16"/>
                      <w:lang w:eastAsia="zh-CN"/>
                    </w:rPr>
                    <w:t>7</w:t>
                  </w:r>
                  <w:r w:rsidR="00E15185">
                    <w:rPr>
                      <w:sz w:val="16"/>
                      <w:szCs w:val="16"/>
                      <w:lang w:eastAsia="zh-CN"/>
                    </w:rPr>
                    <w:t>%</w:t>
                  </w:r>
                </w:p>
              </w:tc>
              <w:tc>
                <w:tcPr>
                  <w:tcW w:w="1080" w:type="dxa"/>
                </w:tcPr>
                <w:p w14:paraId="6104E666" w14:textId="46F7187E" w:rsidR="00830F06" w:rsidRPr="00324315" w:rsidRDefault="00994DCA" w:rsidP="00830F06">
                  <w:pPr>
                    <w:rPr>
                      <w:sz w:val="16"/>
                      <w:szCs w:val="16"/>
                      <w:highlight w:val="yellow"/>
                      <w:lang w:eastAsia="zh-CN"/>
                    </w:rPr>
                  </w:pPr>
                  <w:r>
                    <w:rPr>
                      <w:sz w:val="16"/>
                      <w:szCs w:val="16"/>
                      <w:lang w:eastAsia="zh-CN"/>
                    </w:rPr>
                    <w:t>7</w:t>
                  </w:r>
                  <w:r w:rsidR="00E15185" w:rsidRPr="00E15185">
                    <w:rPr>
                      <w:sz w:val="16"/>
                      <w:szCs w:val="16"/>
                      <w:lang w:eastAsia="zh-CN"/>
                    </w:rPr>
                    <w:t>%</w:t>
                  </w:r>
                </w:p>
              </w:tc>
            </w:tr>
            <w:tr w:rsidR="00E15185" w:rsidRPr="00324315" w14:paraId="261F133B" w14:textId="77777777" w:rsidTr="001D714C">
              <w:tc>
                <w:tcPr>
                  <w:tcW w:w="1908" w:type="dxa"/>
                </w:tcPr>
                <w:p w14:paraId="0B1C1930" w14:textId="187B617A" w:rsidR="00E15185" w:rsidRPr="00324315" w:rsidRDefault="00E15185" w:rsidP="00830F06">
                  <w:pPr>
                    <w:rPr>
                      <w:sz w:val="16"/>
                      <w:szCs w:val="16"/>
                    </w:rPr>
                  </w:pPr>
                  <w:r w:rsidRPr="00324315">
                    <w:rPr>
                      <w:sz w:val="16"/>
                      <w:szCs w:val="16"/>
                    </w:rPr>
                    <w:t>Cost of Debt</w:t>
                  </w:r>
                </w:p>
              </w:tc>
              <w:tc>
                <w:tcPr>
                  <w:tcW w:w="2209" w:type="dxa"/>
                  <w:gridSpan w:val="2"/>
                </w:tcPr>
                <w:p w14:paraId="04395283" w14:textId="3907559F" w:rsidR="00E15185" w:rsidRPr="00324315" w:rsidRDefault="00994DCA" w:rsidP="00E15185">
                  <w:pPr>
                    <w:jc w:val="center"/>
                    <w:rPr>
                      <w:sz w:val="16"/>
                      <w:szCs w:val="16"/>
                      <w:highlight w:val="yellow"/>
                      <w:lang w:eastAsia="zh-CN"/>
                    </w:rPr>
                  </w:pPr>
                  <w:r>
                    <w:rPr>
                      <w:sz w:val="16"/>
                      <w:szCs w:val="16"/>
                      <w:lang w:eastAsia="zh-CN"/>
                    </w:rPr>
                    <w:t>1.4</w:t>
                  </w:r>
                  <w:r w:rsidR="00E15185">
                    <w:rPr>
                      <w:sz w:val="16"/>
                      <w:szCs w:val="16"/>
                      <w:lang w:eastAsia="zh-CN"/>
                    </w:rPr>
                    <w:t>%</w:t>
                  </w:r>
                </w:p>
              </w:tc>
            </w:tr>
            <w:tr w:rsidR="00E15185" w:rsidRPr="00324315" w14:paraId="42F79EE5" w14:textId="77777777" w:rsidTr="0010720B">
              <w:tc>
                <w:tcPr>
                  <w:tcW w:w="3037" w:type="dxa"/>
                  <w:gridSpan w:val="2"/>
                </w:tcPr>
                <w:p w14:paraId="11317549" w14:textId="26CBB200" w:rsidR="00E15185" w:rsidRPr="00324315" w:rsidRDefault="00E15185" w:rsidP="00830F06">
                  <w:pPr>
                    <w:rPr>
                      <w:sz w:val="16"/>
                      <w:szCs w:val="16"/>
                    </w:rPr>
                  </w:pPr>
                  <w:r w:rsidRPr="00324315">
                    <w:rPr>
                      <w:sz w:val="16"/>
                      <w:szCs w:val="16"/>
                    </w:rPr>
                    <w:t>Tax Rate</w:t>
                  </w:r>
                </w:p>
              </w:tc>
              <w:tc>
                <w:tcPr>
                  <w:tcW w:w="1080" w:type="dxa"/>
                </w:tcPr>
                <w:p w14:paraId="316D237F" w14:textId="0268957D" w:rsidR="00E15185" w:rsidRPr="00324315" w:rsidRDefault="00994DCA" w:rsidP="00830F06">
                  <w:pPr>
                    <w:rPr>
                      <w:sz w:val="16"/>
                      <w:szCs w:val="16"/>
                      <w:lang w:eastAsia="zh-CN"/>
                    </w:rPr>
                  </w:pPr>
                  <w:r>
                    <w:rPr>
                      <w:sz w:val="16"/>
                      <w:szCs w:val="16"/>
                    </w:rPr>
                    <w:t>38</w:t>
                  </w:r>
                  <w:r w:rsidR="00E15185" w:rsidRPr="00324315">
                    <w:rPr>
                      <w:sz w:val="16"/>
                      <w:szCs w:val="16"/>
                    </w:rPr>
                    <w:t>%</w:t>
                  </w:r>
                </w:p>
              </w:tc>
            </w:tr>
            <w:tr w:rsidR="00E15185" w:rsidRPr="00324315" w14:paraId="67214880" w14:textId="77777777" w:rsidTr="0010720B">
              <w:tc>
                <w:tcPr>
                  <w:tcW w:w="3037" w:type="dxa"/>
                  <w:gridSpan w:val="2"/>
                </w:tcPr>
                <w:p w14:paraId="30979647" w14:textId="091A90DE" w:rsidR="00E15185" w:rsidRPr="00324315" w:rsidRDefault="00E15185" w:rsidP="00830F06">
                  <w:pPr>
                    <w:rPr>
                      <w:sz w:val="16"/>
                      <w:szCs w:val="16"/>
                    </w:rPr>
                  </w:pPr>
                  <w:r w:rsidRPr="00324315">
                    <w:rPr>
                      <w:sz w:val="16"/>
                      <w:szCs w:val="16"/>
                    </w:rPr>
                    <w:t xml:space="preserve">Cost of Equity </w:t>
                  </w:r>
                </w:p>
              </w:tc>
              <w:tc>
                <w:tcPr>
                  <w:tcW w:w="1080" w:type="dxa"/>
                </w:tcPr>
                <w:p w14:paraId="426CE887" w14:textId="6203AC0E" w:rsidR="00E15185" w:rsidRPr="00324315" w:rsidRDefault="00994DCA" w:rsidP="00830F06">
                  <w:pPr>
                    <w:rPr>
                      <w:sz w:val="16"/>
                      <w:szCs w:val="16"/>
                    </w:rPr>
                  </w:pPr>
                  <w:r>
                    <w:rPr>
                      <w:sz w:val="16"/>
                      <w:szCs w:val="16"/>
                      <w:lang w:eastAsia="zh-CN"/>
                    </w:rPr>
                    <w:t>8.4</w:t>
                  </w:r>
                  <w:r w:rsidR="00E15185" w:rsidRPr="00324315">
                    <w:rPr>
                      <w:sz w:val="16"/>
                      <w:szCs w:val="16"/>
                      <w:lang w:eastAsia="zh-CN"/>
                    </w:rPr>
                    <w:t>%</w:t>
                  </w:r>
                </w:p>
              </w:tc>
            </w:tr>
            <w:tr w:rsidR="00E15185" w:rsidRPr="00324315" w14:paraId="0F9564DE" w14:textId="77777777" w:rsidTr="0010720B">
              <w:tc>
                <w:tcPr>
                  <w:tcW w:w="3037" w:type="dxa"/>
                  <w:gridSpan w:val="2"/>
                </w:tcPr>
                <w:p w14:paraId="02E73EF4" w14:textId="5842DA8D" w:rsidR="00E15185" w:rsidRPr="00324315" w:rsidRDefault="00E15185" w:rsidP="00830F06">
                  <w:pPr>
                    <w:rPr>
                      <w:sz w:val="16"/>
                      <w:szCs w:val="16"/>
                    </w:rPr>
                  </w:pPr>
                  <w:r w:rsidRPr="00324315">
                    <w:rPr>
                      <w:sz w:val="16"/>
                      <w:szCs w:val="16"/>
                    </w:rPr>
                    <w:t>WACC</w:t>
                  </w:r>
                </w:p>
              </w:tc>
              <w:tc>
                <w:tcPr>
                  <w:tcW w:w="1080" w:type="dxa"/>
                </w:tcPr>
                <w:p w14:paraId="7C66D20E" w14:textId="62273987" w:rsidR="00E15185" w:rsidRPr="00324315" w:rsidRDefault="00994DCA" w:rsidP="00830F06">
                  <w:pPr>
                    <w:rPr>
                      <w:sz w:val="16"/>
                      <w:szCs w:val="16"/>
                      <w:lang w:eastAsia="zh-CN"/>
                    </w:rPr>
                  </w:pPr>
                  <w:r>
                    <w:rPr>
                      <w:sz w:val="16"/>
                      <w:szCs w:val="16"/>
                    </w:rPr>
                    <w:t>8.2</w:t>
                  </w:r>
                  <w:r w:rsidR="00E15185" w:rsidRPr="00324315">
                    <w:rPr>
                      <w:sz w:val="16"/>
                      <w:szCs w:val="16"/>
                    </w:rPr>
                    <w:t>%</w:t>
                  </w:r>
                </w:p>
              </w:tc>
            </w:tr>
            <w:tr w:rsidR="00E15185" w:rsidRPr="00324315" w14:paraId="19A1F6C8" w14:textId="77777777" w:rsidTr="0010720B">
              <w:tc>
                <w:tcPr>
                  <w:tcW w:w="3037" w:type="dxa"/>
                  <w:gridSpan w:val="2"/>
                </w:tcPr>
                <w:p w14:paraId="714B53EA" w14:textId="0692D0C0" w:rsidR="00E15185" w:rsidRPr="00324315" w:rsidRDefault="00E15185" w:rsidP="00830F06">
                  <w:pPr>
                    <w:rPr>
                      <w:sz w:val="16"/>
                      <w:szCs w:val="16"/>
                    </w:rPr>
                  </w:pPr>
                  <w:r w:rsidRPr="00324315">
                    <w:rPr>
                      <w:sz w:val="16"/>
                      <w:szCs w:val="16"/>
                    </w:rPr>
                    <w:t>Perpetuity Growth Rate (Terminal)</w:t>
                  </w:r>
                </w:p>
              </w:tc>
              <w:tc>
                <w:tcPr>
                  <w:tcW w:w="1080" w:type="dxa"/>
                </w:tcPr>
                <w:p w14:paraId="71DF2BD8" w14:textId="61EF5B35" w:rsidR="00E15185" w:rsidRPr="00324315" w:rsidRDefault="00E15185" w:rsidP="00830F06">
                  <w:pPr>
                    <w:rPr>
                      <w:sz w:val="16"/>
                      <w:szCs w:val="16"/>
                    </w:rPr>
                  </w:pPr>
                  <w:r>
                    <w:rPr>
                      <w:sz w:val="16"/>
                      <w:szCs w:val="16"/>
                      <w:lang w:eastAsia="zh-CN"/>
                    </w:rPr>
                    <w:t>2.5</w:t>
                  </w:r>
                  <w:r w:rsidRPr="00324315">
                    <w:rPr>
                      <w:sz w:val="16"/>
                      <w:szCs w:val="16"/>
                    </w:rPr>
                    <w:t>%</w:t>
                  </w:r>
                </w:p>
              </w:tc>
            </w:tr>
          </w:tbl>
          <w:p w14:paraId="036F335D" w14:textId="77777777" w:rsidR="00994DCA" w:rsidRDefault="00994DCA" w:rsidP="009F0D12">
            <w:pPr>
              <w:jc w:val="both"/>
              <w:rPr>
                <w:sz w:val="16"/>
                <w:szCs w:val="16"/>
              </w:rPr>
            </w:pPr>
          </w:p>
          <w:p w14:paraId="4363BD08" w14:textId="77777777" w:rsidR="009F0D12" w:rsidRPr="00324315" w:rsidRDefault="009F0D12" w:rsidP="009F0D12">
            <w:pPr>
              <w:jc w:val="both"/>
              <w:rPr>
                <w:sz w:val="16"/>
                <w:szCs w:val="16"/>
              </w:rPr>
            </w:pPr>
            <w:r w:rsidRPr="00324315">
              <w:rPr>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rsidRPr="00324315" w14:paraId="2502AA66" w14:textId="77777777" w:rsidTr="0010720B">
              <w:tc>
                <w:tcPr>
                  <w:tcW w:w="1363" w:type="dxa"/>
                  <w:shd w:val="clear" w:color="auto" w:fill="DBE5F1" w:themeFill="accent1" w:themeFillTint="33"/>
                </w:tcPr>
                <w:p w14:paraId="6457A1D0" w14:textId="505D969E" w:rsidR="009F0D12" w:rsidRPr="00324315" w:rsidRDefault="009F0D12" w:rsidP="009F0D12">
                  <w:pPr>
                    <w:jc w:val="both"/>
                    <w:rPr>
                      <w:sz w:val="16"/>
                      <w:szCs w:val="16"/>
                    </w:rPr>
                  </w:pPr>
                  <w:r w:rsidRPr="00324315">
                    <w:rPr>
                      <w:sz w:val="16"/>
                      <w:szCs w:val="16"/>
                    </w:rPr>
                    <w:t xml:space="preserve">Buy: </w:t>
                  </w:r>
                  <w:r w:rsidR="00994DCA">
                    <w:rPr>
                      <w:sz w:val="16"/>
                      <w:szCs w:val="16"/>
                    </w:rPr>
                    <w:t>22</w:t>
                  </w:r>
                </w:p>
              </w:tc>
              <w:tc>
                <w:tcPr>
                  <w:tcW w:w="1363" w:type="dxa"/>
                  <w:shd w:val="clear" w:color="auto" w:fill="DBE5F1" w:themeFill="accent1" w:themeFillTint="33"/>
                </w:tcPr>
                <w:p w14:paraId="10E79476" w14:textId="00B74EA7" w:rsidR="009F0D12" w:rsidRPr="00324315" w:rsidRDefault="009F0D12" w:rsidP="009F0D12">
                  <w:pPr>
                    <w:jc w:val="both"/>
                    <w:rPr>
                      <w:sz w:val="16"/>
                      <w:szCs w:val="16"/>
                    </w:rPr>
                  </w:pPr>
                  <w:r w:rsidRPr="00324315">
                    <w:rPr>
                      <w:sz w:val="16"/>
                      <w:szCs w:val="16"/>
                    </w:rPr>
                    <w:t xml:space="preserve">Hold: </w:t>
                  </w:r>
                  <w:r w:rsidR="00994DCA">
                    <w:rPr>
                      <w:sz w:val="16"/>
                      <w:szCs w:val="16"/>
                    </w:rPr>
                    <w:t>9</w:t>
                  </w:r>
                </w:p>
              </w:tc>
              <w:tc>
                <w:tcPr>
                  <w:tcW w:w="1363" w:type="dxa"/>
                  <w:shd w:val="clear" w:color="auto" w:fill="DBE5F1" w:themeFill="accent1" w:themeFillTint="33"/>
                </w:tcPr>
                <w:p w14:paraId="1F373BED" w14:textId="365EECE5" w:rsidR="009F0D12" w:rsidRPr="00324315" w:rsidRDefault="009F0D12" w:rsidP="009F0D12">
                  <w:pPr>
                    <w:jc w:val="both"/>
                    <w:rPr>
                      <w:sz w:val="16"/>
                      <w:szCs w:val="16"/>
                    </w:rPr>
                  </w:pPr>
                  <w:r w:rsidRPr="00324315">
                    <w:rPr>
                      <w:sz w:val="16"/>
                      <w:szCs w:val="16"/>
                    </w:rPr>
                    <w:t xml:space="preserve">Sell: </w:t>
                  </w:r>
                  <w:r w:rsidR="00E15185">
                    <w:rPr>
                      <w:sz w:val="16"/>
                      <w:szCs w:val="16"/>
                    </w:rPr>
                    <w:t>0</w:t>
                  </w:r>
                </w:p>
              </w:tc>
            </w:tr>
          </w:tbl>
          <w:p w14:paraId="724FC07A" w14:textId="77777777" w:rsidR="009F0D12" w:rsidRPr="00324315" w:rsidRDefault="009F0D12" w:rsidP="009F0D12">
            <w:pPr>
              <w:jc w:val="both"/>
              <w:rPr>
                <w:sz w:val="16"/>
                <w:szCs w:val="16"/>
              </w:rPr>
            </w:pPr>
          </w:p>
          <w:tbl>
            <w:tblPr>
              <w:tblStyle w:val="TableGrid"/>
              <w:tblW w:w="4117" w:type="dxa"/>
              <w:tblLook w:val="04A0" w:firstRow="1" w:lastRow="0" w:firstColumn="1" w:lastColumn="0" w:noHBand="0" w:noVBand="1"/>
            </w:tblPr>
            <w:tblGrid>
              <w:gridCol w:w="1721"/>
              <w:gridCol w:w="1048"/>
              <w:gridCol w:w="1348"/>
            </w:tblGrid>
            <w:tr w:rsidR="009F0D12" w:rsidRPr="00324315" w14:paraId="0A705346" w14:textId="77777777" w:rsidTr="00D363A8">
              <w:tc>
                <w:tcPr>
                  <w:tcW w:w="1800" w:type="dxa"/>
                  <w:shd w:val="clear" w:color="auto" w:fill="DBE5F1" w:themeFill="accent1" w:themeFillTint="33"/>
                </w:tcPr>
                <w:p w14:paraId="7897F5B6" w14:textId="77777777" w:rsidR="009F0D12" w:rsidRPr="00324315" w:rsidRDefault="009F0D12" w:rsidP="009F0D12">
                  <w:pPr>
                    <w:jc w:val="both"/>
                    <w:rPr>
                      <w:sz w:val="16"/>
                      <w:szCs w:val="16"/>
                    </w:rPr>
                  </w:pPr>
                </w:p>
              </w:tc>
              <w:tc>
                <w:tcPr>
                  <w:tcW w:w="900" w:type="dxa"/>
                  <w:shd w:val="clear" w:color="auto" w:fill="DBE5F1" w:themeFill="accent1" w:themeFillTint="33"/>
                </w:tcPr>
                <w:p w14:paraId="78BA4ECF" w14:textId="77777777" w:rsidR="009F0D12" w:rsidRPr="00324315" w:rsidRDefault="009F0D12" w:rsidP="009F0D12">
                  <w:pPr>
                    <w:jc w:val="both"/>
                    <w:rPr>
                      <w:sz w:val="16"/>
                      <w:szCs w:val="16"/>
                    </w:rPr>
                  </w:pPr>
                  <w:r w:rsidRPr="00324315">
                    <w:rPr>
                      <w:sz w:val="16"/>
                      <w:szCs w:val="16"/>
                    </w:rPr>
                    <w:t xml:space="preserve">Rating </w:t>
                  </w:r>
                </w:p>
              </w:tc>
              <w:tc>
                <w:tcPr>
                  <w:tcW w:w="1417" w:type="dxa"/>
                  <w:shd w:val="clear" w:color="auto" w:fill="DBE5F1" w:themeFill="accent1" w:themeFillTint="33"/>
                </w:tcPr>
                <w:p w14:paraId="1E6E599B" w14:textId="77777777" w:rsidR="009F0D12" w:rsidRPr="00324315" w:rsidRDefault="009F0D12" w:rsidP="009F0D12">
                  <w:pPr>
                    <w:jc w:val="both"/>
                    <w:rPr>
                      <w:sz w:val="16"/>
                      <w:szCs w:val="16"/>
                    </w:rPr>
                  </w:pPr>
                  <w:r w:rsidRPr="00324315">
                    <w:rPr>
                      <w:sz w:val="16"/>
                      <w:szCs w:val="16"/>
                    </w:rPr>
                    <w:t xml:space="preserve">Target </w:t>
                  </w:r>
                </w:p>
              </w:tc>
            </w:tr>
            <w:tr w:rsidR="009F0D12" w:rsidRPr="00324315" w14:paraId="18B2C8FA" w14:textId="77777777" w:rsidTr="00D363A8">
              <w:tc>
                <w:tcPr>
                  <w:tcW w:w="1800" w:type="dxa"/>
                </w:tcPr>
                <w:p w14:paraId="12374E3E" w14:textId="77777777" w:rsidR="009F0D12" w:rsidRPr="00324315" w:rsidRDefault="009F0D12" w:rsidP="009F0D12">
                  <w:pPr>
                    <w:jc w:val="both"/>
                    <w:rPr>
                      <w:sz w:val="16"/>
                      <w:szCs w:val="16"/>
                    </w:rPr>
                  </w:pPr>
                  <w:r w:rsidRPr="00324315">
                    <w:rPr>
                      <w:sz w:val="16"/>
                      <w:szCs w:val="16"/>
                    </w:rPr>
                    <w:t xml:space="preserve">S&amp;P Net Advantage </w:t>
                  </w:r>
                </w:p>
              </w:tc>
              <w:tc>
                <w:tcPr>
                  <w:tcW w:w="900" w:type="dxa"/>
                </w:tcPr>
                <w:p w14:paraId="6EC161A2" w14:textId="275293B6" w:rsidR="009F0D12" w:rsidRPr="00324315" w:rsidRDefault="00994DCA" w:rsidP="009F0D12">
                  <w:pPr>
                    <w:jc w:val="both"/>
                    <w:rPr>
                      <w:sz w:val="16"/>
                      <w:szCs w:val="16"/>
                    </w:rPr>
                  </w:pPr>
                  <w:r>
                    <w:rPr>
                      <w:sz w:val="16"/>
                      <w:szCs w:val="16"/>
                    </w:rPr>
                    <w:t>5</w:t>
                  </w:r>
                  <w:r w:rsidR="00216841" w:rsidRPr="00324315">
                    <w:rPr>
                      <w:sz w:val="16"/>
                      <w:szCs w:val="16"/>
                    </w:rPr>
                    <w:t xml:space="preserve"> Star</w:t>
                  </w:r>
                </w:p>
              </w:tc>
              <w:tc>
                <w:tcPr>
                  <w:tcW w:w="1417" w:type="dxa"/>
                </w:tcPr>
                <w:p w14:paraId="0BCB7E23" w14:textId="5F4EF64D" w:rsidR="009F0D12" w:rsidRPr="00324315" w:rsidRDefault="00994DCA" w:rsidP="009F0D12">
                  <w:pPr>
                    <w:jc w:val="both"/>
                    <w:rPr>
                      <w:sz w:val="16"/>
                      <w:szCs w:val="16"/>
                    </w:rPr>
                  </w:pPr>
                  <w:r>
                    <w:rPr>
                      <w:sz w:val="16"/>
                      <w:szCs w:val="16"/>
                    </w:rPr>
                    <w:t>$80</w:t>
                  </w:r>
                </w:p>
              </w:tc>
            </w:tr>
            <w:tr w:rsidR="009F0D12" w:rsidRPr="00324315" w14:paraId="35B4D85C" w14:textId="77777777" w:rsidTr="00D363A8">
              <w:trPr>
                <w:trHeight w:val="215"/>
              </w:trPr>
              <w:tc>
                <w:tcPr>
                  <w:tcW w:w="1800" w:type="dxa"/>
                </w:tcPr>
                <w:p w14:paraId="1DD4E482" w14:textId="4558A51F" w:rsidR="009F0D12" w:rsidRPr="00324315" w:rsidRDefault="0029559F" w:rsidP="009F0D12">
                  <w:pPr>
                    <w:jc w:val="both"/>
                    <w:rPr>
                      <w:sz w:val="16"/>
                      <w:szCs w:val="16"/>
                    </w:rPr>
                  </w:pPr>
                  <w:r w:rsidRPr="00324315">
                    <w:rPr>
                      <w:sz w:val="16"/>
                      <w:szCs w:val="16"/>
                    </w:rPr>
                    <w:t>Morning Star</w:t>
                  </w:r>
                </w:p>
              </w:tc>
              <w:tc>
                <w:tcPr>
                  <w:tcW w:w="900" w:type="dxa"/>
                </w:tcPr>
                <w:p w14:paraId="0B4EFFDC" w14:textId="6D0D17DF" w:rsidR="009F0D12" w:rsidRPr="00324315" w:rsidRDefault="009F0D12" w:rsidP="009F0D12">
                  <w:pPr>
                    <w:jc w:val="both"/>
                    <w:rPr>
                      <w:sz w:val="16"/>
                      <w:szCs w:val="16"/>
                    </w:rPr>
                  </w:pPr>
                </w:p>
              </w:tc>
              <w:tc>
                <w:tcPr>
                  <w:tcW w:w="1417" w:type="dxa"/>
                </w:tcPr>
                <w:p w14:paraId="70BA49F9" w14:textId="2A59AF10" w:rsidR="009F0D12" w:rsidRPr="00324315" w:rsidRDefault="009F0D12" w:rsidP="009F0D12">
                  <w:pPr>
                    <w:jc w:val="both"/>
                    <w:rPr>
                      <w:sz w:val="16"/>
                      <w:szCs w:val="16"/>
                      <w:lang w:eastAsia="zh-CN"/>
                    </w:rPr>
                  </w:pPr>
                </w:p>
              </w:tc>
            </w:tr>
            <w:tr w:rsidR="009F0D12" w:rsidRPr="00324315" w14:paraId="0BBF9B66" w14:textId="77777777" w:rsidTr="00D363A8">
              <w:trPr>
                <w:trHeight w:val="215"/>
              </w:trPr>
              <w:tc>
                <w:tcPr>
                  <w:tcW w:w="1800" w:type="dxa"/>
                </w:tcPr>
                <w:p w14:paraId="0E7E15E7" w14:textId="50B93F2B" w:rsidR="009F0D12" w:rsidRPr="00324315" w:rsidRDefault="009F0D12" w:rsidP="009F0D12">
                  <w:pPr>
                    <w:jc w:val="both"/>
                    <w:rPr>
                      <w:sz w:val="16"/>
                      <w:szCs w:val="16"/>
                    </w:rPr>
                  </w:pPr>
                  <w:r w:rsidRPr="00324315">
                    <w:rPr>
                      <w:sz w:val="16"/>
                      <w:szCs w:val="16"/>
                    </w:rPr>
                    <w:t xml:space="preserve">Value Line </w:t>
                  </w:r>
                </w:p>
              </w:tc>
              <w:tc>
                <w:tcPr>
                  <w:tcW w:w="900" w:type="dxa"/>
                </w:tcPr>
                <w:p w14:paraId="161AF23F" w14:textId="66B49E83" w:rsidR="009F0D12" w:rsidRPr="00324315" w:rsidRDefault="007D12F0" w:rsidP="009F0D12">
                  <w:pPr>
                    <w:jc w:val="both"/>
                    <w:rPr>
                      <w:sz w:val="16"/>
                      <w:szCs w:val="16"/>
                    </w:rPr>
                  </w:pPr>
                  <w:r w:rsidRPr="00324315">
                    <w:rPr>
                      <w:sz w:val="16"/>
                      <w:szCs w:val="16"/>
                    </w:rPr>
                    <w:t>Timeliness</w:t>
                  </w:r>
                  <w:r w:rsidR="001D3CAE" w:rsidRPr="00324315">
                    <w:rPr>
                      <w:sz w:val="16"/>
                      <w:szCs w:val="16"/>
                    </w:rPr>
                    <w:t>2</w:t>
                  </w:r>
                </w:p>
              </w:tc>
              <w:tc>
                <w:tcPr>
                  <w:tcW w:w="1417" w:type="dxa"/>
                </w:tcPr>
                <w:p w14:paraId="22CC1EA0" w14:textId="3F64F70F" w:rsidR="009F0D12" w:rsidRPr="00324315" w:rsidRDefault="00994DCA" w:rsidP="009F0D12">
                  <w:pPr>
                    <w:jc w:val="both"/>
                    <w:rPr>
                      <w:sz w:val="16"/>
                      <w:szCs w:val="16"/>
                    </w:rPr>
                  </w:pPr>
                  <w:r>
                    <w:rPr>
                      <w:sz w:val="16"/>
                      <w:szCs w:val="16"/>
                    </w:rPr>
                    <w:t>$85-100</w:t>
                  </w:r>
                </w:p>
              </w:tc>
            </w:tr>
          </w:tbl>
          <w:p w14:paraId="577D83D9" w14:textId="77777777" w:rsidR="002D3CFC" w:rsidRPr="00324315" w:rsidRDefault="002D3CFC" w:rsidP="00443ED9">
            <w:pPr>
              <w:jc w:val="both"/>
              <w:rPr>
                <w:sz w:val="16"/>
                <w:szCs w:val="16"/>
              </w:rPr>
            </w:pPr>
          </w:p>
        </w:tc>
      </w:tr>
    </w:tbl>
    <w:p w14:paraId="2B589A9D" w14:textId="77777777" w:rsidR="00830F06" w:rsidRPr="00324315"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73"/>
        <w:gridCol w:w="4392"/>
      </w:tblGrid>
      <w:tr w:rsidR="004F2EAA" w:rsidRPr="00324315" w14:paraId="660DEC2C" w14:textId="77777777" w:rsidTr="00034A52">
        <w:tc>
          <w:tcPr>
            <w:tcW w:w="7488" w:type="dxa"/>
            <w:shd w:val="clear" w:color="auto" w:fill="365F91" w:themeFill="accent1" w:themeFillShade="BF"/>
          </w:tcPr>
          <w:p w14:paraId="1BAF6900" w14:textId="27A2E398" w:rsidR="004F2EAA" w:rsidRPr="00324315" w:rsidRDefault="004F2EAA" w:rsidP="004F2EAA">
            <w:pPr>
              <w:rPr>
                <w:b/>
                <w:color w:val="FFFFFF" w:themeColor="background1"/>
                <w:sz w:val="16"/>
                <w:szCs w:val="16"/>
              </w:rPr>
            </w:pPr>
            <w:r w:rsidRPr="00324315">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324315" w:rsidRDefault="000E0407" w:rsidP="0010720B">
            <w:pPr>
              <w:jc w:val="both"/>
              <w:rPr>
                <w:b/>
                <w:color w:val="FFFFFF" w:themeColor="background1"/>
                <w:sz w:val="16"/>
                <w:szCs w:val="16"/>
              </w:rPr>
            </w:pPr>
            <w:r w:rsidRPr="00324315">
              <w:rPr>
                <w:b/>
                <w:color w:val="FFFFFF" w:themeColor="background1"/>
                <w:sz w:val="16"/>
                <w:szCs w:val="16"/>
              </w:rPr>
              <w:t>Total Return</w:t>
            </w:r>
          </w:p>
        </w:tc>
      </w:tr>
      <w:tr w:rsidR="004F2EAA" w:rsidRPr="00324315" w14:paraId="2AA141CB" w14:textId="77777777" w:rsidTr="00DF0D9C">
        <w:trPr>
          <w:trHeight w:val="2591"/>
        </w:trPr>
        <w:tc>
          <w:tcPr>
            <w:tcW w:w="7488" w:type="dxa"/>
          </w:tcPr>
          <w:p w14:paraId="3F2A33BE" w14:textId="77777777" w:rsidR="004F2EAA" w:rsidRPr="00324315" w:rsidRDefault="004F2EAA" w:rsidP="0010720B">
            <w:pPr>
              <w:jc w:val="both"/>
              <w:rPr>
                <w:b/>
                <w:sz w:val="16"/>
                <w:szCs w:val="16"/>
              </w:rPr>
            </w:pPr>
          </w:p>
          <w:tbl>
            <w:tblPr>
              <w:tblStyle w:val="TableGrid"/>
              <w:tblW w:w="7247" w:type="dxa"/>
              <w:tblLook w:val="04A0" w:firstRow="1" w:lastRow="0" w:firstColumn="1" w:lastColumn="0" w:noHBand="0" w:noVBand="1"/>
            </w:tblPr>
            <w:tblGrid>
              <w:gridCol w:w="1521"/>
              <w:gridCol w:w="1048"/>
              <w:gridCol w:w="1134"/>
              <w:gridCol w:w="1134"/>
              <w:gridCol w:w="1178"/>
              <w:gridCol w:w="1232"/>
            </w:tblGrid>
            <w:tr w:rsidR="008C5D56" w:rsidRPr="00324315" w14:paraId="03A7F5D8" w14:textId="77777777" w:rsidTr="00E21663">
              <w:tc>
                <w:tcPr>
                  <w:tcW w:w="1521" w:type="dxa"/>
                  <w:shd w:val="clear" w:color="auto" w:fill="DBE5F1" w:themeFill="accent1" w:themeFillTint="33"/>
                </w:tcPr>
                <w:p w14:paraId="18F981FE" w14:textId="10E6355F" w:rsidR="008C5D56" w:rsidRPr="00324315" w:rsidRDefault="004D0C8F" w:rsidP="008C5D56">
                  <w:pPr>
                    <w:rPr>
                      <w:sz w:val="16"/>
                      <w:szCs w:val="16"/>
                    </w:rPr>
                  </w:pPr>
                  <w:r>
                    <w:rPr>
                      <w:sz w:val="16"/>
                      <w:szCs w:val="16"/>
                    </w:rPr>
                    <w:t>FY2015</w:t>
                  </w:r>
                </w:p>
              </w:tc>
              <w:tc>
                <w:tcPr>
                  <w:tcW w:w="1048" w:type="dxa"/>
                  <w:shd w:val="clear" w:color="auto" w:fill="DBE5F1" w:themeFill="accent1" w:themeFillTint="33"/>
                  <w:vAlign w:val="bottom"/>
                </w:tcPr>
                <w:p w14:paraId="36FCBD39" w14:textId="5E34690A" w:rsidR="008C5D56" w:rsidRPr="00324315" w:rsidRDefault="004D0C8F" w:rsidP="008C5D56">
                  <w:pPr>
                    <w:jc w:val="center"/>
                    <w:rPr>
                      <w:sz w:val="16"/>
                      <w:szCs w:val="16"/>
                    </w:rPr>
                  </w:pPr>
                  <w:r>
                    <w:rPr>
                      <w:rFonts w:cs="Arial"/>
                      <w:sz w:val="16"/>
                      <w:szCs w:val="16"/>
                    </w:rPr>
                    <w:t>ROSS strores</w:t>
                  </w:r>
                </w:p>
              </w:tc>
              <w:tc>
                <w:tcPr>
                  <w:tcW w:w="1134" w:type="dxa"/>
                  <w:shd w:val="clear" w:color="auto" w:fill="DBE5F1" w:themeFill="accent1" w:themeFillTint="33"/>
                  <w:vAlign w:val="bottom"/>
                </w:tcPr>
                <w:p w14:paraId="18F40648" w14:textId="599CF1B8" w:rsidR="008C5D56" w:rsidRPr="00324315" w:rsidRDefault="004D0C8F" w:rsidP="008C5D56">
                  <w:pPr>
                    <w:jc w:val="center"/>
                    <w:rPr>
                      <w:sz w:val="16"/>
                      <w:szCs w:val="16"/>
                    </w:rPr>
                  </w:pPr>
                  <w:r>
                    <w:rPr>
                      <w:rFonts w:cs="Arial"/>
                      <w:sz w:val="16"/>
                      <w:szCs w:val="16"/>
                    </w:rPr>
                    <w:t>Burlington Stores</w:t>
                  </w:r>
                </w:p>
              </w:tc>
              <w:tc>
                <w:tcPr>
                  <w:tcW w:w="1134" w:type="dxa"/>
                  <w:shd w:val="clear" w:color="auto" w:fill="DBE5F1" w:themeFill="accent1" w:themeFillTint="33"/>
                  <w:vAlign w:val="bottom"/>
                </w:tcPr>
                <w:p w14:paraId="64A1B213" w14:textId="6A9A4750" w:rsidR="008C5D56" w:rsidRPr="00324315" w:rsidRDefault="004D0C8F" w:rsidP="008C5D56">
                  <w:pPr>
                    <w:jc w:val="center"/>
                    <w:rPr>
                      <w:sz w:val="16"/>
                      <w:szCs w:val="16"/>
                    </w:rPr>
                  </w:pPr>
                  <w:r>
                    <w:rPr>
                      <w:sz w:val="16"/>
                      <w:szCs w:val="16"/>
                    </w:rPr>
                    <w:t>Stein Mart Inc</w:t>
                  </w:r>
                </w:p>
              </w:tc>
              <w:tc>
                <w:tcPr>
                  <w:tcW w:w="1178" w:type="dxa"/>
                  <w:shd w:val="clear" w:color="auto" w:fill="DBE5F1" w:themeFill="accent1" w:themeFillTint="33"/>
                  <w:vAlign w:val="bottom"/>
                </w:tcPr>
                <w:p w14:paraId="2A396C67" w14:textId="2F5CC20E" w:rsidR="008C5D56" w:rsidRPr="00324315" w:rsidRDefault="008C5D56" w:rsidP="008C5D56">
                  <w:pPr>
                    <w:jc w:val="center"/>
                    <w:rPr>
                      <w:sz w:val="16"/>
                      <w:szCs w:val="16"/>
                    </w:rPr>
                  </w:pPr>
                  <w:r w:rsidRPr="00324315">
                    <w:rPr>
                      <w:rFonts w:cs="Arial"/>
                      <w:sz w:val="16"/>
                      <w:szCs w:val="16"/>
                    </w:rPr>
                    <w:t>Industry</w:t>
                  </w:r>
                </w:p>
              </w:tc>
              <w:tc>
                <w:tcPr>
                  <w:tcW w:w="1232" w:type="dxa"/>
                  <w:shd w:val="clear" w:color="auto" w:fill="DBE5F1" w:themeFill="accent1" w:themeFillTint="33"/>
                  <w:vAlign w:val="bottom"/>
                </w:tcPr>
                <w:p w14:paraId="78007BAA" w14:textId="0FDB4B2B" w:rsidR="008C5D56" w:rsidRPr="00324315" w:rsidRDefault="004D0C8F" w:rsidP="004D0C8F">
                  <w:pPr>
                    <w:ind w:left="1440" w:hanging="1440"/>
                    <w:jc w:val="center"/>
                    <w:rPr>
                      <w:sz w:val="16"/>
                      <w:szCs w:val="16"/>
                      <w:lang w:eastAsia="zh-CN"/>
                    </w:rPr>
                  </w:pPr>
                  <w:r>
                    <w:rPr>
                      <w:rFonts w:cs="Arial"/>
                      <w:sz w:val="16"/>
                      <w:szCs w:val="16"/>
                    </w:rPr>
                    <w:t>TJX</w:t>
                  </w:r>
                </w:p>
              </w:tc>
            </w:tr>
            <w:tr w:rsidR="00752BF4" w:rsidRPr="00324315" w14:paraId="5DA42BF7" w14:textId="77777777" w:rsidTr="007D4DEC">
              <w:tc>
                <w:tcPr>
                  <w:tcW w:w="1521" w:type="dxa"/>
                </w:tcPr>
                <w:p w14:paraId="5D8F0BAD" w14:textId="77777777" w:rsidR="00752BF4" w:rsidRPr="00324315" w:rsidRDefault="00752BF4" w:rsidP="00752BF4">
                  <w:pPr>
                    <w:rPr>
                      <w:sz w:val="16"/>
                      <w:szCs w:val="16"/>
                    </w:rPr>
                  </w:pPr>
                  <w:r w:rsidRPr="00324315">
                    <w:rPr>
                      <w:sz w:val="16"/>
                      <w:szCs w:val="16"/>
                    </w:rPr>
                    <w:t>P/E</w:t>
                  </w:r>
                </w:p>
              </w:tc>
              <w:tc>
                <w:tcPr>
                  <w:tcW w:w="1048" w:type="dxa"/>
                  <w:vAlign w:val="bottom"/>
                </w:tcPr>
                <w:p w14:paraId="53BFCC21" w14:textId="10001C17" w:rsidR="00752BF4" w:rsidRPr="00324315" w:rsidRDefault="004D0C8F" w:rsidP="00752BF4">
                  <w:pPr>
                    <w:jc w:val="center"/>
                    <w:rPr>
                      <w:sz w:val="16"/>
                      <w:szCs w:val="16"/>
                    </w:rPr>
                  </w:pPr>
                  <w:r>
                    <w:rPr>
                      <w:rFonts w:cs="Arial"/>
                      <w:sz w:val="16"/>
                      <w:szCs w:val="16"/>
                    </w:rPr>
                    <w:t>22.52</w:t>
                  </w:r>
                </w:p>
              </w:tc>
              <w:tc>
                <w:tcPr>
                  <w:tcW w:w="1134" w:type="dxa"/>
                  <w:vAlign w:val="bottom"/>
                </w:tcPr>
                <w:p w14:paraId="0006F77E" w14:textId="0169473C" w:rsidR="00752BF4" w:rsidRPr="00324315" w:rsidRDefault="004D0C8F" w:rsidP="00752BF4">
                  <w:pPr>
                    <w:jc w:val="center"/>
                    <w:rPr>
                      <w:sz w:val="16"/>
                      <w:szCs w:val="16"/>
                    </w:rPr>
                  </w:pPr>
                  <w:r>
                    <w:rPr>
                      <w:rFonts w:cs="Arial"/>
                      <w:sz w:val="16"/>
                      <w:szCs w:val="16"/>
                    </w:rPr>
                    <w:t>26.68</w:t>
                  </w:r>
                </w:p>
              </w:tc>
              <w:tc>
                <w:tcPr>
                  <w:tcW w:w="1134" w:type="dxa"/>
                  <w:vAlign w:val="bottom"/>
                </w:tcPr>
                <w:p w14:paraId="265146A9" w14:textId="3ACA0FF0" w:rsidR="00752BF4" w:rsidRPr="00324315" w:rsidRDefault="004D0C8F" w:rsidP="00752BF4">
                  <w:pPr>
                    <w:jc w:val="center"/>
                    <w:rPr>
                      <w:sz w:val="16"/>
                      <w:szCs w:val="16"/>
                    </w:rPr>
                  </w:pPr>
                  <w:r>
                    <w:rPr>
                      <w:rFonts w:cs="Arial"/>
                      <w:sz w:val="16"/>
                      <w:szCs w:val="16"/>
                    </w:rPr>
                    <w:t>10.25</w:t>
                  </w:r>
                </w:p>
              </w:tc>
              <w:tc>
                <w:tcPr>
                  <w:tcW w:w="1178" w:type="dxa"/>
                  <w:vAlign w:val="bottom"/>
                </w:tcPr>
                <w:p w14:paraId="1710897B" w14:textId="05E2A1DA" w:rsidR="00752BF4" w:rsidRPr="00324315" w:rsidRDefault="004D0C8F" w:rsidP="00752BF4">
                  <w:pPr>
                    <w:jc w:val="center"/>
                    <w:rPr>
                      <w:sz w:val="16"/>
                      <w:szCs w:val="16"/>
                    </w:rPr>
                  </w:pPr>
                  <w:r>
                    <w:rPr>
                      <w:rFonts w:cs="Arial"/>
                      <w:sz w:val="16"/>
                      <w:szCs w:val="16"/>
                    </w:rPr>
                    <w:t>19.67</w:t>
                  </w:r>
                </w:p>
              </w:tc>
              <w:tc>
                <w:tcPr>
                  <w:tcW w:w="1232" w:type="dxa"/>
                  <w:vAlign w:val="bottom"/>
                </w:tcPr>
                <w:p w14:paraId="7076EAC1" w14:textId="16328EB7" w:rsidR="00752BF4" w:rsidRPr="00324315" w:rsidRDefault="004D0C8F" w:rsidP="00752BF4">
                  <w:pPr>
                    <w:jc w:val="center"/>
                    <w:rPr>
                      <w:sz w:val="16"/>
                      <w:szCs w:val="16"/>
                    </w:rPr>
                  </w:pPr>
                  <w:r>
                    <w:rPr>
                      <w:rFonts w:cs="Arial"/>
                      <w:sz w:val="16"/>
                      <w:szCs w:val="16"/>
                    </w:rPr>
                    <w:t>21.89</w:t>
                  </w:r>
                </w:p>
              </w:tc>
            </w:tr>
            <w:tr w:rsidR="00752BF4" w:rsidRPr="00324315" w14:paraId="3CF28431" w14:textId="77777777" w:rsidTr="007D4DEC">
              <w:tc>
                <w:tcPr>
                  <w:tcW w:w="1521" w:type="dxa"/>
                </w:tcPr>
                <w:p w14:paraId="7E3790DF" w14:textId="77777777" w:rsidR="00752BF4" w:rsidRPr="00324315" w:rsidRDefault="00752BF4" w:rsidP="00752BF4">
                  <w:pPr>
                    <w:rPr>
                      <w:sz w:val="16"/>
                      <w:szCs w:val="16"/>
                    </w:rPr>
                  </w:pPr>
                  <w:r w:rsidRPr="00324315">
                    <w:rPr>
                      <w:sz w:val="16"/>
                      <w:szCs w:val="16"/>
                    </w:rPr>
                    <w:t>P/B</w:t>
                  </w:r>
                </w:p>
              </w:tc>
              <w:tc>
                <w:tcPr>
                  <w:tcW w:w="1048" w:type="dxa"/>
                  <w:vAlign w:val="bottom"/>
                </w:tcPr>
                <w:p w14:paraId="34BDBBAA" w14:textId="5E75481C" w:rsidR="00752BF4" w:rsidRPr="00324315" w:rsidRDefault="004D0C8F" w:rsidP="00752BF4">
                  <w:pPr>
                    <w:jc w:val="center"/>
                    <w:rPr>
                      <w:sz w:val="16"/>
                      <w:szCs w:val="16"/>
                    </w:rPr>
                  </w:pPr>
                  <w:r>
                    <w:rPr>
                      <w:rFonts w:cs="Arial"/>
                      <w:sz w:val="16"/>
                      <w:szCs w:val="16"/>
                    </w:rPr>
                    <w:t>9.32</w:t>
                  </w:r>
                </w:p>
              </w:tc>
              <w:tc>
                <w:tcPr>
                  <w:tcW w:w="1134" w:type="dxa"/>
                  <w:vAlign w:val="bottom"/>
                </w:tcPr>
                <w:p w14:paraId="6DD53DF3" w14:textId="771BE911" w:rsidR="00752BF4" w:rsidRPr="00324315" w:rsidRDefault="004D0C8F" w:rsidP="00752BF4">
                  <w:pPr>
                    <w:jc w:val="center"/>
                    <w:rPr>
                      <w:sz w:val="16"/>
                      <w:szCs w:val="16"/>
                    </w:rPr>
                  </w:pPr>
                  <w:r>
                    <w:rPr>
                      <w:rFonts w:cs="Arial"/>
                      <w:sz w:val="16"/>
                      <w:szCs w:val="16"/>
                    </w:rPr>
                    <w:t>-</w:t>
                  </w:r>
                </w:p>
              </w:tc>
              <w:tc>
                <w:tcPr>
                  <w:tcW w:w="1134" w:type="dxa"/>
                  <w:vAlign w:val="bottom"/>
                </w:tcPr>
                <w:p w14:paraId="28B68146" w14:textId="3F46CC36" w:rsidR="00752BF4" w:rsidRPr="00324315" w:rsidRDefault="004D0C8F" w:rsidP="00752BF4">
                  <w:pPr>
                    <w:jc w:val="center"/>
                    <w:rPr>
                      <w:sz w:val="16"/>
                      <w:szCs w:val="16"/>
                    </w:rPr>
                  </w:pPr>
                  <w:r>
                    <w:rPr>
                      <w:rFonts w:cs="Arial"/>
                      <w:sz w:val="16"/>
                      <w:szCs w:val="16"/>
                    </w:rPr>
                    <w:t>4.32</w:t>
                  </w:r>
                </w:p>
              </w:tc>
              <w:tc>
                <w:tcPr>
                  <w:tcW w:w="1178" w:type="dxa"/>
                  <w:vAlign w:val="bottom"/>
                </w:tcPr>
                <w:p w14:paraId="7C8A26C7" w14:textId="42C2856B" w:rsidR="00752BF4" w:rsidRPr="00324315" w:rsidRDefault="004D0C8F" w:rsidP="00752BF4">
                  <w:pPr>
                    <w:jc w:val="center"/>
                    <w:rPr>
                      <w:sz w:val="16"/>
                      <w:szCs w:val="16"/>
                    </w:rPr>
                  </w:pPr>
                  <w:r>
                    <w:rPr>
                      <w:rFonts w:cs="Arial"/>
                      <w:sz w:val="16"/>
                      <w:szCs w:val="16"/>
                    </w:rPr>
                    <w:t>6.49</w:t>
                  </w:r>
                </w:p>
              </w:tc>
              <w:tc>
                <w:tcPr>
                  <w:tcW w:w="1232" w:type="dxa"/>
                  <w:vAlign w:val="bottom"/>
                </w:tcPr>
                <w:p w14:paraId="5AFEA404" w14:textId="21677859" w:rsidR="00752BF4" w:rsidRPr="00324315" w:rsidRDefault="004D0C8F" w:rsidP="00752BF4">
                  <w:pPr>
                    <w:jc w:val="center"/>
                    <w:rPr>
                      <w:sz w:val="16"/>
                      <w:szCs w:val="16"/>
                    </w:rPr>
                  </w:pPr>
                  <w:r>
                    <w:rPr>
                      <w:rFonts w:cs="Arial"/>
                      <w:sz w:val="16"/>
                      <w:szCs w:val="16"/>
                    </w:rPr>
                    <w:t>11.05</w:t>
                  </w:r>
                </w:p>
              </w:tc>
            </w:tr>
            <w:tr w:rsidR="00752BF4" w:rsidRPr="00324315" w14:paraId="0617F604" w14:textId="77777777" w:rsidTr="007D4DEC">
              <w:tc>
                <w:tcPr>
                  <w:tcW w:w="1521" w:type="dxa"/>
                </w:tcPr>
                <w:p w14:paraId="3EC6238B" w14:textId="77777777" w:rsidR="00752BF4" w:rsidRPr="00324315" w:rsidRDefault="00752BF4" w:rsidP="00752BF4">
                  <w:pPr>
                    <w:rPr>
                      <w:sz w:val="16"/>
                      <w:szCs w:val="16"/>
                    </w:rPr>
                  </w:pPr>
                  <w:r w:rsidRPr="00324315">
                    <w:rPr>
                      <w:sz w:val="16"/>
                      <w:szCs w:val="16"/>
                    </w:rPr>
                    <w:t xml:space="preserve">Dividend Yield </w:t>
                  </w:r>
                </w:p>
              </w:tc>
              <w:tc>
                <w:tcPr>
                  <w:tcW w:w="1048" w:type="dxa"/>
                  <w:vAlign w:val="bottom"/>
                </w:tcPr>
                <w:p w14:paraId="524E59DF" w14:textId="7271CFAB" w:rsidR="00752BF4" w:rsidRPr="00324315" w:rsidRDefault="004D0C8F" w:rsidP="00752BF4">
                  <w:pPr>
                    <w:jc w:val="center"/>
                    <w:rPr>
                      <w:sz w:val="16"/>
                      <w:szCs w:val="16"/>
                    </w:rPr>
                  </w:pPr>
                  <w:r>
                    <w:rPr>
                      <w:rFonts w:cs="Arial"/>
                      <w:sz w:val="16"/>
                      <w:szCs w:val="16"/>
                    </w:rPr>
                    <w:t>0.82</w:t>
                  </w:r>
                </w:p>
              </w:tc>
              <w:tc>
                <w:tcPr>
                  <w:tcW w:w="1134" w:type="dxa"/>
                  <w:vAlign w:val="bottom"/>
                </w:tcPr>
                <w:p w14:paraId="22DA99B4" w14:textId="4FF81B02" w:rsidR="00752BF4" w:rsidRPr="00324315" w:rsidRDefault="004D0C8F" w:rsidP="00752BF4">
                  <w:pPr>
                    <w:jc w:val="center"/>
                    <w:rPr>
                      <w:sz w:val="16"/>
                      <w:szCs w:val="16"/>
                    </w:rPr>
                  </w:pPr>
                  <w:r>
                    <w:rPr>
                      <w:rFonts w:cs="Arial"/>
                      <w:sz w:val="16"/>
                      <w:szCs w:val="16"/>
                    </w:rPr>
                    <w:t>0</w:t>
                  </w:r>
                </w:p>
              </w:tc>
              <w:tc>
                <w:tcPr>
                  <w:tcW w:w="1134" w:type="dxa"/>
                  <w:vAlign w:val="bottom"/>
                </w:tcPr>
                <w:p w14:paraId="37475220" w14:textId="324AEEDA" w:rsidR="00752BF4" w:rsidRPr="00324315" w:rsidRDefault="004D0C8F" w:rsidP="004D0C8F">
                  <w:pPr>
                    <w:jc w:val="center"/>
                    <w:rPr>
                      <w:sz w:val="16"/>
                      <w:szCs w:val="16"/>
                    </w:rPr>
                  </w:pPr>
                  <w:r w:rsidRPr="00994DCA">
                    <w:rPr>
                      <w:rFonts w:cs="Arial"/>
                      <w:sz w:val="16"/>
                      <w:szCs w:val="16"/>
                      <w:highlight w:val="yellow"/>
                    </w:rPr>
                    <w:t>77.49</w:t>
                  </w:r>
                </w:p>
              </w:tc>
              <w:tc>
                <w:tcPr>
                  <w:tcW w:w="1178" w:type="dxa"/>
                  <w:vAlign w:val="bottom"/>
                </w:tcPr>
                <w:p w14:paraId="46267742" w14:textId="00D59684" w:rsidR="00752BF4" w:rsidRPr="00324315" w:rsidRDefault="004D0C8F" w:rsidP="00752BF4">
                  <w:pPr>
                    <w:jc w:val="center"/>
                    <w:rPr>
                      <w:sz w:val="16"/>
                      <w:szCs w:val="16"/>
                    </w:rPr>
                  </w:pPr>
                  <w:r>
                    <w:rPr>
                      <w:rFonts w:cs="Arial"/>
                      <w:sz w:val="16"/>
                      <w:szCs w:val="16"/>
                    </w:rPr>
                    <w:t>15.95</w:t>
                  </w:r>
                </w:p>
              </w:tc>
              <w:tc>
                <w:tcPr>
                  <w:tcW w:w="1232" w:type="dxa"/>
                  <w:vAlign w:val="bottom"/>
                </w:tcPr>
                <w:p w14:paraId="4CB9EC74" w14:textId="61ADA317" w:rsidR="00752BF4" w:rsidRPr="00324315" w:rsidRDefault="004D0C8F" w:rsidP="00752BF4">
                  <w:pPr>
                    <w:jc w:val="center"/>
                    <w:rPr>
                      <w:sz w:val="16"/>
                      <w:szCs w:val="16"/>
                    </w:rPr>
                  </w:pPr>
                  <w:r>
                    <w:rPr>
                      <w:rFonts w:cs="Arial"/>
                      <w:sz w:val="16"/>
                      <w:szCs w:val="16"/>
                    </w:rPr>
                    <w:t>1.12</w:t>
                  </w:r>
                </w:p>
              </w:tc>
            </w:tr>
            <w:tr w:rsidR="00752BF4" w:rsidRPr="00324315" w14:paraId="4505851E" w14:textId="77777777" w:rsidTr="007D4DEC">
              <w:tc>
                <w:tcPr>
                  <w:tcW w:w="1521" w:type="dxa"/>
                </w:tcPr>
                <w:p w14:paraId="6045AE39" w14:textId="77777777" w:rsidR="00752BF4" w:rsidRPr="00324315" w:rsidRDefault="00752BF4" w:rsidP="00752BF4">
                  <w:pPr>
                    <w:rPr>
                      <w:sz w:val="16"/>
                      <w:szCs w:val="16"/>
                    </w:rPr>
                  </w:pPr>
                  <w:r w:rsidRPr="00324315">
                    <w:rPr>
                      <w:sz w:val="16"/>
                      <w:szCs w:val="16"/>
                    </w:rPr>
                    <w:t xml:space="preserve">PEG Ratio </w:t>
                  </w:r>
                </w:p>
              </w:tc>
              <w:tc>
                <w:tcPr>
                  <w:tcW w:w="1048" w:type="dxa"/>
                  <w:vAlign w:val="bottom"/>
                </w:tcPr>
                <w:p w14:paraId="6C39B871" w14:textId="06EA5F13" w:rsidR="00752BF4" w:rsidRPr="00324315" w:rsidRDefault="004D0C8F" w:rsidP="004D0C8F">
                  <w:pPr>
                    <w:jc w:val="center"/>
                    <w:rPr>
                      <w:sz w:val="16"/>
                      <w:szCs w:val="16"/>
                    </w:rPr>
                  </w:pPr>
                  <w:r>
                    <w:rPr>
                      <w:rFonts w:cs="Arial"/>
                      <w:sz w:val="16"/>
                      <w:szCs w:val="16"/>
                    </w:rPr>
                    <w:t>2.08</w:t>
                  </w:r>
                </w:p>
              </w:tc>
              <w:tc>
                <w:tcPr>
                  <w:tcW w:w="1134" w:type="dxa"/>
                  <w:vAlign w:val="bottom"/>
                </w:tcPr>
                <w:p w14:paraId="7D65AAED" w14:textId="7CDC5242" w:rsidR="00752BF4" w:rsidRPr="00324315" w:rsidRDefault="004D0C8F" w:rsidP="00752BF4">
                  <w:pPr>
                    <w:jc w:val="center"/>
                    <w:rPr>
                      <w:sz w:val="16"/>
                      <w:szCs w:val="16"/>
                    </w:rPr>
                  </w:pPr>
                  <w:r>
                    <w:rPr>
                      <w:rFonts w:cs="Arial"/>
                      <w:sz w:val="16"/>
                      <w:szCs w:val="16"/>
                    </w:rPr>
                    <w:t>1.21</w:t>
                  </w:r>
                </w:p>
              </w:tc>
              <w:tc>
                <w:tcPr>
                  <w:tcW w:w="1134" w:type="dxa"/>
                  <w:vAlign w:val="bottom"/>
                </w:tcPr>
                <w:p w14:paraId="405B4B3F" w14:textId="3BCF75DE" w:rsidR="00752BF4" w:rsidRPr="00324315" w:rsidRDefault="00994DCA" w:rsidP="00752BF4">
                  <w:pPr>
                    <w:jc w:val="center"/>
                    <w:rPr>
                      <w:sz w:val="16"/>
                      <w:szCs w:val="16"/>
                    </w:rPr>
                  </w:pPr>
                  <w:r>
                    <w:rPr>
                      <w:rFonts w:cs="Arial"/>
                      <w:sz w:val="16"/>
                      <w:szCs w:val="16"/>
                    </w:rPr>
                    <w:t>0.76</w:t>
                  </w:r>
                </w:p>
              </w:tc>
              <w:tc>
                <w:tcPr>
                  <w:tcW w:w="1178" w:type="dxa"/>
                  <w:vAlign w:val="bottom"/>
                </w:tcPr>
                <w:p w14:paraId="09628130" w14:textId="0A437B23" w:rsidR="00752BF4" w:rsidRPr="00324315" w:rsidRDefault="004D0C8F" w:rsidP="00752BF4">
                  <w:pPr>
                    <w:jc w:val="center"/>
                    <w:rPr>
                      <w:sz w:val="16"/>
                      <w:szCs w:val="16"/>
                    </w:rPr>
                  </w:pPr>
                  <w:r>
                    <w:rPr>
                      <w:rFonts w:cs="Arial"/>
                      <w:sz w:val="16"/>
                      <w:szCs w:val="16"/>
                    </w:rPr>
                    <w:t>1.51</w:t>
                  </w:r>
                </w:p>
              </w:tc>
              <w:tc>
                <w:tcPr>
                  <w:tcW w:w="1232" w:type="dxa"/>
                  <w:vAlign w:val="bottom"/>
                </w:tcPr>
                <w:p w14:paraId="2302C4FD" w14:textId="5B2A8461" w:rsidR="00752BF4" w:rsidRPr="00324315" w:rsidRDefault="004D0C8F" w:rsidP="00752BF4">
                  <w:pPr>
                    <w:jc w:val="center"/>
                    <w:rPr>
                      <w:sz w:val="16"/>
                      <w:szCs w:val="16"/>
                    </w:rPr>
                  </w:pPr>
                  <w:r>
                    <w:rPr>
                      <w:rFonts w:cs="Arial"/>
                      <w:sz w:val="16"/>
                      <w:szCs w:val="16"/>
                    </w:rPr>
                    <w:t>2.01</w:t>
                  </w:r>
                </w:p>
              </w:tc>
            </w:tr>
            <w:tr w:rsidR="00752BF4" w:rsidRPr="00324315" w14:paraId="06FF3325" w14:textId="77777777" w:rsidTr="007D4DEC">
              <w:tc>
                <w:tcPr>
                  <w:tcW w:w="1521" w:type="dxa"/>
                </w:tcPr>
                <w:p w14:paraId="7FD0AD7B" w14:textId="77777777" w:rsidR="00752BF4" w:rsidRPr="00324315" w:rsidRDefault="00752BF4" w:rsidP="00752BF4">
                  <w:pPr>
                    <w:rPr>
                      <w:sz w:val="16"/>
                      <w:szCs w:val="16"/>
                    </w:rPr>
                  </w:pPr>
                  <w:r w:rsidRPr="00324315">
                    <w:rPr>
                      <w:sz w:val="16"/>
                      <w:szCs w:val="16"/>
                    </w:rPr>
                    <w:t>EPS</w:t>
                  </w:r>
                </w:p>
              </w:tc>
              <w:tc>
                <w:tcPr>
                  <w:tcW w:w="1048" w:type="dxa"/>
                  <w:vAlign w:val="bottom"/>
                </w:tcPr>
                <w:p w14:paraId="039C42DF" w14:textId="15B96D86" w:rsidR="00752BF4" w:rsidRPr="00324315" w:rsidRDefault="004D0C8F" w:rsidP="00752BF4">
                  <w:pPr>
                    <w:jc w:val="center"/>
                    <w:rPr>
                      <w:sz w:val="16"/>
                      <w:szCs w:val="16"/>
                    </w:rPr>
                  </w:pPr>
                  <w:r>
                    <w:rPr>
                      <w:rFonts w:cs="Arial"/>
                      <w:sz w:val="16"/>
                      <w:szCs w:val="16"/>
                    </w:rPr>
                    <w:t>0.54</w:t>
                  </w:r>
                </w:p>
              </w:tc>
              <w:tc>
                <w:tcPr>
                  <w:tcW w:w="1134" w:type="dxa"/>
                  <w:vAlign w:val="bottom"/>
                </w:tcPr>
                <w:p w14:paraId="1CBE09CE" w14:textId="382A67CE" w:rsidR="00752BF4" w:rsidRPr="00324315" w:rsidRDefault="004D0C8F" w:rsidP="00752BF4">
                  <w:pPr>
                    <w:jc w:val="center"/>
                    <w:rPr>
                      <w:sz w:val="16"/>
                      <w:szCs w:val="16"/>
                    </w:rPr>
                  </w:pPr>
                  <w:r>
                    <w:rPr>
                      <w:rFonts w:cs="Arial"/>
                      <w:sz w:val="16"/>
                      <w:szCs w:val="16"/>
                    </w:rPr>
                    <w:t>0.20</w:t>
                  </w:r>
                </w:p>
              </w:tc>
              <w:tc>
                <w:tcPr>
                  <w:tcW w:w="1134" w:type="dxa"/>
                  <w:vAlign w:val="bottom"/>
                </w:tcPr>
                <w:p w14:paraId="418ADE6E" w14:textId="3A39F6E1" w:rsidR="00752BF4" w:rsidRPr="00324315" w:rsidRDefault="00994DCA" w:rsidP="00752BF4">
                  <w:pPr>
                    <w:jc w:val="center"/>
                    <w:rPr>
                      <w:sz w:val="16"/>
                      <w:szCs w:val="16"/>
                    </w:rPr>
                  </w:pPr>
                  <w:r>
                    <w:rPr>
                      <w:rFonts w:cs="Arial"/>
                      <w:sz w:val="16"/>
                      <w:szCs w:val="16"/>
                    </w:rPr>
                    <w:t>-.01</w:t>
                  </w:r>
                </w:p>
              </w:tc>
              <w:tc>
                <w:tcPr>
                  <w:tcW w:w="1178" w:type="dxa"/>
                  <w:vAlign w:val="bottom"/>
                </w:tcPr>
                <w:p w14:paraId="0783FD74" w14:textId="40A472A8" w:rsidR="00752BF4" w:rsidRPr="00324315" w:rsidRDefault="004D0C8F" w:rsidP="00752BF4">
                  <w:pPr>
                    <w:jc w:val="center"/>
                    <w:rPr>
                      <w:sz w:val="16"/>
                      <w:szCs w:val="16"/>
                    </w:rPr>
                  </w:pPr>
                  <w:r>
                    <w:rPr>
                      <w:rFonts w:cs="Arial"/>
                      <w:sz w:val="16"/>
                      <w:szCs w:val="16"/>
                    </w:rPr>
                    <w:t>0.33</w:t>
                  </w:r>
                </w:p>
              </w:tc>
              <w:tc>
                <w:tcPr>
                  <w:tcW w:w="1232" w:type="dxa"/>
                  <w:vAlign w:val="bottom"/>
                </w:tcPr>
                <w:p w14:paraId="6D9EF64C" w14:textId="783CCF6D" w:rsidR="00752BF4" w:rsidRPr="00324315" w:rsidRDefault="004D0C8F" w:rsidP="00752BF4">
                  <w:pPr>
                    <w:jc w:val="center"/>
                    <w:rPr>
                      <w:sz w:val="16"/>
                      <w:szCs w:val="16"/>
                    </w:rPr>
                  </w:pPr>
                  <w:r>
                    <w:rPr>
                      <w:rFonts w:cs="Arial"/>
                      <w:sz w:val="16"/>
                      <w:szCs w:val="16"/>
                    </w:rPr>
                    <w:t>0.88</w:t>
                  </w:r>
                </w:p>
              </w:tc>
            </w:tr>
            <w:tr w:rsidR="00752BF4" w:rsidRPr="00324315" w14:paraId="777301C1" w14:textId="77777777" w:rsidTr="007D4DEC">
              <w:tc>
                <w:tcPr>
                  <w:tcW w:w="1521" w:type="dxa"/>
                </w:tcPr>
                <w:p w14:paraId="0759BE0E" w14:textId="5BF8D697" w:rsidR="00752BF4" w:rsidRPr="00324315" w:rsidRDefault="00752BF4" w:rsidP="00752BF4">
                  <w:pPr>
                    <w:rPr>
                      <w:sz w:val="16"/>
                      <w:szCs w:val="16"/>
                    </w:rPr>
                  </w:pPr>
                  <w:r w:rsidRPr="00324315">
                    <w:rPr>
                      <w:sz w:val="16"/>
                      <w:szCs w:val="16"/>
                    </w:rPr>
                    <w:t>Rev Growth (1 Yr)</w:t>
                  </w:r>
                </w:p>
              </w:tc>
              <w:tc>
                <w:tcPr>
                  <w:tcW w:w="1048" w:type="dxa"/>
                  <w:vAlign w:val="bottom"/>
                </w:tcPr>
                <w:p w14:paraId="18DCC7A0" w14:textId="1E8F411B" w:rsidR="00752BF4" w:rsidRPr="00324315" w:rsidRDefault="004D0C8F" w:rsidP="00752BF4">
                  <w:pPr>
                    <w:jc w:val="center"/>
                    <w:rPr>
                      <w:sz w:val="16"/>
                      <w:szCs w:val="16"/>
                    </w:rPr>
                  </w:pPr>
                  <w:r>
                    <w:rPr>
                      <w:rFonts w:cs="Arial"/>
                      <w:sz w:val="16"/>
                      <w:szCs w:val="16"/>
                    </w:rPr>
                    <w:t>7.08</w:t>
                  </w:r>
                </w:p>
              </w:tc>
              <w:tc>
                <w:tcPr>
                  <w:tcW w:w="1134" w:type="dxa"/>
                  <w:vAlign w:val="bottom"/>
                </w:tcPr>
                <w:p w14:paraId="68E302DD" w14:textId="33AC43B1" w:rsidR="00752BF4" w:rsidRPr="00324315" w:rsidRDefault="004D0C8F" w:rsidP="00752BF4">
                  <w:pPr>
                    <w:jc w:val="center"/>
                    <w:rPr>
                      <w:sz w:val="16"/>
                      <w:szCs w:val="16"/>
                    </w:rPr>
                  </w:pPr>
                  <w:r>
                    <w:rPr>
                      <w:rFonts w:cs="Arial"/>
                      <w:sz w:val="16"/>
                      <w:szCs w:val="16"/>
                    </w:rPr>
                    <w:t>6.22</w:t>
                  </w:r>
                </w:p>
              </w:tc>
              <w:tc>
                <w:tcPr>
                  <w:tcW w:w="1134" w:type="dxa"/>
                  <w:vAlign w:val="bottom"/>
                </w:tcPr>
                <w:p w14:paraId="67F1CBE6" w14:textId="71F00435" w:rsidR="00752BF4" w:rsidRPr="00324315" w:rsidRDefault="00994DCA" w:rsidP="00752BF4">
                  <w:pPr>
                    <w:jc w:val="center"/>
                    <w:rPr>
                      <w:sz w:val="16"/>
                      <w:szCs w:val="16"/>
                    </w:rPr>
                  </w:pPr>
                  <w:r>
                    <w:rPr>
                      <w:rFonts w:cs="Arial"/>
                      <w:sz w:val="16"/>
                      <w:szCs w:val="16"/>
                    </w:rPr>
                    <w:t>-.99</w:t>
                  </w:r>
                </w:p>
              </w:tc>
              <w:tc>
                <w:tcPr>
                  <w:tcW w:w="1178" w:type="dxa"/>
                  <w:vAlign w:val="bottom"/>
                </w:tcPr>
                <w:p w14:paraId="42281ACF" w14:textId="55FE779A" w:rsidR="00752BF4" w:rsidRPr="00324315" w:rsidRDefault="004D0C8F" w:rsidP="00752BF4">
                  <w:pPr>
                    <w:jc w:val="center"/>
                    <w:rPr>
                      <w:sz w:val="16"/>
                      <w:szCs w:val="16"/>
                    </w:rPr>
                  </w:pPr>
                  <w:r>
                    <w:rPr>
                      <w:rFonts w:cs="Arial"/>
                      <w:sz w:val="16"/>
                      <w:szCs w:val="16"/>
                    </w:rPr>
                    <w:t>3.80</w:t>
                  </w:r>
                </w:p>
              </w:tc>
              <w:tc>
                <w:tcPr>
                  <w:tcW w:w="1232" w:type="dxa"/>
                  <w:vAlign w:val="bottom"/>
                </w:tcPr>
                <w:p w14:paraId="17995264" w14:textId="0C5F19AB" w:rsidR="00752BF4" w:rsidRPr="00324315" w:rsidRDefault="004D0C8F" w:rsidP="00752BF4">
                  <w:pPr>
                    <w:jc w:val="center"/>
                    <w:rPr>
                      <w:sz w:val="16"/>
                      <w:szCs w:val="16"/>
                    </w:rPr>
                  </w:pPr>
                  <w:r>
                    <w:rPr>
                      <w:rFonts w:cs="Arial"/>
                      <w:sz w:val="16"/>
                      <w:szCs w:val="16"/>
                    </w:rPr>
                    <w:t>5.26</w:t>
                  </w:r>
                </w:p>
              </w:tc>
            </w:tr>
            <w:tr w:rsidR="00752BF4" w:rsidRPr="00324315" w14:paraId="616F0554" w14:textId="77777777" w:rsidTr="007D4DEC">
              <w:tc>
                <w:tcPr>
                  <w:tcW w:w="1521" w:type="dxa"/>
                </w:tcPr>
                <w:p w14:paraId="12174486" w14:textId="19744DCD" w:rsidR="00752BF4" w:rsidRPr="00324315" w:rsidRDefault="00752BF4" w:rsidP="00752BF4">
                  <w:pPr>
                    <w:rPr>
                      <w:sz w:val="16"/>
                      <w:szCs w:val="16"/>
                    </w:rPr>
                  </w:pPr>
                  <w:r w:rsidRPr="00324315">
                    <w:rPr>
                      <w:sz w:val="16"/>
                      <w:szCs w:val="16"/>
                    </w:rPr>
                    <w:t xml:space="preserve">NI Growth (1 Yrs) </w:t>
                  </w:r>
                </w:p>
              </w:tc>
              <w:tc>
                <w:tcPr>
                  <w:tcW w:w="1048" w:type="dxa"/>
                  <w:vAlign w:val="bottom"/>
                </w:tcPr>
                <w:p w14:paraId="21AC8274" w14:textId="2F0C3687" w:rsidR="00752BF4" w:rsidRPr="00324315" w:rsidRDefault="004D0C8F" w:rsidP="00752BF4">
                  <w:pPr>
                    <w:jc w:val="center"/>
                    <w:rPr>
                      <w:sz w:val="16"/>
                      <w:szCs w:val="16"/>
                    </w:rPr>
                  </w:pPr>
                  <w:r>
                    <w:rPr>
                      <w:sz w:val="16"/>
                      <w:szCs w:val="16"/>
                    </w:rPr>
                    <w:t>7.75</w:t>
                  </w:r>
                </w:p>
              </w:tc>
              <w:tc>
                <w:tcPr>
                  <w:tcW w:w="1134" w:type="dxa"/>
                  <w:vAlign w:val="bottom"/>
                </w:tcPr>
                <w:p w14:paraId="72155156" w14:textId="229F870B" w:rsidR="00752BF4" w:rsidRPr="00324315" w:rsidRDefault="004D0C8F" w:rsidP="00752BF4">
                  <w:pPr>
                    <w:jc w:val="center"/>
                    <w:rPr>
                      <w:sz w:val="16"/>
                      <w:szCs w:val="16"/>
                    </w:rPr>
                  </w:pPr>
                  <w:r>
                    <w:rPr>
                      <w:rFonts w:cs="Arial"/>
                      <w:sz w:val="16"/>
                      <w:szCs w:val="16"/>
                    </w:rPr>
                    <w:t>1.22</w:t>
                  </w:r>
                </w:p>
              </w:tc>
              <w:tc>
                <w:tcPr>
                  <w:tcW w:w="1134" w:type="dxa"/>
                  <w:vAlign w:val="bottom"/>
                </w:tcPr>
                <w:p w14:paraId="36DE4F19" w14:textId="6FDBDCFC" w:rsidR="00752BF4" w:rsidRPr="00324315" w:rsidRDefault="00994DCA" w:rsidP="00752BF4">
                  <w:pPr>
                    <w:jc w:val="center"/>
                    <w:rPr>
                      <w:sz w:val="16"/>
                      <w:szCs w:val="16"/>
                    </w:rPr>
                  </w:pPr>
                  <w:r>
                    <w:rPr>
                      <w:rFonts w:cs="Arial"/>
                      <w:sz w:val="16"/>
                      <w:szCs w:val="16"/>
                    </w:rPr>
                    <w:t>-0.07</w:t>
                  </w:r>
                </w:p>
              </w:tc>
              <w:tc>
                <w:tcPr>
                  <w:tcW w:w="1178" w:type="dxa"/>
                  <w:vAlign w:val="bottom"/>
                </w:tcPr>
                <w:p w14:paraId="098D397E" w14:textId="7ACF98E0" w:rsidR="00752BF4" w:rsidRPr="00324315" w:rsidRDefault="004D0C8F" w:rsidP="00752BF4">
                  <w:pPr>
                    <w:jc w:val="center"/>
                    <w:rPr>
                      <w:sz w:val="16"/>
                      <w:szCs w:val="16"/>
                    </w:rPr>
                  </w:pPr>
                  <w:r>
                    <w:rPr>
                      <w:rFonts w:cs="Arial"/>
                      <w:sz w:val="16"/>
                      <w:szCs w:val="16"/>
                    </w:rPr>
                    <w:t>3.37</w:t>
                  </w:r>
                </w:p>
              </w:tc>
              <w:tc>
                <w:tcPr>
                  <w:tcW w:w="1232" w:type="dxa"/>
                  <w:vAlign w:val="bottom"/>
                </w:tcPr>
                <w:p w14:paraId="09E34E39" w14:textId="3E3C07D4" w:rsidR="00752BF4" w:rsidRPr="00324315" w:rsidRDefault="004D0C8F" w:rsidP="00752BF4">
                  <w:pPr>
                    <w:jc w:val="center"/>
                    <w:rPr>
                      <w:sz w:val="16"/>
                      <w:szCs w:val="16"/>
                    </w:rPr>
                  </w:pPr>
                  <w:r>
                    <w:rPr>
                      <w:rFonts w:cs="Arial"/>
                      <w:sz w:val="16"/>
                      <w:szCs w:val="16"/>
                    </w:rPr>
                    <w:t>7.57</w:t>
                  </w:r>
                </w:p>
              </w:tc>
            </w:tr>
            <w:tr w:rsidR="00752BF4" w:rsidRPr="00324315" w14:paraId="339AECB6" w14:textId="77777777" w:rsidTr="007D4DEC">
              <w:tc>
                <w:tcPr>
                  <w:tcW w:w="1521" w:type="dxa"/>
                </w:tcPr>
                <w:p w14:paraId="7B2C49BE" w14:textId="77777777" w:rsidR="00752BF4" w:rsidRPr="00324315" w:rsidRDefault="00752BF4" w:rsidP="00752BF4">
                  <w:pPr>
                    <w:rPr>
                      <w:sz w:val="16"/>
                      <w:szCs w:val="16"/>
                    </w:rPr>
                  </w:pPr>
                  <w:r w:rsidRPr="00324315">
                    <w:rPr>
                      <w:sz w:val="16"/>
                      <w:szCs w:val="16"/>
                    </w:rPr>
                    <w:t xml:space="preserve">Operating Margin </w:t>
                  </w:r>
                </w:p>
              </w:tc>
              <w:tc>
                <w:tcPr>
                  <w:tcW w:w="1048" w:type="dxa"/>
                  <w:vAlign w:val="bottom"/>
                </w:tcPr>
                <w:p w14:paraId="6D16033E" w14:textId="19C84601" w:rsidR="00752BF4" w:rsidRPr="00324315" w:rsidRDefault="004D0C8F" w:rsidP="00752BF4">
                  <w:pPr>
                    <w:jc w:val="center"/>
                    <w:rPr>
                      <w:sz w:val="16"/>
                      <w:szCs w:val="16"/>
                    </w:rPr>
                  </w:pPr>
                  <w:r>
                    <w:rPr>
                      <w:rFonts w:cs="Arial"/>
                      <w:sz w:val="16"/>
                      <w:szCs w:val="16"/>
                    </w:rPr>
                    <w:t>12.08</w:t>
                  </w:r>
                </w:p>
              </w:tc>
              <w:tc>
                <w:tcPr>
                  <w:tcW w:w="1134" w:type="dxa"/>
                  <w:vAlign w:val="bottom"/>
                </w:tcPr>
                <w:p w14:paraId="0087603B" w14:textId="5D0C67FE" w:rsidR="00752BF4" w:rsidRPr="00324315" w:rsidRDefault="004D0C8F" w:rsidP="00752BF4">
                  <w:pPr>
                    <w:jc w:val="center"/>
                    <w:rPr>
                      <w:sz w:val="16"/>
                      <w:szCs w:val="16"/>
                    </w:rPr>
                  </w:pPr>
                  <w:r>
                    <w:rPr>
                      <w:sz w:val="16"/>
                      <w:szCs w:val="16"/>
                    </w:rPr>
                    <w:t>3.15</w:t>
                  </w:r>
                </w:p>
              </w:tc>
              <w:tc>
                <w:tcPr>
                  <w:tcW w:w="1134" w:type="dxa"/>
                  <w:vAlign w:val="bottom"/>
                </w:tcPr>
                <w:p w14:paraId="648370E7" w14:textId="4B6D8EF7" w:rsidR="00752BF4" w:rsidRPr="00324315" w:rsidRDefault="00994DCA" w:rsidP="00752BF4">
                  <w:pPr>
                    <w:jc w:val="center"/>
                    <w:rPr>
                      <w:sz w:val="16"/>
                      <w:szCs w:val="16"/>
                    </w:rPr>
                  </w:pPr>
                  <w:r>
                    <w:rPr>
                      <w:rFonts w:cs="Arial"/>
                      <w:sz w:val="16"/>
                      <w:szCs w:val="16"/>
                    </w:rPr>
                    <w:t>0.23</w:t>
                  </w:r>
                </w:p>
              </w:tc>
              <w:tc>
                <w:tcPr>
                  <w:tcW w:w="1178" w:type="dxa"/>
                  <w:vAlign w:val="bottom"/>
                </w:tcPr>
                <w:p w14:paraId="218F33F9" w14:textId="7A46217A" w:rsidR="00752BF4" w:rsidRPr="00324315" w:rsidRDefault="004D0C8F" w:rsidP="00752BF4">
                  <w:pPr>
                    <w:jc w:val="center"/>
                    <w:rPr>
                      <w:sz w:val="16"/>
                      <w:szCs w:val="16"/>
                    </w:rPr>
                  </w:pPr>
                  <w:r>
                    <w:rPr>
                      <w:rFonts w:cs="Arial"/>
                      <w:sz w:val="16"/>
                      <w:szCs w:val="16"/>
                    </w:rPr>
                    <w:t>5.70</w:t>
                  </w:r>
                </w:p>
              </w:tc>
              <w:tc>
                <w:tcPr>
                  <w:tcW w:w="1232" w:type="dxa"/>
                  <w:vAlign w:val="bottom"/>
                </w:tcPr>
                <w:p w14:paraId="0DC9A589" w14:textId="0079EFDD" w:rsidR="00752BF4" w:rsidRPr="00324315" w:rsidRDefault="004D0C8F" w:rsidP="00752BF4">
                  <w:pPr>
                    <w:jc w:val="center"/>
                    <w:rPr>
                      <w:sz w:val="16"/>
                      <w:szCs w:val="16"/>
                    </w:rPr>
                  </w:pPr>
                  <w:r>
                    <w:rPr>
                      <w:rFonts w:cs="Arial"/>
                      <w:sz w:val="16"/>
                      <w:szCs w:val="16"/>
                    </w:rPr>
                    <w:t>12.31</w:t>
                  </w:r>
                </w:p>
              </w:tc>
            </w:tr>
            <w:tr w:rsidR="00752BF4" w:rsidRPr="00324315" w14:paraId="064AA80D" w14:textId="77777777" w:rsidTr="007D4DEC">
              <w:tc>
                <w:tcPr>
                  <w:tcW w:w="1521" w:type="dxa"/>
                </w:tcPr>
                <w:p w14:paraId="5977E240" w14:textId="77777777" w:rsidR="00752BF4" w:rsidRPr="00324315" w:rsidRDefault="00752BF4" w:rsidP="00752BF4">
                  <w:pPr>
                    <w:rPr>
                      <w:sz w:val="16"/>
                      <w:szCs w:val="16"/>
                    </w:rPr>
                  </w:pPr>
                  <w:r w:rsidRPr="00324315">
                    <w:rPr>
                      <w:sz w:val="16"/>
                      <w:szCs w:val="16"/>
                    </w:rPr>
                    <w:t xml:space="preserve">Debt / Equity </w:t>
                  </w:r>
                </w:p>
              </w:tc>
              <w:tc>
                <w:tcPr>
                  <w:tcW w:w="1048" w:type="dxa"/>
                  <w:vAlign w:val="bottom"/>
                </w:tcPr>
                <w:p w14:paraId="672F8CCF" w14:textId="2F283BAC" w:rsidR="00752BF4" w:rsidRPr="00324315" w:rsidRDefault="004D0C8F" w:rsidP="00752BF4">
                  <w:pPr>
                    <w:jc w:val="center"/>
                    <w:rPr>
                      <w:sz w:val="16"/>
                      <w:szCs w:val="16"/>
                    </w:rPr>
                  </w:pPr>
                  <w:r>
                    <w:rPr>
                      <w:rFonts w:cs="Arial"/>
                      <w:sz w:val="16"/>
                      <w:szCs w:val="16"/>
                    </w:rPr>
                    <w:t>-3.81</w:t>
                  </w:r>
                </w:p>
              </w:tc>
              <w:tc>
                <w:tcPr>
                  <w:tcW w:w="1134" w:type="dxa"/>
                  <w:vAlign w:val="bottom"/>
                </w:tcPr>
                <w:p w14:paraId="2639E00E" w14:textId="1CF135BE" w:rsidR="00752BF4" w:rsidRPr="00324315" w:rsidRDefault="004D0C8F" w:rsidP="00752BF4">
                  <w:pPr>
                    <w:jc w:val="center"/>
                    <w:rPr>
                      <w:sz w:val="16"/>
                      <w:szCs w:val="16"/>
                    </w:rPr>
                  </w:pPr>
                  <w:r>
                    <w:rPr>
                      <w:sz w:val="16"/>
                      <w:szCs w:val="16"/>
                    </w:rPr>
                    <w:t>-</w:t>
                  </w:r>
                </w:p>
              </w:tc>
              <w:tc>
                <w:tcPr>
                  <w:tcW w:w="1134" w:type="dxa"/>
                  <w:vAlign w:val="bottom"/>
                </w:tcPr>
                <w:p w14:paraId="1555406C" w14:textId="7291BB0F" w:rsidR="00752BF4" w:rsidRPr="00324315" w:rsidRDefault="00994DCA" w:rsidP="00752BF4">
                  <w:pPr>
                    <w:jc w:val="center"/>
                    <w:rPr>
                      <w:sz w:val="16"/>
                      <w:szCs w:val="16"/>
                    </w:rPr>
                  </w:pPr>
                  <w:r>
                    <w:rPr>
                      <w:rFonts w:cs="Arial"/>
                      <w:sz w:val="16"/>
                      <w:szCs w:val="16"/>
                    </w:rPr>
                    <w:t>245.93</w:t>
                  </w:r>
                </w:p>
              </w:tc>
              <w:tc>
                <w:tcPr>
                  <w:tcW w:w="1178" w:type="dxa"/>
                  <w:vAlign w:val="bottom"/>
                </w:tcPr>
                <w:p w14:paraId="02951FB8" w14:textId="01F1081E" w:rsidR="00752BF4" w:rsidRPr="00324315" w:rsidRDefault="004D0C8F" w:rsidP="00752BF4">
                  <w:pPr>
                    <w:jc w:val="center"/>
                    <w:rPr>
                      <w:sz w:val="16"/>
                      <w:szCs w:val="16"/>
                    </w:rPr>
                  </w:pPr>
                  <w:r>
                    <w:rPr>
                      <w:rFonts w:cs="Arial"/>
                      <w:sz w:val="16"/>
                      <w:szCs w:val="16"/>
                    </w:rPr>
                    <w:t>48.92</w:t>
                  </w:r>
                </w:p>
              </w:tc>
              <w:tc>
                <w:tcPr>
                  <w:tcW w:w="1232" w:type="dxa"/>
                  <w:vAlign w:val="bottom"/>
                </w:tcPr>
                <w:p w14:paraId="2DEE76F7" w14:textId="7FE4A8E9" w:rsidR="00752BF4" w:rsidRPr="00324315" w:rsidRDefault="004D0C8F" w:rsidP="00752BF4">
                  <w:pPr>
                    <w:jc w:val="center"/>
                    <w:rPr>
                      <w:sz w:val="16"/>
                      <w:szCs w:val="16"/>
                    </w:rPr>
                  </w:pPr>
                  <w:r>
                    <w:rPr>
                      <w:rFonts w:cs="Arial"/>
                      <w:sz w:val="16"/>
                      <w:szCs w:val="16"/>
                    </w:rPr>
                    <w:t>-11.47</w:t>
                  </w:r>
                </w:p>
              </w:tc>
            </w:tr>
            <w:tr w:rsidR="00752BF4" w:rsidRPr="00324315" w14:paraId="36B329ED" w14:textId="77777777" w:rsidTr="007D4DEC">
              <w:tc>
                <w:tcPr>
                  <w:tcW w:w="1521" w:type="dxa"/>
                </w:tcPr>
                <w:p w14:paraId="791DB0D1" w14:textId="77777777" w:rsidR="00752BF4" w:rsidRPr="00324315" w:rsidRDefault="00752BF4" w:rsidP="00752BF4">
                  <w:pPr>
                    <w:rPr>
                      <w:sz w:val="16"/>
                      <w:szCs w:val="16"/>
                    </w:rPr>
                  </w:pPr>
                  <w:r w:rsidRPr="00324315">
                    <w:rPr>
                      <w:sz w:val="16"/>
                      <w:szCs w:val="16"/>
                    </w:rPr>
                    <w:t>Market Cap</w:t>
                  </w:r>
                </w:p>
              </w:tc>
              <w:tc>
                <w:tcPr>
                  <w:tcW w:w="1048" w:type="dxa"/>
                  <w:vAlign w:val="bottom"/>
                </w:tcPr>
                <w:p w14:paraId="031547AD" w14:textId="71D322A9" w:rsidR="00752BF4" w:rsidRPr="00324315" w:rsidRDefault="004D0C8F" w:rsidP="00752BF4">
                  <w:pPr>
                    <w:jc w:val="center"/>
                    <w:rPr>
                      <w:sz w:val="16"/>
                      <w:szCs w:val="16"/>
                    </w:rPr>
                  </w:pPr>
                  <w:r>
                    <w:rPr>
                      <w:rFonts w:cs="Arial"/>
                      <w:sz w:val="16"/>
                      <w:szCs w:val="16"/>
                    </w:rPr>
                    <w:t>22.30B</w:t>
                  </w:r>
                </w:p>
              </w:tc>
              <w:tc>
                <w:tcPr>
                  <w:tcW w:w="1134" w:type="dxa"/>
                  <w:vAlign w:val="bottom"/>
                </w:tcPr>
                <w:p w14:paraId="626B742A" w14:textId="6F068ED3" w:rsidR="00752BF4" w:rsidRPr="00324315" w:rsidRDefault="004D0C8F" w:rsidP="00752BF4">
                  <w:pPr>
                    <w:jc w:val="center"/>
                    <w:rPr>
                      <w:sz w:val="16"/>
                      <w:szCs w:val="16"/>
                    </w:rPr>
                  </w:pPr>
                  <w:r>
                    <w:rPr>
                      <w:rFonts w:cs="Arial"/>
                      <w:sz w:val="16"/>
                      <w:szCs w:val="16"/>
                    </w:rPr>
                    <w:t>4.15</w:t>
                  </w:r>
                  <w:r w:rsidR="005E2672">
                    <w:rPr>
                      <w:rFonts w:cs="Arial"/>
                      <w:sz w:val="16"/>
                      <w:szCs w:val="16"/>
                    </w:rPr>
                    <w:t>B</w:t>
                  </w:r>
                </w:p>
              </w:tc>
              <w:tc>
                <w:tcPr>
                  <w:tcW w:w="1134" w:type="dxa"/>
                  <w:vAlign w:val="bottom"/>
                </w:tcPr>
                <w:p w14:paraId="4F545191" w14:textId="40CFCDA8" w:rsidR="00752BF4" w:rsidRPr="00324315" w:rsidRDefault="00994DCA" w:rsidP="00752BF4">
                  <w:pPr>
                    <w:jc w:val="center"/>
                    <w:rPr>
                      <w:sz w:val="16"/>
                      <w:szCs w:val="16"/>
                    </w:rPr>
                  </w:pPr>
                  <w:r>
                    <w:rPr>
                      <w:rFonts w:cs="Arial"/>
                      <w:sz w:val="16"/>
                      <w:szCs w:val="16"/>
                    </w:rPr>
                    <w:t>312.44M</w:t>
                  </w:r>
                </w:p>
              </w:tc>
              <w:tc>
                <w:tcPr>
                  <w:tcW w:w="1178" w:type="dxa"/>
                  <w:vAlign w:val="bottom"/>
                </w:tcPr>
                <w:p w14:paraId="70C9FE24" w14:textId="6C754300" w:rsidR="00752BF4" w:rsidRPr="00324315" w:rsidRDefault="004D0C8F" w:rsidP="00490C01">
                  <w:pPr>
                    <w:jc w:val="center"/>
                    <w:rPr>
                      <w:sz w:val="16"/>
                      <w:szCs w:val="16"/>
                    </w:rPr>
                  </w:pPr>
                  <w:r>
                    <w:rPr>
                      <w:rFonts w:cs="Arial"/>
                      <w:sz w:val="16"/>
                      <w:szCs w:val="16"/>
                    </w:rPr>
                    <w:t>15.02B</w:t>
                  </w:r>
                </w:p>
              </w:tc>
              <w:tc>
                <w:tcPr>
                  <w:tcW w:w="1232" w:type="dxa"/>
                  <w:vAlign w:val="bottom"/>
                </w:tcPr>
                <w:p w14:paraId="10279C73" w14:textId="2CE0E98F" w:rsidR="00752BF4" w:rsidRPr="00324315" w:rsidRDefault="004D0C8F" w:rsidP="00752BF4">
                  <w:pPr>
                    <w:jc w:val="center"/>
                    <w:rPr>
                      <w:sz w:val="16"/>
                      <w:szCs w:val="16"/>
                    </w:rPr>
                  </w:pPr>
                  <w:r>
                    <w:rPr>
                      <w:sz w:val="16"/>
                      <w:szCs w:val="16"/>
                    </w:rPr>
                    <w:t>48.07B</w:t>
                  </w:r>
                </w:p>
              </w:tc>
            </w:tr>
          </w:tbl>
          <w:p w14:paraId="67108435" w14:textId="3EF34397" w:rsidR="00D8492B" w:rsidRPr="00324315" w:rsidRDefault="00D8492B" w:rsidP="0010720B">
            <w:pPr>
              <w:jc w:val="both"/>
              <w:rPr>
                <w:b/>
                <w:sz w:val="16"/>
                <w:szCs w:val="16"/>
              </w:rPr>
            </w:pPr>
            <w:r w:rsidRPr="00324315">
              <w:rPr>
                <w:b/>
                <w:sz w:val="16"/>
                <w:szCs w:val="16"/>
              </w:rPr>
              <w:t xml:space="preserve">Sources: Bloomberg, S&amp;P NetAdvantage, VLIS, Morningstar </w:t>
            </w:r>
          </w:p>
        </w:tc>
        <w:tc>
          <w:tcPr>
            <w:tcW w:w="4320" w:type="dxa"/>
          </w:tcPr>
          <w:p w14:paraId="7FACE228" w14:textId="170AD80A" w:rsidR="004F2EAA" w:rsidRPr="00324315" w:rsidRDefault="004F2EAA" w:rsidP="0010720B">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rsidRPr="00324315" w14:paraId="39927E41" w14:textId="77777777" w:rsidTr="0060598F">
              <w:tc>
                <w:tcPr>
                  <w:tcW w:w="1422" w:type="dxa"/>
                  <w:shd w:val="clear" w:color="auto" w:fill="DBE5F1" w:themeFill="accent1" w:themeFillTint="33"/>
                </w:tcPr>
                <w:p w14:paraId="405B542F" w14:textId="7C67957F" w:rsidR="00EA5213" w:rsidRPr="00324315" w:rsidRDefault="00EA5213" w:rsidP="00EA5213">
                  <w:pPr>
                    <w:rPr>
                      <w:sz w:val="16"/>
                      <w:szCs w:val="16"/>
                    </w:rPr>
                  </w:pPr>
                </w:p>
              </w:tc>
              <w:tc>
                <w:tcPr>
                  <w:tcW w:w="900" w:type="dxa"/>
                  <w:shd w:val="clear" w:color="auto" w:fill="DBE5F1" w:themeFill="accent1" w:themeFillTint="33"/>
                </w:tcPr>
                <w:p w14:paraId="0AB96B2A" w14:textId="459D7B8E" w:rsidR="00EA5213" w:rsidRPr="00324315" w:rsidRDefault="00994DCA" w:rsidP="00EA5213">
                  <w:pPr>
                    <w:rPr>
                      <w:sz w:val="16"/>
                      <w:szCs w:val="16"/>
                    </w:rPr>
                  </w:pPr>
                  <w:r>
                    <w:rPr>
                      <w:sz w:val="16"/>
                      <w:szCs w:val="16"/>
                    </w:rPr>
                    <w:t>TJX</w:t>
                  </w:r>
                </w:p>
              </w:tc>
              <w:tc>
                <w:tcPr>
                  <w:tcW w:w="810" w:type="dxa"/>
                  <w:shd w:val="clear" w:color="auto" w:fill="DBE5F1" w:themeFill="accent1" w:themeFillTint="33"/>
                </w:tcPr>
                <w:p w14:paraId="0650E6CE" w14:textId="77777777" w:rsidR="00EA5213" w:rsidRPr="00324315" w:rsidRDefault="00EA5213" w:rsidP="00EA5213">
                  <w:pPr>
                    <w:rPr>
                      <w:sz w:val="16"/>
                      <w:szCs w:val="16"/>
                    </w:rPr>
                  </w:pPr>
                  <w:r w:rsidRPr="00324315">
                    <w:rPr>
                      <w:sz w:val="16"/>
                      <w:szCs w:val="16"/>
                    </w:rPr>
                    <w:t xml:space="preserve">Sector </w:t>
                  </w:r>
                </w:p>
              </w:tc>
              <w:tc>
                <w:tcPr>
                  <w:tcW w:w="962" w:type="dxa"/>
                  <w:shd w:val="clear" w:color="auto" w:fill="DBE5F1" w:themeFill="accent1" w:themeFillTint="33"/>
                </w:tcPr>
                <w:p w14:paraId="68B31751" w14:textId="77777777" w:rsidR="00EA5213" w:rsidRPr="00324315" w:rsidRDefault="00EA5213" w:rsidP="00EA5213">
                  <w:pPr>
                    <w:rPr>
                      <w:sz w:val="16"/>
                      <w:szCs w:val="16"/>
                    </w:rPr>
                  </w:pPr>
                  <w:r w:rsidRPr="00324315">
                    <w:rPr>
                      <w:sz w:val="16"/>
                      <w:szCs w:val="16"/>
                    </w:rPr>
                    <w:t>S&amp;P 500</w:t>
                  </w:r>
                </w:p>
              </w:tc>
            </w:tr>
            <w:tr w:rsidR="00EA5213" w:rsidRPr="00324315" w14:paraId="47681D86" w14:textId="77777777" w:rsidTr="00371C05">
              <w:tc>
                <w:tcPr>
                  <w:tcW w:w="1422" w:type="dxa"/>
                </w:tcPr>
                <w:p w14:paraId="440258CF" w14:textId="77777777" w:rsidR="00EA5213" w:rsidRPr="00324315" w:rsidRDefault="00EA5213" w:rsidP="00EA5213">
                  <w:pPr>
                    <w:rPr>
                      <w:sz w:val="16"/>
                      <w:szCs w:val="16"/>
                    </w:rPr>
                  </w:pPr>
                  <w:r w:rsidRPr="00324315">
                    <w:rPr>
                      <w:sz w:val="16"/>
                      <w:szCs w:val="16"/>
                    </w:rPr>
                    <w:t>YTD</w:t>
                  </w:r>
                </w:p>
              </w:tc>
              <w:tc>
                <w:tcPr>
                  <w:tcW w:w="900" w:type="dxa"/>
                </w:tcPr>
                <w:p w14:paraId="2915C4D5" w14:textId="396A845E" w:rsidR="00EA5213" w:rsidRPr="00324315" w:rsidRDefault="00994DCA" w:rsidP="00EA5213">
                  <w:pPr>
                    <w:rPr>
                      <w:sz w:val="16"/>
                      <w:szCs w:val="16"/>
                    </w:rPr>
                  </w:pPr>
                  <w:r>
                    <w:rPr>
                      <w:sz w:val="16"/>
                      <w:szCs w:val="16"/>
                    </w:rPr>
                    <w:t>1.564</w:t>
                  </w:r>
                </w:p>
              </w:tc>
              <w:tc>
                <w:tcPr>
                  <w:tcW w:w="810" w:type="dxa"/>
                </w:tcPr>
                <w:p w14:paraId="432CEBBB" w14:textId="1E286243" w:rsidR="00EA5213" w:rsidRPr="00324315" w:rsidRDefault="00762275" w:rsidP="00EA5213">
                  <w:pPr>
                    <w:rPr>
                      <w:sz w:val="16"/>
                      <w:szCs w:val="16"/>
                    </w:rPr>
                  </w:pPr>
                  <w:r>
                    <w:rPr>
                      <w:sz w:val="16"/>
                      <w:szCs w:val="16"/>
                    </w:rPr>
                    <w:t>-3.56</w:t>
                  </w:r>
                </w:p>
              </w:tc>
              <w:tc>
                <w:tcPr>
                  <w:tcW w:w="962" w:type="dxa"/>
                </w:tcPr>
                <w:p w14:paraId="2D5C424C" w14:textId="252760D1" w:rsidR="00EA5213" w:rsidRPr="00324315" w:rsidRDefault="00762275" w:rsidP="00EA5213">
                  <w:pPr>
                    <w:rPr>
                      <w:sz w:val="16"/>
                      <w:szCs w:val="16"/>
                    </w:rPr>
                  </w:pPr>
                  <w:r>
                    <w:rPr>
                      <w:sz w:val="16"/>
                      <w:szCs w:val="16"/>
                    </w:rPr>
                    <w:t>-6.97</w:t>
                  </w:r>
                </w:p>
              </w:tc>
            </w:tr>
            <w:tr w:rsidR="00EA5213" w:rsidRPr="00324315" w14:paraId="0876038A" w14:textId="77777777" w:rsidTr="00371C05">
              <w:tc>
                <w:tcPr>
                  <w:tcW w:w="1422" w:type="dxa"/>
                </w:tcPr>
                <w:p w14:paraId="1F90980B" w14:textId="77777777" w:rsidR="00EA5213" w:rsidRPr="00324315" w:rsidRDefault="00EA5213" w:rsidP="00EA5213">
                  <w:pPr>
                    <w:rPr>
                      <w:sz w:val="16"/>
                      <w:szCs w:val="16"/>
                    </w:rPr>
                  </w:pPr>
                  <w:r w:rsidRPr="00324315">
                    <w:rPr>
                      <w:sz w:val="16"/>
                      <w:szCs w:val="16"/>
                    </w:rPr>
                    <w:t xml:space="preserve">Last 3 Years </w:t>
                  </w:r>
                </w:p>
              </w:tc>
              <w:tc>
                <w:tcPr>
                  <w:tcW w:w="900" w:type="dxa"/>
                </w:tcPr>
                <w:p w14:paraId="0925A661" w14:textId="40E2873E" w:rsidR="00EA5213" w:rsidRPr="00324315" w:rsidRDefault="00762275" w:rsidP="00EA5213">
                  <w:pPr>
                    <w:rPr>
                      <w:sz w:val="16"/>
                      <w:szCs w:val="16"/>
                    </w:rPr>
                  </w:pPr>
                  <w:r>
                    <w:rPr>
                      <w:sz w:val="16"/>
                      <w:szCs w:val="16"/>
                    </w:rPr>
                    <w:t>17.98</w:t>
                  </w:r>
                </w:p>
              </w:tc>
              <w:tc>
                <w:tcPr>
                  <w:tcW w:w="810" w:type="dxa"/>
                </w:tcPr>
                <w:p w14:paraId="046C9C8D" w14:textId="71BC19DE" w:rsidR="00EA5213" w:rsidRPr="00324315" w:rsidRDefault="00762275" w:rsidP="00EA5213">
                  <w:pPr>
                    <w:rPr>
                      <w:sz w:val="16"/>
                      <w:szCs w:val="16"/>
                    </w:rPr>
                  </w:pPr>
                  <w:r>
                    <w:rPr>
                      <w:sz w:val="16"/>
                      <w:szCs w:val="16"/>
                    </w:rPr>
                    <w:t>7.91</w:t>
                  </w:r>
                </w:p>
              </w:tc>
              <w:tc>
                <w:tcPr>
                  <w:tcW w:w="962" w:type="dxa"/>
                </w:tcPr>
                <w:p w14:paraId="55BE815F" w14:textId="60FB8E14" w:rsidR="00EA5213" w:rsidRPr="00324315" w:rsidRDefault="00762275" w:rsidP="00EA5213">
                  <w:pPr>
                    <w:rPr>
                      <w:sz w:val="16"/>
                      <w:szCs w:val="16"/>
                    </w:rPr>
                  </w:pPr>
                  <w:r>
                    <w:rPr>
                      <w:sz w:val="16"/>
                      <w:szCs w:val="16"/>
                    </w:rPr>
                    <w:t>9.93</w:t>
                  </w:r>
                </w:p>
              </w:tc>
            </w:tr>
            <w:tr w:rsidR="00EA5213" w:rsidRPr="00324315" w14:paraId="28B8CB1E" w14:textId="77777777" w:rsidTr="00371C05">
              <w:tc>
                <w:tcPr>
                  <w:tcW w:w="1422" w:type="dxa"/>
                </w:tcPr>
                <w:p w14:paraId="3272796F" w14:textId="77777777" w:rsidR="00EA5213" w:rsidRPr="00324315" w:rsidRDefault="00EA5213" w:rsidP="00EA5213">
                  <w:pPr>
                    <w:rPr>
                      <w:sz w:val="16"/>
                      <w:szCs w:val="16"/>
                    </w:rPr>
                  </w:pPr>
                  <w:r w:rsidRPr="00324315">
                    <w:rPr>
                      <w:sz w:val="16"/>
                      <w:szCs w:val="16"/>
                    </w:rPr>
                    <w:t xml:space="preserve">Last 5 Years </w:t>
                  </w:r>
                </w:p>
              </w:tc>
              <w:tc>
                <w:tcPr>
                  <w:tcW w:w="900" w:type="dxa"/>
                </w:tcPr>
                <w:p w14:paraId="6CA968EB" w14:textId="2501C914" w:rsidR="00EA5213" w:rsidRPr="00324315" w:rsidRDefault="00762275" w:rsidP="00EA5213">
                  <w:pPr>
                    <w:rPr>
                      <w:sz w:val="16"/>
                      <w:szCs w:val="16"/>
                    </w:rPr>
                  </w:pPr>
                  <w:r>
                    <w:rPr>
                      <w:sz w:val="16"/>
                      <w:szCs w:val="16"/>
                    </w:rPr>
                    <w:t>24.89</w:t>
                  </w:r>
                </w:p>
              </w:tc>
              <w:tc>
                <w:tcPr>
                  <w:tcW w:w="810" w:type="dxa"/>
                </w:tcPr>
                <w:p w14:paraId="3A2AF828" w14:textId="283C3458" w:rsidR="00EA5213" w:rsidRPr="00324315" w:rsidRDefault="00762275" w:rsidP="00EA5213">
                  <w:pPr>
                    <w:rPr>
                      <w:sz w:val="16"/>
                      <w:szCs w:val="16"/>
                    </w:rPr>
                  </w:pPr>
                  <w:r>
                    <w:rPr>
                      <w:sz w:val="16"/>
                      <w:szCs w:val="16"/>
                    </w:rPr>
                    <w:t>12.41</w:t>
                  </w:r>
                </w:p>
              </w:tc>
              <w:tc>
                <w:tcPr>
                  <w:tcW w:w="962" w:type="dxa"/>
                </w:tcPr>
                <w:p w14:paraId="1D7EE8E1" w14:textId="1D2CC4C5" w:rsidR="00EA5213" w:rsidRPr="00324315" w:rsidRDefault="00762275" w:rsidP="00EA5213">
                  <w:pPr>
                    <w:rPr>
                      <w:sz w:val="16"/>
                      <w:szCs w:val="16"/>
                    </w:rPr>
                  </w:pPr>
                  <w:r>
                    <w:rPr>
                      <w:sz w:val="16"/>
                      <w:szCs w:val="16"/>
                    </w:rPr>
                    <w:t>9.56</w:t>
                  </w:r>
                </w:p>
              </w:tc>
            </w:tr>
          </w:tbl>
          <w:p w14:paraId="51BB9526" w14:textId="77777777" w:rsidR="00096901" w:rsidRPr="00324315" w:rsidRDefault="00096901" w:rsidP="0010720B">
            <w:pPr>
              <w:jc w:val="both"/>
              <w:rPr>
                <w:b/>
                <w:sz w:val="16"/>
                <w:szCs w:val="16"/>
              </w:rPr>
            </w:pPr>
          </w:p>
          <w:p w14:paraId="221910A7" w14:textId="368D2A1A" w:rsidR="009F0D12" w:rsidRPr="00324315" w:rsidRDefault="009F0D12" w:rsidP="0010720B">
            <w:pPr>
              <w:jc w:val="both"/>
              <w:rPr>
                <w:b/>
                <w:sz w:val="16"/>
                <w:szCs w:val="16"/>
              </w:rPr>
            </w:pPr>
            <w:r w:rsidRPr="00324315">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EB73D7" w:rsidRPr="00324315" w14:paraId="331C9CF3" w14:textId="77777777" w:rsidTr="002D655C">
              <w:tc>
                <w:tcPr>
                  <w:tcW w:w="2497" w:type="dxa"/>
                  <w:shd w:val="clear" w:color="auto" w:fill="DBE5F1" w:themeFill="accent1" w:themeFillTint="33"/>
                </w:tcPr>
                <w:p w14:paraId="434A59A4" w14:textId="77777777" w:rsidR="00EB73D7" w:rsidRPr="00324315" w:rsidRDefault="00EB73D7" w:rsidP="002D655C">
                  <w:pPr>
                    <w:rPr>
                      <w:sz w:val="16"/>
                      <w:szCs w:val="16"/>
                    </w:rPr>
                  </w:pPr>
                </w:p>
              </w:tc>
              <w:tc>
                <w:tcPr>
                  <w:tcW w:w="862" w:type="dxa"/>
                  <w:shd w:val="clear" w:color="auto" w:fill="DBE5F1" w:themeFill="accent1" w:themeFillTint="33"/>
                </w:tcPr>
                <w:p w14:paraId="165DC052" w14:textId="3B72D986" w:rsidR="00EB73D7" w:rsidRPr="00324315" w:rsidRDefault="00994DCA" w:rsidP="002D655C">
                  <w:pPr>
                    <w:rPr>
                      <w:sz w:val="16"/>
                      <w:szCs w:val="16"/>
                    </w:rPr>
                  </w:pPr>
                  <w:r>
                    <w:rPr>
                      <w:sz w:val="16"/>
                      <w:szCs w:val="16"/>
                    </w:rPr>
                    <w:t>TJX</w:t>
                  </w:r>
                </w:p>
              </w:tc>
              <w:tc>
                <w:tcPr>
                  <w:tcW w:w="807" w:type="dxa"/>
                  <w:shd w:val="clear" w:color="auto" w:fill="DBE5F1" w:themeFill="accent1" w:themeFillTint="33"/>
                </w:tcPr>
                <w:p w14:paraId="25A7D82A" w14:textId="77777777" w:rsidR="00EB73D7" w:rsidRPr="00324315" w:rsidRDefault="00EB73D7" w:rsidP="002D655C">
                  <w:pPr>
                    <w:rPr>
                      <w:sz w:val="16"/>
                      <w:szCs w:val="16"/>
                    </w:rPr>
                  </w:pPr>
                  <w:r w:rsidRPr="00324315">
                    <w:rPr>
                      <w:sz w:val="16"/>
                      <w:szCs w:val="16"/>
                    </w:rPr>
                    <w:t xml:space="preserve">Industry  </w:t>
                  </w:r>
                </w:p>
              </w:tc>
            </w:tr>
            <w:tr w:rsidR="00EB73D7" w:rsidRPr="00324315" w14:paraId="5846D050" w14:textId="77777777" w:rsidTr="002D655C">
              <w:tc>
                <w:tcPr>
                  <w:tcW w:w="2497" w:type="dxa"/>
                </w:tcPr>
                <w:p w14:paraId="6BBDDA03" w14:textId="77777777" w:rsidR="00EB73D7" w:rsidRPr="00324315" w:rsidRDefault="00EB73D7" w:rsidP="002D655C">
                  <w:pPr>
                    <w:rPr>
                      <w:sz w:val="16"/>
                      <w:szCs w:val="16"/>
                    </w:rPr>
                  </w:pPr>
                  <w:r w:rsidRPr="00324315">
                    <w:rPr>
                      <w:sz w:val="16"/>
                      <w:szCs w:val="16"/>
                    </w:rPr>
                    <w:t>ESG Disclosure Score</w:t>
                  </w:r>
                </w:p>
              </w:tc>
              <w:tc>
                <w:tcPr>
                  <w:tcW w:w="862" w:type="dxa"/>
                </w:tcPr>
                <w:p w14:paraId="6D6186B8" w14:textId="51E140DF" w:rsidR="00EB73D7" w:rsidRPr="00324315" w:rsidRDefault="00762275" w:rsidP="002D655C">
                  <w:pPr>
                    <w:rPr>
                      <w:sz w:val="16"/>
                      <w:szCs w:val="16"/>
                    </w:rPr>
                  </w:pPr>
                  <w:r>
                    <w:rPr>
                      <w:sz w:val="16"/>
                      <w:szCs w:val="16"/>
                    </w:rPr>
                    <w:t>28.71</w:t>
                  </w:r>
                </w:p>
              </w:tc>
              <w:tc>
                <w:tcPr>
                  <w:tcW w:w="807" w:type="dxa"/>
                </w:tcPr>
                <w:p w14:paraId="517A34C2" w14:textId="1B053B77" w:rsidR="00EB73D7" w:rsidRPr="00324315" w:rsidRDefault="00762275" w:rsidP="002D655C">
                  <w:pPr>
                    <w:rPr>
                      <w:sz w:val="16"/>
                      <w:szCs w:val="16"/>
                    </w:rPr>
                  </w:pPr>
                  <w:r>
                    <w:rPr>
                      <w:sz w:val="16"/>
                      <w:szCs w:val="16"/>
                    </w:rPr>
                    <w:t>18.98</w:t>
                  </w:r>
                </w:p>
              </w:tc>
            </w:tr>
            <w:tr w:rsidR="00EB73D7" w:rsidRPr="00324315" w14:paraId="7A94F7D3" w14:textId="77777777" w:rsidTr="002D655C">
              <w:tc>
                <w:tcPr>
                  <w:tcW w:w="2497" w:type="dxa"/>
                </w:tcPr>
                <w:p w14:paraId="2FB28519" w14:textId="77777777" w:rsidR="00EB73D7" w:rsidRPr="00324315" w:rsidRDefault="00EB73D7" w:rsidP="002D655C">
                  <w:pPr>
                    <w:rPr>
                      <w:sz w:val="16"/>
                      <w:szCs w:val="16"/>
                    </w:rPr>
                  </w:pPr>
                  <w:r w:rsidRPr="00324315">
                    <w:rPr>
                      <w:sz w:val="16"/>
                      <w:szCs w:val="16"/>
                    </w:rPr>
                    <w:t>Governance Disclosure Score</w:t>
                  </w:r>
                </w:p>
              </w:tc>
              <w:tc>
                <w:tcPr>
                  <w:tcW w:w="862" w:type="dxa"/>
                </w:tcPr>
                <w:p w14:paraId="6EA8E978" w14:textId="45045297" w:rsidR="00EB73D7" w:rsidRPr="00324315" w:rsidRDefault="00762275" w:rsidP="002D655C">
                  <w:pPr>
                    <w:rPr>
                      <w:sz w:val="16"/>
                      <w:szCs w:val="16"/>
                    </w:rPr>
                  </w:pPr>
                  <w:r>
                    <w:rPr>
                      <w:sz w:val="16"/>
                      <w:szCs w:val="16"/>
                    </w:rPr>
                    <w:t>55.36</w:t>
                  </w:r>
                </w:p>
              </w:tc>
              <w:tc>
                <w:tcPr>
                  <w:tcW w:w="807" w:type="dxa"/>
                </w:tcPr>
                <w:p w14:paraId="6111952E" w14:textId="16A965F6" w:rsidR="00EB73D7" w:rsidRPr="00324315" w:rsidRDefault="00762275" w:rsidP="002D655C">
                  <w:pPr>
                    <w:rPr>
                      <w:sz w:val="16"/>
                      <w:szCs w:val="16"/>
                    </w:rPr>
                  </w:pPr>
                  <w:r>
                    <w:rPr>
                      <w:sz w:val="16"/>
                      <w:szCs w:val="16"/>
                    </w:rPr>
                    <w:t>49.64</w:t>
                  </w:r>
                </w:p>
              </w:tc>
            </w:tr>
            <w:tr w:rsidR="00EB73D7" w:rsidRPr="00324315" w14:paraId="4A0DF326" w14:textId="77777777" w:rsidTr="002D655C">
              <w:tc>
                <w:tcPr>
                  <w:tcW w:w="2497" w:type="dxa"/>
                </w:tcPr>
                <w:p w14:paraId="3FF44BFE" w14:textId="77777777" w:rsidR="00EB73D7" w:rsidRPr="00324315" w:rsidRDefault="00EB73D7" w:rsidP="002D655C">
                  <w:pPr>
                    <w:rPr>
                      <w:sz w:val="16"/>
                      <w:szCs w:val="16"/>
                    </w:rPr>
                  </w:pPr>
                  <w:r w:rsidRPr="00324315">
                    <w:rPr>
                      <w:sz w:val="16"/>
                      <w:szCs w:val="16"/>
                    </w:rPr>
                    <w:t>Social Disclosure Score</w:t>
                  </w:r>
                </w:p>
              </w:tc>
              <w:tc>
                <w:tcPr>
                  <w:tcW w:w="862" w:type="dxa"/>
                </w:tcPr>
                <w:p w14:paraId="1A14304F" w14:textId="55E09F87" w:rsidR="00EB73D7" w:rsidRPr="00324315" w:rsidRDefault="00762275" w:rsidP="002D655C">
                  <w:pPr>
                    <w:rPr>
                      <w:sz w:val="16"/>
                      <w:szCs w:val="16"/>
                    </w:rPr>
                  </w:pPr>
                  <w:r>
                    <w:rPr>
                      <w:sz w:val="16"/>
                      <w:szCs w:val="16"/>
                    </w:rPr>
                    <w:t>24.56</w:t>
                  </w:r>
                </w:p>
              </w:tc>
              <w:tc>
                <w:tcPr>
                  <w:tcW w:w="807" w:type="dxa"/>
                </w:tcPr>
                <w:p w14:paraId="138E02CB" w14:textId="10AC2447" w:rsidR="00EB73D7" w:rsidRPr="00324315" w:rsidRDefault="00762275" w:rsidP="002D655C">
                  <w:pPr>
                    <w:rPr>
                      <w:sz w:val="16"/>
                      <w:szCs w:val="16"/>
                    </w:rPr>
                  </w:pPr>
                  <w:r>
                    <w:rPr>
                      <w:sz w:val="16"/>
                      <w:szCs w:val="16"/>
                    </w:rPr>
                    <w:t>31.58</w:t>
                  </w:r>
                </w:p>
              </w:tc>
            </w:tr>
            <w:tr w:rsidR="00EB73D7" w:rsidRPr="00324315" w14:paraId="390BAB0E" w14:textId="77777777" w:rsidTr="002D655C">
              <w:tc>
                <w:tcPr>
                  <w:tcW w:w="2497" w:type="dxa"/>
                </w:tcPr>
                <w:p w14:paraId="1435C4A3" w14:textId="77777777" w:rsidR="00EB73D7" w:rsidRPr="00324315" w:rsidRDefault="00EB73D7" w:rsidP="002D655C">
                  <w:pPr>
                    <w:rPr>
                      <w:sz w:val="16"/>
                      <w:szCs w:val="16"/>
                    </w:rPr>
                  </w:pPr>
                  <w:r w:rsidRPr="00324315">
                    <w:rPr>
                      <w:sz w:val="16"/>
                      <w:szCs w:val="16"/>
                    </w:rPr>
                    <w:t>Environmental Disclosure Score</w:t>
                  </w:r>
                </w:p>
              </w:tc>
              <w:tc>
                <w:tcPr>
                  <w:tcW w:w="862" w:type="dxa"/>
                </w:tcPr>
                <w:p w14:paraId="6DC54DCB" w14:textId="71DBC0E3" w:rsidR="00EB73D7" w:rsidRPr="00324315" w:rsidRDefault="00762275" w:rsidP="002D655C">
                  <w:pPr>
                    <w:rPr>
                      <w:sz w:val="16"/>
                      <w:szCs w:val="16"/>
                    </w:rPr>
                  </w:pPr>
                  <w:r>
                    <w:rPr>
                      <w:sz w:val="16"/>
                      <w:szCs w:val="16"/>
                    </w:rPr>
                    <w:t>15.63</w:t>
                  </w:r>
                </w:p>
              </w:tc>
              <w:tc>
                <w:tcPr>
                  <w:tcW w:w="807" w:type="dxa"/>
                </w:tcPr>
                <w:p w14:paraId="454667DF" w14:textId="737D04A2" w:rsidR="00EB73D7" w:rsidRPr="00324315" w:rsidRDefault="00762275" w:rsidP="002D655C">
                  <w:pPr>
                    <w:rPr>
                      <w:sz w:val="16"/>
                      <w:szCs w:val="16"/>
                    </w:rPr>
                  </w:pPr>
                  <w:r>
                    <w:rPr>
                      <w:sz w:val="16"/>
                      <w:szCs w:val="16"/>
                    </w:rPr>
                    <w:t>14.06</w:t>
                  </w:r>
                </w:p>
              </w:tc>
            </w:tr>
          </w:tbl>
          <w:p w14:paraId="62EFF545" w14:textId="3231CE36" w:rsidR="009F0D12" w:rsidRPr="00324315" w:rsidRDefault="00762275" w:rsidP="0010720B">
            <w:pPr>
              <w:jc w:val="both"/>
              <w:rPr>
                <w:b/>
                <w:sz w:val="16"/>
                <w:szCs w:val="16"/>
                <w:lang w:eastAsia="zh-CN"/>
              </w:rPr>
            </w:pPr>
            <w:r>
              <w:rPr>
                <w:b/>
                <w:sz w:val="16"/>
                <w:szCs w:val="16"/>
              </w:rPr>
              <w:t>Prepared By: Akhil Sood, 02/17</w:t>
            </w:r>
            <w:r w:rsidR="00632652" w:rsidRPr="00324315">
              <w:rPr>
                <w:b/>
                <w:sz w:val="16"/>
                <w:szCs w:val="16"/>
              </w:rPr>
              <w:t>/2016</w:t>
            </w:r>
          </w:p>
        </w:tc>
      </w:tr>
    </w:tbl>
    <w:p w14:paraId="30BD3E9A" w14:textId="77777777" w:rsidR="00AD0D1F" w:rsidRDefault="00AD0D1F" w:rsidP="00AD0D1F">
      <w:pPr>
        <w:ind w:left="-41"/>
        <w:rPr>
          <w:rFonts w:eastAsia="Times New Roman" w:cs="Times New Roman"/>
          <w:sz w:val="16"/>
          <w:szCs w:val="16"/>
        </w:rPr>
      </w:pPr>
    </w:p>
    <w:p w14:paraId="21982017" w14:textId="77777777" w:rsidR="00AD0D1F" w:rsidRDefault="00AD0D1F" w:rsidP="00AD0D1F">
      <w:pPr>
        <w:ind w:left="-41"/>
        <w:rPr>
          <w:rFonts w:eastAsia="Times New Roman" w:cs="Times New Roman"/>
          <w:sz w:val="16"/>
          <w:szCs w:val="16"/>
        </w:rPr>
      </w:pPr>
    </w:p>
    <w:p w14:paraId="6413CAD9" w14:textId="77777777" w:rsidR="00AD0D1F" w:rsidRPr="00AD0D1F" w:rsidRDefault="00AD0D1F" w:rsidP="00AD0D1F">
      <w:pPr>
        <w:ind w:left="-41"/>
        <w:rPr>
          <w:rFonts w:eastAsia="Times New Roman" w:cs="Times New Roman"/>
          <w:sz w:val="16"/>
          <w:szCs w:val="16"/>
        </w:rPr>
      </w:pPr>
      <w:bookmarkStart w:id="0" w:name="_GoBack"/>
      <w:bookmarkEnd w:id="0"/>
    </w:p>
    <w:p w14:paraId="0E62931F" w14:textId="77777777" w:rsidR="00AD0D1F" w:rsidRPr="00547D0B" w:rsidRDefault="00AD0D1F" w:rsidP="00AD0D1F">
      <w:pPr>
        <w:pStyle w:val="ListParagraph"/>
        <w:numPr>
          <w:ilvl w:val="0"/>
          <w:numId w:val="10"/>
        </w:numPr>
        <w:ind w:left="319"/>
        <w:rPr>
          <w:rFonts w:eastAsia="Times New Roman" w:cs="Times New Roman"/>
          <w:sz w:val="16"/>
          <w:szCs w:val="16"/>
        </w:rPr>
      </w:pPr>
      <w:r>
        <w:rPr>
          <w:sz w:val="16"/>
          <w:szCs w:val="16"/>
        </w:rPr>
        <w:lastRenderedPageBreak/>
        <w:t>N</w:t>
      </w:r>
      <w:r w:rsidRPr="00994DCA">
        <w:rPr>
          <w:sz w:val="16"/>
          <w:szCs w:val="16"/>
        </w:rPr>
        <w:t>et sales</w:t>
      </w:r>
      <w:r>
        <w:rPr>
          <w:sz w:val="16"/>
          <w:szCs w:val="16"/>
        </w:rPr>
        <w:t xml:space="preserve"> are expected</w:t>
      </w:r>
      <w:r w:rsidRPr="00994DCA">
        <w:rPr>
          <w:sz w:val="16"/>
          <w:szCs w:val="16"/>
        </w:rPr>
        <w:t xml:space="preserve"> to increase 5.6% in FY 16 (Jan.) -- after some foreign currency headwinds -- and 6.9% in FY 17</w:t>
      </w:r>
    </w:p>
    <w:p w14:paraId="76B2BA31" w14:textId="77777777" w:rsidR="00AD0D1F" w:rsidRPr="00547D0B" w:rsidRDefault="00AD0D1F" w:rsidP="00AD0D1F">
      <w:pPr>
        <w:pStyle w:val="ListParagraph"/>
        <w:numPr>
          <w:ilvl w:val="0"/>
          <w:numId w:val="10"/>
        </w:numPr>
        <w:ind w:left="319"/>
        <w:rPr>
          <w:rFonts w:eastAsia="Times New Roman" w:cs="Times New Roman"/>
          <w:sz w:val="16"/>
          <w:szCs w:val="16"/>
        </w:rPr>
      </w:pPr>
      <w:r w:rsidRPr="00547D0B">
        <w:rPr>
          <w:rFonts w:eastAsia="Times New Roman" w:cs="Arial"/>
          <w:color w:val="000000"/>
          <w:sz w:val="16"/>
          <w:szCs w:val="16"/>
          <w:shd w:val="clear" w:color="auto" w:fill="FFFFFF"/>
        </w:rPr>
        <w:t>Over the long term, it sees an opportunity to grow its store base by more than 50% to almost 5,500 locations across the U.S., Europe and Canada.</w:t>
      </w:r>
    </w:p>
    <w:p w14:paraId="419DD0E7" w14:textId="77777777" w:rsidR="00AD0D1F" w:rsidRPr="003464F4" w:rsidRDefault="00AD0D1F" w:rsidP="00AD0D1F">
      <w:pPr>
        <w:pStyle w:val="ListParagraph"/>
        <w:numPr>
          <w:ilvl w:val="0"/>
          <w:numId w:val="14"/>
        </w:numPr>
        <w:ind w:left="319"/>
        <w:rPr>
          <w:rFonts w:eastAsia="Times New Roman" w:cs="Times New Roman"/>
          <w:sz w:val="16"/>
          <w:szCs w:val="16"/>
        </w:rPr>
      </w:pPr>
      <w:r w:rsidRPr="003464F4">
        <w:rPr>
          <w:rFonts w:eastAsia="Times New Roman" w:cs="Arial"/>
          <w:color w:val="000000"/>
          <w:sz w:val="16"/>
          <w:szCs w:val="16"/>
          <w:shd w:val="clear" w:color="auto" w:fill="FFFFFF"/>
        </w:rPr>
        <w:t xml:space="preserve">In October 2015, the company acquired </w:t>
      </w:r>
      <w:r w:rsidRPr="00547D0B">
        <w:rPr>
          <w:rFonts w:eastAsia="Times New Roman" w:cs="Arial"/>
          <w:color w:val="000000"/>
          <w:sz w:val="16"/>
          <w:szCs w:val="16"/>
          <w:highlight w:val="yellow"/>
          <w:shd w:val="clear" w:color="auto" w:fill="FFFFFF"/>
        </w:rPr>
        <w:t>Trade secrets</w:t>
      </w:r>
      <w:r w:rsidRPr="003464F4">
        <w:rPr>
          <w:rFonts w:eastAsia="Times New Roman" w:cs="Arial"/>
          <w:color w:val="000000"/>
          <w:sz w:val="16"/>
          <w:szCs w:val="16"/>
          <w:shd w:val="clear" w:color="auto" w:fill="FFFFFF"/>
        </w:rPr>
        <w:t>, an off-price retailer that operates 35 stores in Australia - for AUD $80 million (about US$59 million).</w:t>
      </w:r>
    </w:p>
    <w:p w14:paraId="5E64055C" w14:textId="77777777" w:rsidR="00AD0D1F" w:rsidRPr="00547D0B" w:rsidRDefault="00AD0D1F" w:rsidP="00AD0D1F">
      <w:pPr>
        <w:pStyle w:val="ListParagraph"/>
        <w:numPr>
          <w:ilvl w:val="0"/>
          <w:numId w:val="10"/>
        </w:numPr>
        <w:ind w:left="319"/>
        <w:rPr>
          <w:rFonts w:eastAsia="Times New Roman" w:cs="Times New Roman"/>
          <w:sz w:val="16"/>
          <w:szCs w:val="16"/>
        </w:rPr>
      </w:pPr>
      <w:r w:rsidRPr="003464F4">
        <w:rPr>
          <w:rFonts w:eastAsia="Times New Roman" w:cs="Arial"/>
          <w:color w:val="000000"/>
          <w:sz w:val="16"/>
          <w:szCs w:val="16"/>
          <w:shd w:val="clear" w:color="auto" w:fill="FFFFFF"/>
        </w:rPr>
        <w:t xml:space="preserve">TJX recently </w:t>
      </w:r>
      <w:r w:rsidRPr="00547D0B">
        <w:rPr>
          <w:rFonts w:eastAsia="Times New Roman" w:cs="Arial"/>
          <w:color w:val="000000"/>
          <w:sz w:val="16"/>
          <w:szCs w:val="16"/>
          <w:highlight w:val="yellow"/>
          <w:shd w:val="clear" w:color="auto" w:fill="FFFFFF"/>
        </w:rPr>
        <w:t>held about $2.1 billion in cash</w:t>
      </w:r>
      <w:r w:rsidRPr="003464F4">
        <w:rPr>
          <w:rFonts w:eastAsia="Times New Roman" w:cs="Arial"/>
          <w:color w:val="000000"/>
          <w:sz w:val="16"/>
          <w:szCs w:val="16"/>
          <w:shd w:val="clear" w:color="auto" w:fill="FFFFFF"/>
        </w:rPr>
        <w:t xml:space="preserve"> (over $3.10 a share), with a 1.2% dividend yield also adding to total return.</w:t>
      </w:r>
    </w:p>
    <w:p w14:paraId="3E2E734A" w14:textId="77777777" w:rsidR="00AD0D1F" w:rsidRPr="00547D0B" w:rsidRDefault="00AD0D1F" w:rsidP="00AD0D1F">
      <w:pPr>
        <w:pStyle w:val="ListParagraph"/>
        <w:numPr>
          <w:ilvl w:val="0"/>
          <w:numId w:val="10"/>
        </w:numPr>
        <w:ind w:left="319"/>
        <w:rPr>
          <w:rFonts w:eastAsia="Times New Roman" w:cs="Times New Roman"/>
          <w:sz w:val="16"/>
          <w:szCs w:val="16"/>
        </w:rPr>
      </w:pPr>
      <w:r w:rsidRPr="00573A72">
        <w:rPr>
          <w:rFonts w:eastAsia="Times New Roman" w:cs="Times New Roman"/>
          <w:color w:val="000000"/>
          <w:sz w:val="16"/>
          <w:szCs w:val="16"/>
          <w:shd w:val="clear" w:color="auto" w:fill="FFFFFF"/>
        </w:rPr>
        <w:t xml:space="preserve">Year-to-date we have retired 19.1 million </w:t>
      </w:r>
      <w:r w:rsidRPr="00547D0B">
        <w:rPr>
          <w:rFonts w:eastAsia="Times New Roman" w:cs="Times New Roman"/>
          <w:color w:val="000000"/>
          <w:sz w:val="16"/>
          <w:szCs w:val="16"/>
          <w:highlight w:val="yellow"/>
          <w:shd w:val="clear" w:color="auto" w:fill="FFFFFF"/>
        </w:rPr>
        <w:t>shares buying back 1.3 billion of stock</w:t>
      </w:r>
      <w:r w:rsidRPr="00573A72">
        <w:rPr>
          <w:rFonts w:eastAsia="Times New Roman" w:cs="Times New Roman"/>
          <w:color w:val="000000"/>
          <w:sz w:val="16"/>
          <w:szCs w:val="16"/>
          <w:shd w:val="clear" w:color="auto" w:fill="FFFFFF"/>
        </w:rPr>
        <w:t>. We continue to anticipate buying back 1.8 billion to 1.9 billion of TJX stock this yea</w:t>
      </w:r>
      <w:r>
        <w:rPr>
          <w:rFonts w:eastAsia="Times New Roman" w:cs="Times New Roman"/>
          <w:color w:val="000000"/>
          <w:sz w:val="16"/>
          <w:szCs w:val="16"/>
          <w:shd w:val="clear" w:color="auto" w:fill="FFFFFF"/>
        </w:rPr>
        <w:t>r</w:t>
      </w:r>
    </w:p>
    <w:p w14:paraId="1709A1B2" w14:textId="77777777" w:rsidR="00AD0D1F" w:rsidRPr="00547D0B" w:rsidRDefault="00AD0D1F" w:rsidP="00AD0D1F">
      <w:pPr>
        <w:pStyle w:val="ListParagraph"/>
        <w:numPr>
          <w:ilvl w:val="0"/>
          <w:numId w:val="10"/>
        </w:numPr>
        <w:ind w:left="319"/>
        <w:rPr>
          <w:rFonts w:ascii="Arial" w:eastAsia="Times New Roman" w:hAnsi="Arial" w:cs="Arial"/>
          <w:color w:val="000000"/>
          <w:sz w:val="18"/>
          <w:szCs w:val="18"/>
          <w:shd w:val="clear" w:color="auto" w:fill="FFFFFF"/>
        </w:rPr>
      </w:pPr>
      <w:r w:rsidRPr="00547D0B">
        <w:rPr>
          <w:rFonts w:ascii="Arial" w:eastAsia="Times New Roman" w:hAnsi="Arial" w:cs="Arial"/>
          <w:color w:val="000000"/>
          <w:sz w:val="18"/>
          <w:szCs w:val="18"/>
          <w:shd w:val="clear" w:color="auto" w:fill="FFFFFF"/>
        </w:rPr>
        <w:t xml:space="preserve">growth in same-store sales (which have risen </w:t>
      </w:r>
      <w:r w:rsidRPr="00547D0B">
        <w:rPr>
          <w:rFonts w:ascii="Arial" w:eastAsia="Times New Roman" w:hAnsi="Arial" w:cs="Arial"/>
          <w:color w:val="000000"/>
          <w:sz w:val="18"/>
          <w:szCs w:val="18"/>
          <w:highlight w:val="yellow"/>
          <w:shd w:val="clear" w:color="auto" w:fill="FFFFFF"/>
        </w:rPr>
        <w:t>for 27 consecutive quarters</w:t>
      </w:r>
      <w:r w:rsidRPr="00547D0B">
        <w:rPr>
          <w:rFonts w:ascii="Arial" w:eastAsia="Times New Roman" w:hAnsi="Arial" w:cs="Arial"/>
          <w:color w:val="000000"/>
          <w:sz w:val="18"/>
          <w:szCs w:val="18"/>
          <w:shd w:val="clear" w:color="auto" w:fill="FFFFFF"/>
        </w:rPr>
        <w:t xml:space="preserve"> through October 31, 2015). </w:t>
      </w:r>
    </w:p>
    <w:p w14:paraId="678CEBE6" w14:textId="77777777" w:rsidR="00AD0D1F" w:rsidRPr="00547D0B" w:rsidRDefault="00AD0D1F" w:rsidP="00AD0D1F">
      <w:pPr>
        <w:pStyle w:val="ListParagraph"/>
        <w:numPr>
          <w:ilvl w:val="0"/>
          <w:numId w:val="10"/>
        </w:numPr>
        <w:ind w:left="319"/>
        <w:rPr>
          <w:rFonts w:ascii="Arial" w:eastAsia="Times New Roman" w:hAnsi="Arial" w:cs="Arial"/>
          <w:color w:val="000000"/>
          <w:sz w:val="18"/>
          <w:szCs w:val="18"/>
          <w:shd w:val="clear" w:color="auto" w:fill="FFFFFF"/>
        </w:rPr>
      </w:pPr>
      <w:r w:rsidRPr="00547D0B">
        <w:rPr>
          <w:rFonts w:ascii="Arial" w:eastAsia="Times New Roman" w:hAnsi="Arial" w:cs="Arial"/>
          <w:color w:val="000000"/>
          <w:sz w:val="18"/>
          <w:szCs w:val="18"/>
          <w:shd w:val="clear" w:color="auto" w:fill="FFFFFF"/>
        </w:rPr>
        <w:t>Value Line :</w:t>
      </w:r>
      <w:r w:rsidRPr="00547D0B">
        <w:t xml:space="preserve"> </w:t>
      </w:r>
      <w:r w:rsidRPr="00547D0B">
        <w:rPr>
          <w:rFonts w:ascii="Arial" w:eastAsia="Times New Roman" w:hAnsi="Arial" w:cs="Arial"/>
          <w:color w:val="000000"/>
          <w:sz w:val="18"/>
          <w:szCs w:val="18"/>
          <w:shd w:val="clear" w:color="auto" w:fill="FFFFFF"/>
        </w:rPr>
        <w:t>We think this stock will remain a relative outperformer for the coming six to 12 months.</w:t>
      </w:r>
      <w:r>
        <w:rPr>
          <w:rFonts w:ascii="Arial" w:eastAsia="Times New Roman" w:hAnsi="Arial" w:cs="Arial"/>
          <w:color w:val="000000"/>
          <w:sz w:val="18"/>
          <w:szCs w:val="18"/>
          <w:shd w:val="clear" w:color="auto" w:fill="FFFFFF"/>
        </w:rPr>
        <w:t xml:space="preserve"> </w:t>
      </w:r>
      <w:r w:rsidRPr="00547D0B">
        <w:rPr>
          <w:rFonts w:ascii="Arial" w:eastAsia="Times New Roman" w:hAnsi="Arial" w:cs="Arial"/>
          <w:color w:val="000000"/>
          <w:sz w:val="18"/>
          <w:szCs w:val="18"/>
          <w:shd w:val="clear" w:color="auto" w:fill="FFFFFF"/>
        </w:rPr>
        <w:t>It</w:t>
      </w:r>
      <w:r>
        <w:rPr>
          <w:rFonts w:ascii="Arial" w:eastAsia="Times New Roman" w:hAnsi="Arial" w:cs="Arial"/>
          <w:color w:val="000000"/>
          <w:sz w:val="18"/>
          <w:szCs w:val="18"/>
          <w:shd w:val="clear" w:color="auto" w:fill="FFFFFF"/>
        </w:rPr>
        <w:t xml:space="preserve">s risk profile is another plus. </w:t>
      </w:r>
      <w:r w:rsidRPr="00547D0B">
        <w:rPr>
          <w:rFonts w:ascii="Arial" w:eastAsia="Times New Roman" w:hAnsi="Arial" w:cs="Arial"/>
          <w:color w:val="000000"/>
          <w:sz w:val="18"/>
          <w:szCs w:val="18"/>
          <w:highlight w:val="yellow"/>
          <w:shd w:val="clear" w:color="auto" w:fill="FFFFFF"/>
        </w:rPr>
        <w:t>TJX is ranked 1 (Highest) for Safety</w:t>
      </w:r>
      <w:r w:rsidRPr="00547D0B">
        <w:rPr>
          <w:rFonts w:ascii="Arial" w:eastAsia="Times New Roman" w:hAnsi="Arial" w:cs="Arial"/>
          <w:color w:val="000000"/>
          <w:sz w:val="18"/>
          <w:szCs w:val="18"/>
          <w:shd w:val="clear" w:color="auto" w:fill="FFFFFF"/>
        </w:rPr>
        <w:t xml:space="preserve"> and</w:t>
      </w:r>
      <w:r>
        <w:rPr>
          <w:rFonts w:ascii="Arial" w:eastAsia="Times New Roman" w:hAnsi="Arial" w:cs="Arial"/>
          <w:color w:val="000000"/>
          <w:sz w:val="18"/>
          <w:szCs w:val="18"/>
          <w:shd w:val="clear" w:color="auto" w:fill="FFFFFF"/>
        </w:rPr>
        <w:t xml:space="preserve"> </w:t>
      </w:r>
      <w:r w:rsidRPr="00547D0B">
        <w:rPr>
          <w:rFonts w:ascii="Arial" w:eastAsia="Times New Roman" w:hAnsi="Arial" w:cs="Arial"/>
          <w:color w:val="000000"/>
          <w:sz w:val="18"/>
          <w:szCs w:val="18"/>
          <w:shd w:val="clear" w:color="auto" w:fill="FFFFFF"/>
        </w:rPr>
        <w:t>scores high marks for nearly every</w:t>
      </w:r>
      <w:r>
        <w:rPr>
          <w:rFonts w:ascii="Arial" w:eastAsia="Times New Roman" w:hAnsi="Arial" w:cs="Arial"/>
          <w:color w:val="000000"/>
          <w:sz w:val="18"/>
          <w:szCs w:val="18"/>
          <w:shd w:val="clear" w:color="auto" w:fill="FFFFFF"/>
        </w:rPr>
        <w:t xml:space="preserve"> </w:t>
      </w:r>
      <w:r w:rsidRPr="00547D0B">
        <w:rPr>
          <w:rFonts w:ascii="Arial" w:eastAsia="Times New Roman" w:hAnsi="Arial" w:cs="Arial"/>
          <w:color w:val="000000"/>
          <w:sz w:val="18"/>
          <w:szCs w:val="18"/>
          <w:shd w:val="clear" w:color="auto" w:fill="FFFFFF"/>
        </w:rPr>
        <w:t>stability indicator, including a well-below</w:t>
      </w:r>
      <w:r>
        <w:rPr>
          <w:rFonts w:ascii="Arial" w:eastAsia="Times New Roman" w:hAnsi="Arial" w:cs="Arial"/>
          <w:color w:val="000000"/>
          <w:sz w:val="18"/>
          <w:szCs w:val="18"/>
          <w:shd w:val="clear" w:color="auto" w:fill="FFFFFF"/>
        </w:rPr>
        <w:t xml:space="preserve"> </w:t>
      </w:r>
      <w:r w:rsidRPr="00547D0B">
        <w:rPr>
          <w:rFonts w:ascii="Arial" w:eastAsia="Times New Roman" w:hAnsi="Arial" w:cs="Arial"/>
          <w:color w:val="000000"/>
          <w:sz w:val="18"/>
          <w:szCs w:val="18"/>
          <w:shd w:val="clear" w:color="auto" w:fill="FFFFFF"/>
        </w:rPr>
        <w:t>average</w:t>
      </w:r>
      <w:r>
        <w:rPr>
          <w:rFonts w:ascii="Arial" w:eastAsia="Times New Roman" w:hAnsi="Arial" w:cs="Arial"/>
          <w:color w:val="000000"/>
          <w:sz w:val="18"/>
          <w:szCs w:val="18"/>
          <w:shd w:val="clear" w:color="auto" w:fill="FFFFFF"/>
        </w:rPr>
        <w:t xml:space="preserve"> </w:t>
      </w:r>
      <w:r w:rsidRPr="00547D0B">
        <w:rPr>
          <w:rFonts w:ascii="Arial" w:eastAsia="Times New Roman" w:hAnsi="Arial" w:cs="Arial"/>
          <w:color w:val="000000"/>
          <w:sz w:val="18"/>
          <w:szCs w:val="18"/>
          <w:shd w:val="clear" w:color="auto" w:fill="FFFFFF"/>
        </w:rPr>
        <w:t>Beta coefficient</w:t>
      </w:r>
    </w:p>
    <w:p w14:paraId="7F74F367" w14:textId="77777777" w:rsidR="00547D0B" w:rsidRDefault="00547D0B" w:rsidP="00D8492B">
      <w:pPr>
        <w:jc w:val="both"/>
        <w:rPr>
          <w:b/>
          <w:sz w:val="16"/>
          <w:szCs w:val="16"/>
          <w:lang w:eastAsia="zh-CN"/>
        </w:rPr>
      </w:pPr>
    </w:p>
    <w:p w14:paraId="66492B31" w14:textId="77777777" w:rsidR="00547D0B" w:rsidRPr="00324315" w:rsidRDefault="00547D0B" w:rsidP="00D8492B">
      <w:pPr>
        <w:jc w:val="both"/>
        <w:rPr>
          <w:b/>
          <w:sz w:val="16"/>
          <w:szCs w:val="16"/>
          <w:lang w:eastAsia="zh-CN"/>
        </w:rPr>
      </w:pPr>
    </w:p>
    <w:sectPr w:rsidR="00547D0B" w:rsidRPr="00324315" w:rsidSect="007E4065">
      <w:pgSz w:w="12240" w:h="15840"/>
      <w:pgMar w:top="252"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UniversLTStd-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8EE"/>
    <w:multiLevelType w:val="hybridMultilevel"/>
    <w:tmpl w:val="4C688184"/>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
    <w:nsid w:val="0899091C"/>
    <w:multiLevelType w:val="hybridMultilevel"/>
    <w:tmpl w:val="1C6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3F58"/>
    <w:multiLevelType w:val="hybridMultilevel"/>
    <w:tmpl w:val="BEA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74E35"/>
    <w:multiLevelType w:val="hybridMultilevel"/>
    <w:tmpl w:val="AC549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7317BD"/>
    <w:multiLevelType w:val="hybridMultilevel"/>
    <w:tmpl w:val="CA0E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1187B"/>
    <w:multiLevelType w:val="hybridMultilevel"/>
    <w:tmpl w:val="BD90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14C45"/>
    <w:multiLevelType w:val="hybridMultilevel"/>
    <w:tmpl w:val="8E6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B23CA"/>
    <w:multiLevelType w:val="hybridMultilevel"/>
    <w:tmpl w:val="6E6E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D323D"/>
    <w:multiLevelType w:val="hybridMultilevel"/>
    <w:tmpl w:val="2DC67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EA034D"/>
    <w:multiLevelType w:val="hybridMultilevel"/>
    <w:tmpl w:val="87B0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74E5F"/>
    <w:multiLevelType w:val="hybridMultilevel"/>
    <w:tmpl w:val="D33C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245C80"/>
    <w:multiLevelType w:val="hybridMultilevel"/>
    <w:tmpl w:val="6DC8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E24D0"/>
    <w:multiLevelType w:val="hybridMultilevel"/>
    <w:tmpl w:val="06CA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F5E15"/>
    <w:multiLevelType w:val="hybridMultilevel"/>
    <w:tmpl w:val="26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E07C3"/>
    <w:multiLevelType w:val="hybridMultilevel"/>
    <w:tmpl w:val="CA9C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5"/>
  </w:num>
  <w:num w:numId="4">
    <w:abstractNumId w:val="15"/>
  </w:num>
  <w:num w:numId="5">
    <w:abstractNumId w:val="8"/>
  </w:num>
  <w:num w:numId="6">
    <w:abstractNumId w:val="3"/>
  </w:num>
  <w:num w:numId="7">
    <w:abstractNumId w:val="4"/>
  </w:num>
  <w:num w:numId="8">
    <w:abstractNumId w:val="2"/>
  </w:num>
  <w:num w:numId="9">
    <w:abstractNumId w:val="10"/>
  </w:num>
  <w:num w:numId="10">
    <w:abstractNumId w:val="1"/>
  </w:num>
  <w:num w:numId="11">
    <w:abstractNumId w:val="9"/>
  </w:num>
  <w:num w:numId="12">
    <w:abstractNumId w:val="13"/>
  </w:num>
  <w:num w:numId="13">
    <w:abstractNumId w:val="7"/>
  </w:num>
  <w:num w:numId="14">
    <w:abstractNumId w:val="1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8"/>
    <w:rsid w:val="00012726"/>
    <w:rsid w:val="000145A7"/>
    <w:rsid w:val="00014EFE"/>
    <w:rsid w:val="00022508"/>
    <w:rsid w:val="00025A42"/>
    <w:rsid w:val="00026F5E"/>
    <w:rsid w:val="0003326A"/>
    <w:rsid w:val="00034A52"/>
    <w:rsid w:val="000528A3"/>
    <w:rsid w:val="00056CE9"/>
    <w:rsid w:val="00066CC4"/>
    <w:rsid w:val="00071F4F"/>
    <w:rsid w:val="00096901"/>
    <w:rsid w:val="000A0DE5"/>
    <w:rsid w:val="000E0407"/>
    <w:rsid w:val="000E0C3A"/>
    <w:rsid w:val="000F122E"/>
    <w:rsid w:val="0010720B"/>
    <w:rsid w:val="0012425D"/>
    <w:rsid w:val="0013182F"/>
    <w:rsid w:val="0013332F"/>
    <w:rsid w:val="0013365E"/>
    <w:rsid w:val="001366A3"/>
    <w:rsid w:val="0014778C"/>
    <w:rsid w:val="001903E3"/>
    <w:rsid w:val="00197A37"/>
    <w:rsid w:val="001A0951"/>
    <w:rsid w:val="001A4CD7"/>
    <w:rsid w:val="001A54DB"/>
    <w:rsid w:val="001C5C89"/>
    <w:rsid w:val="001D3CAE"/>
    <w:rsid w:val="001F411C"/>
    <w:rsid w:val="001F4C8C"/>
    <w:rsid w:val="001F5F59"/>
    <w:rsid w:val="002039D4"/>
    <w:rsid w:val="002105B2"/>
    <w:rsid w:val="00216841"/>
    <w:rsid w:val="00231ED5"/>
    <w:rsid w:val="00245DD4"/>
    <w:rsid w:val="002535D2"/>
    <w:rsid w:val="00254456"/>
    <w:rsid w:val="00263A2E"/>
    <w:rsid w:val="00274740"/>
    <w:rsid w:val="0029559F"/>
    <w:rsid w:val="002A0663"/>
    <w:rsid w:val="002B04FE"/>
    <w:rsid w:val="002D3CFC"/>
    <w:rsid w:val="002D655C"/>
    <w:rsid w:val="002E5ADC"/>
    <w:rsid w:val="002F062C"/>
    <w:rsid w:val="003073EA"/>
    <w:rsid w:val="003173DA"/>
    <w:rsid w:val="00324315"/>
    <w:rsid w:val="0033512A"/>
    <w:rsid w:val="003464F4"/>
    <w:rsid w:val="00357218"/>
    <w:rsid w:val="00371C05"/>
    <w:rsid w:val="00375DB5"/>
    <w:rsid w:val="00384388"/>
    <w:rsid w:val="00386A22"/>
    <w:rsid w:val="00392411"/>
    <w:rsid w:val="00392719"/>
    <w:rsid w:val="003A37CB"/>
    <w:rsid w:val="003B03E0"/>
    <w:rsid w:val="003B3070"/>
    <w:rsid w:val="003C3391"/>
    <w:rsid w:val="003C3EC1"/>
    <w:rsid w:val="003E5DB4"/>
    <w:rsid w:val="003E7CA1"/>
    <w:rsid w:val="003F11FA"/>
    <w:rsid w:val="003F1C8A"/>
    <w:rsid w:val="003F7FD3"/>
    <w:rsid w:val="00401063"/>
    <w:rsid w:val="00401E94"/>
    <w:rsid w:val="00417CC5"/>
    <w:rsid w:val="0043087B"/>
    <w:rsid w:val="00443ED9"/>
    <w:rsid w:val="00450C7B"/>
    <w:rsid w:val="00462682"/>
    <w:rsid w:val="00490C01"/>
    <w:rsid w:val="004D0C8F"/>
    <w:rsid w:val="004D3729"/>
    <w:rsid w:val="004D7282"/>
    <w:rsid w:val="004F2EAA"/>
    <w:rsid w:val="004F53DC"/>
    <w:rsid w:val="004F60B9"/>
    <w:rsid w:val="0050052A"/>
    <w:rsid w:val="00500BAE"/>
    <w:rsid w:val="00501519"/>
    <w:rsid w:val="00521066"/>
    <w:rsid w:val="00532418"/>
    <w:rsid w:val="00547B13"/>
    <w:rsid w:val="00547D0B"/>
    <w:rsid w:val="0056019E"/>
    <w:rsid w:val="00573A72"/>
    <w:rsid w:val="00575123"/>
    <w:rsid w:val="00597CA6"/>
    <w:rsid w:val="005A43A8"/>
    <w:rsid w:val="005D4654"/>
    <w:rsid w:val="005D533F"/>
    <w:rsid w:val="005E114B"/>
    <w:rsid w:val="005E2672"/>
    <w:rsid w:val="005E4CAC"/>
    <w:rsid w:val="005F606E"/>
    <w:rsid w:val="00600A80"/>
    <w:rsid w:val="00601444"/>
    <w:rsid w:val="0060598F"/>
    <w:rsid w:val="00630775"/>
    <w:rsid w:val="00632652"/>
    <w:rsid w:val="00667760"/>
    <w:rsid w:val="006710A0"/>
    <w:rsid w:val="00674795"/>
    <w:rsid w:val="006953F0"/>
    <w:rsid w:val="006A37B5"/>
    <w:rsid w:val="006A61A4"/>
    <w:rsid w:val="006B0A61"/>
    <w:rsid w:val="006C1408"/>
    <w:rsid w:val="006E2939"/>
    <w:rsid w:val="006E44B8"/>
    <w:rsid w:val="006E5EA1"/>
    <w:rsid w:val="006F05AC"/>
    <w:rsid w:val="00752BF4"/>
    <w:rsid w:val="00762275"/>
    <w:rsid w:val="0076327C"/>
    <w:rsid w:val="00767C5B"/>
    <w:rsid w:val="007814A0"/>
    <w:rsid w:val="00786CCC"/>
    <w:rsid w:val="007B2A6D"/>
    <w:rsid w:val="007B5FEC"/>
    <w:rsid w:val="007B6409"/>
    <w:rsid w:val="007B6D7D"/>
    <w:rsid w:val="007D12F0"/>
    <w:rsid w:val="007D4DEC"/>
    <w:rsid w:val="007E4065"/>
    <w:rsid w:val="007F4659"/>
    <w:rsid w:val="007F52E8"/>
    <w:rsid w:val="00804E00"/>
    <w:rsid w:val="00815FF3"/>
    <w:rsid w:val="00830F06"/>
    <w:rsid w:val="00832142"/>
    <w:rsid w:val="00835134"/>
    <w:rsid w:val="0085115D"/>
    <w:rsid w:val="00857BC1"/>
    <w:rsid w:val="008717C3"/>
    <w:rsid w:val="00874223"/>
    <w:rsid w:val="00874A7B"/>
    <w:rsid w:val="008B72AE"/>
    <w:rsid w:val="008C5D56"/>
    <w:rsid w:val="008D49EF"/>
    <w:rsid w:val="008F5A79"/>
    <w:rsid w:val="00900789"/>
    <w:rsid w:val="009007A6"/>
    <w:rsid w:val="00911AF8"/>
    <w:rsid w:val="00913FF8"/>
    <w:rsid w:val="00915605"/>
    <w:rsid w:val="00920D13"/>
    <w:rsid w:val="00923CAB"/>
    <w:rsid w:val="00927E43"/>
    <w:rsid w:val="00962135"/>
    <w:rsid w:val="0097552E"/>
    <w:rsid w:val="00994DCA"/>
    <w:rsid w:val="009C57C6"/>
    <w:rsid w:val="009D5A45"/>
    <w:rsid w:val="009D7A72"/>
    <w:rsid w:val="009F0830"/>
    <w:rsid w:val="009F0D12"/>
    <w:rsid w:val="009F2E51"/>
    <w:rsid w:val="00A10BEF"/>
    <w:rsid w:val="00A217ED"/>
    <w:rsid w:val="00A30926"/>
    <w:rsid w:val="00A56542"/>
    <w:rsid w:val="00A603A6"/>
    <w:rsid w:val="00A63E9D"/>
    <w:rsid w:val="00A717BA"/>
    <w:rsid w:val="00A8303B"/>
    <w:rsid w:val="00A8460D"/>
    <w:rsid w:val="00A85575"/>
    <w:rsid w:val="00AA0C48"/>
    <w:rsid w:val="00AA3F35"/>
    <w:rsid w:val="00AA5ED5"/>
    <w:rsid w:val="00AB003F"/>
    <w:rsid w:val="00AB159E"/>
    <w:rsid w:val="00AD0D1F"/>
    <w:rsid w:val="00B22327"/>
    <w:rsid w:val="00B335E6"/>
    <w:rsid w:val="00B502EC"/>
    <w:rsid w:val="00B52573"/>
    <w:rsid w:val="00B7642F"/>
    <w:rsid w:val="00B76988"/>
    <w:rsid w:val="00B94DBA"/>
    <w:rsid w:val="00BA6F89"/>
    <w:rsid w:val="00BA7CED"/>
    <w:rsid w:val="00BB3908"/>
    <w:rsid w:val="00BB61F8"/>
    <w:rsid w:val="00BC3AB4"/>
    <w:rsid w:val="00BC5E50"/>
    <w:rsid w:val="00BD4639"/>
    <w:rsid w:val="00BE10B7"/>
    <w:rsid w:val="00BF2DE5"/>
    <w:rsid w:val="00C15E83"/>
    <w:rsid w:val="00C161B3"/>
    <w:rsid w:val="00C2195E"/>
    <w:rsid w:val="00C236CF"/>
    <w:rsid w:val="00C3320D"/>
    <w:rsid w:val="00C352F3"/>
    <w:rsid w:val="00C441B3"/>
    <w:rsid w:val="00C60355"/>
    <w:rsid w:val="00C9117C"/>
    <w:rsid w:val="00C97C4E"/>
    <w:rsid w:val="00CA7C70"/>
    <w:rsid w:val="00CC0565"/>
    <w:rsid w:val="00CE4435"/>
    <w:rsid w:val="00CF27D4"/>
    <w:rsid w:val="00CF2F28"/>
    <w:rsid w:val="00D04F99"/>
    <w:rsid w:val="00D0612C"/>
    <w:rsid w:val="00D16B81"/>
    <w:rsid w:val="00D363A8"/>
    <w:rsid w:val="00D570FE"/>
    <w:rsid w:val="00D636EF"/>
    <w:rsid w:val="00D8492B"/>
    <w:rsid w:val="00DA56AC"/>
    <w:rsid w:val="00DB5A10"/>
    <w:rsid w:val="00DB5E73"/>
    <w:rsid w:val="00DB7B0E"/>
    <w:rsid w:val="00DF0D9C"/>
    <w:rsid w:val="00E045F0"/>
    <w:rsid w:val="00E14AC6"/>
    <w:rsid w:val="00E15185"/>
    <w:rsid w:val="00E349B1"/>
    <w:rsid w:val="00E3542E"/>
    <w:rsid w:val="00E36165"/>
    <w:rsid w:val="00E51FAC"/>
    <w:rsid w:val="00E5675C"/>
    <w:rsid w:val="00E6009F"/>
    <w:rsid w:val="00E642EE"/>
    <w:rsid w:val="00E8555E"/>
    <w:rsid w:val="00E90970"/>
    <w:rsid w:val="00E96657"/>
    <w:rsid w:val="00E96739"/>
    <w:rsid w:val="00EA31B0"/>
    <w:rsid w:val="00EA5213"/>
    <w:rsid w:val="00EB73D7"/>
    <w:rsid w:val="00EB7E76"/>
    <w:rsid w:val="00EC2755"/>
    <w:rsid w:val="00EC75B4"/>
    <w:rsid w:val="00ED68A2"/>
    <w:rsid w:val="00EF1E8D"/>
    <w:rsid w:val="00F01A06"/>
    <w:rsid w:val="00F04E1E"/>
    <w:rsid w:val="00F272C6"/>
    <w:rsid w:val="00F31E0C"/>
    <w:rsid w:val="00F33587"/>
    <w:rsid w:val="00F56067"/>
    <w:rsid w:val="00F56E16"/>
    <w:rsid w:val="00F65A7F"/>
    <w:rsid w:val="00F75698"/>
    <w:rsid w:val="00F77D0C"/>
    <w:rsid w:val="00F818EA"/>
    <w:rsid w:val="00F856C9"/>
    <w:rsid w:val="00F92EDE"/>
    <w:rsid w:val="00F96F5E"/>
    <w:rsid w:val="00FA288F"/>
    <w:rsid w:val="00FA5BBC"/>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3AB7257A-FD9F-4599-AA03-B18F53A5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semiHidden/>
    <w:unhideWhenUsed/>
    <w:rsid w:val="00D8492B"/>
    <w:rPr>
      <w:rFonts w:ascii="Times New Roman" w:hAnsi="Times New Roman" w:cs="Times New Roman"/>
    </w:rPr>
  </w:style>
  <w:style w:type="character" w:customStyle="1" w:styleId="apple-converted-space">
    <w:name w:val="apple-converted-space"/>
    <w:basedOn w:val="DefaultParagraphFont"/>
    <w:rsid w:val="00601444"/>
  </w:style>
  <w:style w:type="character" w:styleId="Hyperlink">
    <w:name w:val="Hyperlink"/>
    <w:basedOn w:val="DefaultParagraphFont"/>
    <w:uiPriority w:val="99"/>
    <w:semiHidden/>
    <w:unhideWhenUsed/>
    <w:rsid w:val="00600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053">
      <w:bodyDiv w:val="1"/>
      <w:marLeft w:val="0"/>
      <w:marRight w:val="0"/>
      <w:marTop w:val="0"/>
      <w:marBottom w:val="0"/>
      <w:divBdr>
        <w:top w:val="none" w:sz="0" w:space="0" w:color="auto"/>
        <w:left w:val="none" w:sz="0" w:space="0" w:color="auto"/>
        <w:bottom w:val="none" w:sz="0" w:space="0" w:color="auto"/>
        <w:right w:val="none" w:sz="0" w:space="0" w:color="auto"/>
      </w:divBdr>
    </w:div>
    <w:div w:id="104153600">
      <w:bodyDiv w:val="1"/>
      <w:marLeft w:val="0"/>
      <w:marRight w:val="0"/>
      <w:marTop w:val="0"/>
      <w:marBottom w:val="0"/>
      <w:divBdr>
        <w:top w:val="none" w:sz="0" w:space="0" w:color="auto"/>
        <w:left w:val="none" w:sz="0" w:space="0" w:color="auto"/>
        <w:bottom w:val="none" w:sz="0" w:space="0" w:color="auto"/>
        <w:right w:val="none" w:sz="0" w:space="0" w:color="auto"/>
      </w:divBdr>
      <w:divsChild>
        <w:div w:id="1172987387">
          <w:marLeft w:val="0"/>
          <w:marRight w:val="0"/>
          <w:marTop w:val="0"/>
          <w:marBottom w:val="0"/>
          <w:divBdr>
            <w:top w:val="none" w:sz="0" w:space="0" w:color="auto"/>
            <w:left w:val="none" w:sz="0" w:space="0" w:color="auto"/>
            <w:bottom w:val="none" w:sz="0" w:space="0" w:color="auto"/>
            <w:right w:val="none" w:sz="0" w:space="0" w:color="auto"/>
          </w:divBdr>
          <w:divsChild>
            <w:div w:id="984772771">
              <w:marLeft w:val="0"/>
              <w:marRight w:val="0"/>
              <w:marTop w:val="0"/>
              <w:marBottom w:val="0"/>
              <w:divBdr>
                <w:top w:val="none" w:sz="0" w:space="0" w:color="auto"/>
                <w:left w:val="none" w:sz="0" w:space="0" w:color="auto"/>
                <w:bottom w:val="none" w:sz="0" w:space="0" w:color="auto"/>
                <w:right w:val="none" w:sz="0" w:space="0" w:color="auto"/>
              </w:divBdr>
              <w:divsChild>
                <w:div w:id="680930212">
                  <w:marLeft w:val="0"/>
                  <w:marRight w:val="0"/>
                  <w:marTop w:val="0"/>
                  <w:marBottom w:val="0"/>
                  <w:divBdr>
                    <w:top w:val="none" w:sz="0" w:space="0" w:color="auto"/>
                    <w:left w:val="none" w:sz="0" w:space="0" w:color="auto"/>
                    <w:bottom w:val="none" w:sz="0" w:space="0" w:color="auto"/>
                    <w:right w:val="none" w:sz="0" w:space="0" w:color="auto"/>
                  </w:divBdr>
                  <w:divsChild>
                    <w:div w:id="10576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2245">
      <w:bodyDiv w:val="1"/>
      <w:marLeft w:val="0"/>
      <w:marRight w:val="0"/>
      <w:marTop w:val="0"/>
      <w:marBottom w:val="0"/>
      <w:divBdr>
        <w:top w:val="none" w:sz="0" w:space="0" w:color="auto"/>
        <w:left w:val="none" w:sz="0" w:space="0" w:color="auto"/>
        <w:bottom w:val="none" w:sz="0" w:space="0" w:color="auto"/>
        <w:right w:val="none" w:sz="0" w:space="0" w:color="auto"/>
      </w:divBdr>
      <w:divsChild>
        <w:div w:id="1587835805">
          <w:marLeft w:val="0"/>
          <w:marRight w:val="0"/>
          <w:marTop w:val="0"/>
          <w:marBottom w:val="0"/>
          <w:divBdr>
            <w:top w:val="none" w:sz="0" w:space="0" w:color="auto"/>
            <w:left w:val="none" w:sz="0" w:space="0" w:color="auto"/>
            <w:bottom w:val="none" w:sz="0" w:space="0" w:color="auto"/>
            <w:right w:val="none" w:sz="0" w:space="0" w:color="auto"/>
          </w:divBdr>
          <w:divsChild>
            <w:div w:id="1725566102">
              <w:marLeft w:val="0"/>
              <w:marRight w:val="0"/>
              <w:marTop w:val="0"/>
              <w:marBottom w:val="0"/>
              <w:divBdr>
                <w:top w:val="none" w:sz="0" w:space="0" w:color="auto"/>
                <w:left w:val="none" w:sz="0" w:space="0" w:color="auto"/>
                <w:bottom w:val="none" w:sz="0" w:space="0" w:color="auto"/>
                <w:right w:val="none" w:sz="0" w:space="0" w:color="auto"/>
              </w:divBdr>
              <w:divsChild>
                <w:div w:id="1553007555">
                  <w:marLeft w:val="0"/>
                  <w:marRight w:val="0"/>
                  <w:marTop w:val="0"/>
                  <w:marBottom w:val="0"/>
                  <w:divBdr>
                    <w:top w:val="none" w:sz="0" w:space="0" w:color="auto"/>
                    <w:left w:val="none" w:sz="0" w:space="0" w:color="auto"/>
                    <w:bottom w:val="none" w:sz="0" w:space="0" w:color="auto"/>
                    <w:right w:val="none" w:sz="0" w:space="0" w:color="auto"/>
                  </w:divBdr>
                  <w:divsChild>
                    <w:div w:id="3877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89214">
      <w:bodyDiv w:val="1"/>
      <w:marLeft w:val="0"/>
      <w:marRight w:val="0"/>
      <w:marTop w:val="0"/>
      <w:marBottom w:val="0"/>
      <w:divBdr>
        <w:top w:val="none" w:sz="0" w:space="0" w:color="auto"/>
        <w:left w:val="none" w:sz="0" w:space="0" w:color="auto"/>
        <w:bottom w:val="none" w:sz="0" w:space="0" w:color="auto"/>
        <w:right w:val="none" w:sz="0" w:space="0" w:color="auto"/>
      </w:divBdr>
    </w:div>
    <w:div w:id="237909719">
      <w:bodyDiv w:val="1"/>
      <w:marLeft w:val="0"/>
      <w:marRight w:val="0"/>
      <w:marTop w:val="0"/>
      <w:marBottom w:val="0"/>
      <w:divBdr>
        <w:top w:val="none" w:sz="0" w:space="0" w:color="auto"/>
        <w:left w:val="none" w:sz="0" w:space="0" w:color="auto"/>
        <w:bottom w:val="none" w:sz="0" w:space="0" w:color="auto"/>
        <w:right w:val="none" w:sz="0" w:space="0" w:color="auto"/>
      </w:divBdr>
    </w:div>
    <w:div w:id="339623579">
      <w:bodyDiv w:val="1"/>
      <w:marLeft w:val="0"/>
      <w:marRight w:val="0"/>
      <w:marTop w:val="0"/>
      <w:marBottom w:val="0"/>
      <w:divBdr>
        <w:top w:val="none" w:sz="0" w:space="0" w:color="auto"/>
        <w:left w:val="none" w:sz="0" w:space="0" w:color="auto"/>
        <w:bottom w:val="none" w:sz="0" w:space="0" w:color="auto"/>
        <w:right w:val="none" w:sz="0" w:space="0" w:color="auto"/>
      </w:divBdr>
      <w:divsChild>
        <w:div w:id="500781612">
          <w:marLeft w:val="0"/>
          <w:marRight w:val="0"/>
          <w:marTop w:val="0"/>
          <w:marBottom w:val="0"/>
          <w:divBdr>
            <w:top w:val="none" w:sz="0" w:space="0" w:color="auto"/>
            <w:left w:val="none" w:sz="0" w:space="0" w:color="auto"/>
            <w:bottom w:val="none" w:sz="0" w:space="0" w:color="auto"/>
            <w:right w:val="none" w:sz="0" w:space="0" w:color="auto"/>
          </w:divBdr>
          <w:divsChild>
            <w:div w:id="237834088">
              <w:marLeft w:val="0"/>
              <w:marRight w:val="0"/>
              <w:marTop w:val="0"/>
              <w:marBottom w:val="0"/>
              <w:divBdr>
                <w:top w:val="none" w:sz="0" w:space="0" w:color="auto"/>
                <w:left w:val="none" w:sz="0" w:space="0" w:color="auto"/>
                <w:bottom w:val="none" w:sz="0" w:space="0" w:color="auto"/>
                <w:right w:val="none" w:sz="0" w:space="0" w:color="auto"/>
              </w:divBdr>
              <w:divsChild>
                <w:div w:id="1181551780">
                  <w:marLeft w:val="0"/>
                  <w:marRight w:val="0"/>
                  <w:marTop w:val="0"/>
                  <w:marBottom w:val="0"/>
                  <w:divBdr>
                    <w:top w:val="none" w:sz="0" w:space="0" w:color="auto"/>
                    <w:left w:val="none" w:sz="0" w:space="0" w:color="auto"/>
                    <w:bottom w:val="none" w:sz="0" w:space="0" w:color="auto"/>
                    <w:right w:val="none" w:sz="0" w:space="0" w:color="auto"/>
                  </w:divBdr>
                  <w:divsChild>
                    <w:div w:id="1673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0699">
      <w:bodyDiv w:val="1"/>
      <w:marLeft w:val="0"/>
      <w:marRight w:val="0"/>
      <w:marTop w:val="0"/>
      <w:marBottom w:val="0"/>
      <w:divBdr>
        <w:top w:val="none" w:sz="0" w:space="0" w:color="auto"/>
        <w:left w:val="none" w:sz="0" w:space="0" w:color="auto"/>
        <w:bottom w:val="none" w:sz="0" w:space="0" w:color="auto"/>
        <w:right w:val="none" w:sz="0" w:space="0" w:color="auto"/>
      </w:divBdr>
    </w:div>
    <w:div w:id="548105220">
      <w:bodyDiv w:val="1"/>
      <w:marLeft w:val="0"/>
      <w:marRight w:val="0"/>
      <w:marTop w:val="0"/>
      <w:marBottom w:val="0"/>
      <w:divBdr>
        <w:top w:val="none" w:sz="0" w:space="0" w:color="auto"/>
        <w:left w:val="none" w:sz="0" w:space="0" w:color="auto"/>
        <w:bottom w:val="none" w:sz="0" w:space="0" w:color="auto"/>
        <w:right w:val="none" w:sz="0" w:space="0" w:color="auto"/>
      </w:divBdr>
    </w:div>
    <w:div w:id="603002124">
      <w:bodyDiv w:val="1"/>
      <w:marLeft w:val="0"/>
      <w:marRight w:val="0"/>
      <w:marTop w:val="0"/>
      <w:marBottom w:val="0"/>
      <w:divBdr>
        <w:top w:val="none" w:sz="0" w:space="0" w:color="auto"/>
        <w:left w:val="none" w:sz="0" w:space="0" w:color="auto"/>
        <w:bottom w:val="none" w:sz="0" w:space="0" w:color="auto"/>
        <w:right w:val="none" w:sz="0" w:space="0" w:color="auto"/>
      </w:divBdr>
    </w:div>
    <w:div w:id="608703864">
      <w:bodyDiv w:val="1"/>
      <w:marLeft w:val="0"/>
      <w:marRight w:val="0"/>
      <w:marTop w:val="0"/>
      <w:marBottom w:val="0"/>
      <w:divBdr>
        <w:top w:val="none" w:sz="0" w:space="0" w:color="auto"/>
        <w:left w:val="none" w:sz="0" w:space="0" w:color="auto"/>
        <w:bottom w:val="none" w:sz="0" w:space="0" w:color="auto"/>
        <w:right w:val="none" w:sz="0" w:space="0" w:color="auto"/>
      </w:divBdr>
    </w:div>
    <w:div w:id="711030327">
      <w:bodyDiv w:val="1"/>
      <w:marLeft w:val="0"/>
      <w:marRight w:val="0"/>
      <w:marTop w:val="0"/>
      <w:marBottom w:val="0"/>
      <w:divBdr>
        <w:top w:val="none" w:sz="0" w:space="0" w:color="auto"/>
        <w:left w:val="none" w:sz="0" w:space="0" w:color="auto"/>
        <w:bottom w:val="none" w:sz="0" w:space="0" w:color="auto"/>
        <w:right w:val="none" w:sz="0" w:space="0" w:color="auto"/>
      </w:divBdr>
    </w:div>
    <w:div w:id="751776984">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813564445">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848064216">
      <w:bodyDiv w:val="1"/>
      <w:marLeft w:val="0"/>
      <w:marRight w:val="0"/>
      <w:marTop w:val="0"/>
      <w:marBottom w:val="0"/>
      <w:divBdr>
        <w:top w:val="none" w:sz="0" w:space="0" w:color="auto"/>
        <w:left w:val="none" w:sz="0" w:space="0" w:color="auto"/>
        <w:bottom w:val="none" w:sz="0" w:space="0" w:color="auto"/>
        <w:right w:val="none" w:sz="0" w:space="0" w:color="auto"/>
      </w:divBdr>
      <w:divsChild>
        <w:div w:id="22707984">
          <w:marLeft w:val="0"/>
          <w:marRight w:val="0"/>
          <w:marTop w:val="0"/>
          <w:marBottom w:val="0"/>
          <w:divBdr>
            <w:top w:val="none" w:sz="0" w:space="0" w:color="auto"/>
            <w:left w:val="none" w:sz="0" w:space="0" w:color="auto"/>
            <w:bottom w:val="none" w:sz="0" w:space="0" w:color="auto"/>
            <w:right w:val="none" w:sz="0" w:space="0" w:color="auto"/>
          </w:divBdr>
          <w:divsChild>
            <w:div w:id="2010865557">
              <w:marLeft w:val="0"/>
              <w:marRight w:val="0"/>
              <w:marTop w:val="0"/>
              <w:marBottom w:val="0"/>
              <w:divBdr>
                <w:top w:val="none" w:sz="0" w:space="0" w:color="auto"/>
                <w:left w:val="none" w:sz="0" w:space="0" w:color="auto"/>
                <w:bottom w:val="none" w:sz="0" w:space="0" w:color="auto"/>
                <w:right w:val="none" w:sz="0" w:space="0" w:color="auto"/>
              </w:divBdr>
              <w:divsChild>
                <w:div w:id="45029891">
                  <w:marLeft w:val="0"/>
                  <w:marRight w:val="0"/>
                  <w:marTop w:val="0"/>
                  <w:marBottom w:val="0"/>
                  <w:divBdr>
                    <w:top w:val="none" w:sz="0" w:space="0" w:color="auto"/>
                    <w:left w:val="none" w:sz="0" w:space="0" w:color="auto"/>
                    <w:bottom w:val="none" w:sz="0" w:space="0" w:color="auto"/>
                    <w:right w:val="none" w:sz="0" w:space="0" w:color="auto"/>
                  </w:divBdr>
                  <w:divsChild>
                    <w:div w:id="14562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2963">
      <w:bodyDiv w:val="1"/>
      <w:marLeft w:val="0"/>
      <w:marRight w:val="0"/>
      <w:marTop w:val="0"/>
      <w:marBottom w:val="0"/>
      <w:divBdr>
        <w:top w:val="none" w:sz="0" w:space="0" w:color="auto"/>
        <w:left w:val="none" w:sz="0" w:space="0" w:color="auto"/>
        <w:bottom w:val="none" w:sz="0" w:space="0" w:color="auto"/>
        <w:right w:val="none" w:sz="0" w:space="0" w:color="auto"/>
      </w:divBdr>
    </w:div>
    <w:div w:id="981813901">
      <w:bodyDiv w:val="1"/>
      <w:marLeft w:val="0"/>
      <w:marRight w:val="0"/>
      <w:marTop w:val="0"/>
      <w:marBottom w:val="0"/>
      <w:divBdr>
        <w:top w:val="none" w:sz="0" w:space="0" w:color="auto"/>
        <w:left w:val="none" w:sz="0" w:space="0" w:color="auto"/>
        <w:bottom w:val="none" w:sz="0" w:space="0" w:color="auto"/>
        <w:right w:val="none" w:sz="0" w:space="0" w:color="auto"/>
      </w:divBdr>
    </w:div>
    <w:div w:id="1028527158">
      <w:bodyDiv w:val="1"/>
      <w:marLeft w:val="0"/>
      <w:marRight w:val="0"/>
      <w:marTop w:val="0"/>
      <w:marBottom w:val="0"/>
      <w:divBdr>
        <w:top w:val="none" w:sz="0" w:space="0" w:color="auto"/>
        <w:left w:val="none" w:sz="0" w:space="0" w:color="auto"/>
        <w:bottom w:val="none" w:sz="0" w:space="0" w:color="auto"/>
        <w:right w:val="none" w:sz="0" w:space="0" w:color="auto"/>
      </w:divBdr>
    </w:div>
    <w:div w:id="1046297785">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178617462">
      <w:bodyDiv w:val="1"/>
      <w:marLeft w:val="0"/>
      <w:marRight w:val="0"/>
      <w:marTop w:val="0"/>
      <w:marBottom w:val="0"/>
      <w:divBdr>
        <w:top w:val="none" w:sz="0" w:space="0" w:color="auto"/>
        <w:left w:val="none" w:sz="0" w:space="0" w:color="auto"/>
        <w:bottom w:val="none" w:sz="0" w:space="0" w:color="auto"/>
        <w:right w:val="none" w:sz="0" w:space="0" w:color="auto"/>
      </w:divBdr>
    </w:div>
    <w:div w:id="1179855326">
      <w:bodyDiv w:val="1"/>
      <w:marLeft w:val="0"/>
      <w:marRight w:val="0"/>
      <w:marTop w:val="0"/>
      <w:marBottom w:val="0"/>
      <w:divBdr>
        <w:top w:val="none" w:sz="0" w:space="0" w:color="auto"/>
        <w:left w:val="none" w:sz="0" w:space="0" w:color="auto"/>
        <w:bottom w:val="none" w:sz="0" w:space="0" w:color="auto"/>
        <w:right w:val="none" w:sz="0" w:space="0" w:color="auto"/>
      </w:divBdr>
    </w:div>
    <w:div w:id="1222980393">
      <w:bodyDiv w:val="1"/>
      <w:marLeft w:val="0"/>
      <w:marRight w:val="0"/>
      <w:marTop w:val="0"/>
      <w:marBottom w:val="0"/>
      <w:divBdr>
        <w:top w:val="none" w:sz="0" w:space="0" w:color="auto"/>
        <w:left w:val="none" w:sz="0" w:space="0" w:color="auto"/>
        <w:bottom w:val="none" w:sz="0" w:space="0" w:color="auto"/>
        <w:right w:val="none" w:sz="0" w:space="0" w:color="auto"/>
      </w:divBdr>
    </w:div>
    <w:div w:id="1259676345">
      <w:bodyDiv w:val="1"/>
      <w:marLeft w:val="0"/>
      <w:marRight w:val="0"/>
      <w:marTop w:val="0"/>
      <w:marBottom w:val="0"/>
      <w:divBdr>
        <w:top w:val="none" w:sz="0" w:space="0" w:color="auto"/>
        <w:left w:val="none" w:sz="0" w:space="0" w:color="auto"/>
        <w:bottom w:val="none" w:sz="0" w:space="0" w:color="auto"/>
        <w:right w:val="none" w:sz="0" w:space="0" w:color="auto"/>
      </w:divBdr>
    </w:div>
    <w:div w:id="1274510927">
      <w:bodyDiv w:val="1"/>
      <w:marLeft w:val="0"/>
      <w:marRight w:val="0"/>
      <w:marTop w:val="0"/>
      <w:marBottom w:val="0"/>
      <w:divBdr>
        <w:top w:val="none" w:sz="0" w:space="0" w:color="auto"/>
        <w:left w:val="none" w:sz="0" w:space="0" w:color="auto"/>
        <w:bottom w:val="none" w:sz="0" w:space="0" w:color="auto"/>
        <w:right w:val="none" w:sz="0" w:space="0" w:color="auto"/>
      </w:divBdr>
    </w:div>
    <w:div w:id="1305238029">
      <w:bodyDiv w:val="1"/>
      <w:marLeft w:val="0"/>
      <w:marRight w:val="0"/>
      <w:marTop w:val="0"/>
      <w:marBottom w:val="0"/>
      <w:divBdr>
        <w:top w:val="none" w:sz="0" w:space="0" w:color="auto"/>
        <w:left w:val="none" w:sz="0" w:space="0" w:color="auto"/>
        <w:bottom w:val="none" w:sz="0" w:space="0" w:color="auto"/>
        <w:right w:val="none" w:sz="0" w:space="0" w:color="auto"/>
      </w:divBdr>
    </w:div>
    <w:div w:id="1310015847">
      <w:bodyDiv w:val="1"/>
      <w:marLeft w:val="0"/>
      <w:marRight w:val="0"/>
      <w:marTop w:val="0"/>
      <w:marBottom w:val="0"/>
      <w:divBdr>
        <w:top w:val="none" w:sz="0" w:space="0" w:color="auto"/>
        <w:left w:val="none" w:sz="0" w:space="0" w:color="auto"/>
        <w:bottom w:val="none" w:sz="0" w:space="0" w:color="auto"/>
        <w:right w:val="none" w:sz="0" w:space="0" w:color="auto"/>
      </w:divBdr>
    </w:div>
    <w:div w:id="1337417345">
      <w:bodyDiv w:val="1"/>
      <w:marLeft w:val="0"/>
      <w:marRight w:val="0"/>
      <w:marTop w:val="0"/>
      <w:marBottom w:val="0"/>
      <w:divBdr>
        <w:top w:val="none" w:sz="0" w:space="0" w:color="auto"/>
        <w:left w:val="none" w:sz="0" w:space="0" w:color="auto"/>
        <w:bottom w:val="none" w:sz="0" w:space="0" w:color="auto"/>
        <w:right w:val="none" w:sz="0" w:space="0" w:color="auto"/>
      </w:divBdr>
    </w:div>
    <w:div w:id="1358039220">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374186448">
      <w:bodyDiv w:val="1"/>
      <w:marLeft w:val="0"/>
      <w:marRight w:val="0"/>
      <w:marTop w:val="0"/>
      <w:marBottom w:val="0"/>
      <w:divBdr>
        <w:top w:val="none" w:sz="0" w:space="0" w:color="auto"/>
        <w:left w:val="none" w:sz="0" w:space="0" w:color="auto"/>
        <w:bottom w:val="none" w:sz="0" w:space="0" w:color="auto"/>
        <w:right w:val="none" w:sz="0" w:space="0" w:color="auto"/>
      </w:divBdr>
    </w:div>
    <w:div w:id="1382754859">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80405361">
      <w:bodyDiv w:val="1"/>
      <w:marLeft w:val="0"/>
      <w:marRight w:val="0"/>
      <w:marTop w:val="0"/>
      <w:marBottom w:val="0"/>
      <w:divBdr>
        <w:top w:val="none" w:sz="0" w:space="0" w:color="auto"/>
        <w:left w:val="none" w:sz="0" w:space="0" w:color="auto"/>
        <w:bottom w:val="none" w:sz="0" w:space="0" w:color="auto"/>
        <w:right w:val="none" w:sz="0" w:space="0" w:color="auto"/>
      </w:divBdr>
    </w:div>
    <w:div w:id="1655721980">
      <w:bodyDiv w:val="1"/>
      <w:marLeft w:val="0"/>
      <w:marRight w:val="0"/>
      <w:marTop w:val="0"/>
      <w:marBottom w:val="0"/>
      <w:divBdr>
        <w:top w:val="none" w:sz="0" w:space="0" w:color="auto"/>
        <w:left w:val="none" w:sz="0" w:space="0" w:color="auto"/>
        <w:bottom w:val="none" w:sz="0" w:space="0" w:color="auto"/>
        <w:right w:val="none" w:sz="0" w:space="0" w:color="auto"/>
      </w:divBdr>
      <w:divsChild>
        <w:div w:id="2027362331">
          <w:marLeft w:val="0"/>
          <w:marRight w:val="0"/>
          <w:marTop w:val="0"/>
          <w:marBottom w:val="0"/>
          <w:divBdr>
            <w:top w:val="none" w:sz="0" w:space="0" w:color="auto"/>
            <w:left w:val="none" w:sz="0" w:space="0" w:color="auto"/>
            <w:bottom w:val="none" w:sz="0" w:space="0" w:color="auto"/>
            <w:right w:val="none" w:sz="0" w:space="0" w:color="auto"/>
          </w:divBdr>
          <w:divsChild>
            <w:div w:id="1464229130">
              <w:marLeft w:val="0"/>
              <w:marRight w:val="0"/>
              <w:marTop w:val="0"/>
              <w:marBottom w:val="0"/>
              <w:divBdr>
                <w:top w:val="none" w:sz="0" w:space="0" w:color="auto"/>
                <w:left w:val="none" w:sz="0" w:space="0" w:color="auto"/>
                <w:bottom w:val="none" w:sz="0" w:space="0" w:color="auto"/>
                <w:right w:val="none" w:sz="0" w:space="0" w:color="auto"/>
              </w:divBdr>
              <w:divsChild>
                <w:div w:id="1979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2999">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23690190">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2071154701">
      <w:bodyDiv w:val="1"/>
      <w:marLeft w:val="0"/>
      <w:marRight w:val="0"/>
      <w:marTop w:val="0"/>
      <w:marBottom w:val="0"/>
      <w:divBdr>
        <w:top w:val="none" w:sz="0" w:space="0" w:color="auto"/>
        <w:left w:val="none" w:sz="0" w:space="0" w:color="auto"/>
        <w:bottom w:val="none" w:sz="0" w:space="0" w:color="auto"/>
        <w:right w:val="none" w:sz="0" w:space="0" w:color="auto"/>
      </w:divBdr>
    </w:div>
    <w:div w:id="2084333341">
      <w:bodyDiv w:val="1"/>
      <w:marLeft w:val="0"/>
      <w:marRight w:val="0"/>
      <w:marTop w:val="0"/>
      <w:marBottom w:val="0"/>
      <w:divBdr>
        <w:top w:val="none" w:sz="0" w:space="0" w:color="auto"/>
        <w:left w:val="none" w:sz="0" w:space="0" w:color="auto"/>
        <w:bottom w:val="none" w:sz="0" w:space="0" w:color="auto"/>
        <w:right w:val="none" w:sz="0" w:space="0" w:color="auto"/>
      </w:divBdr>
    </w:div>
    <w:div w:id="2096854954">
      <w:bodyDiv w:val="1"/>
      <w:marLeft w:val="0"/>
      <w:marRight w:val="0"/>
      <w:marTop w:val="0"/>
      <w:marBottom w:val="0"/>
      <w:divBdr>
        <w:top w:val="none" w:sz="0" w:space="0" w:color="auto"/>
        <w:left w:val="none" w:sz="0" w:space="0" w:color="auto"/>
        <w:bottom w:val="none" w:sz="0" w:space="0" w:color="auto"/>
        <w:right w:val="none" w:sz="0" w:space="0" w:color="auto"/>
      </w:divBdr>
    </w:div>
    <w:div w:id="2147353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CDE0A-F832-B843-A579-BCB47EC9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863</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Akhil Sood</cp:lastModifiedBy>
  <cp:revision>11</cp:revision>
  <dcterms:created xsi:type="dcterms:W3CDTF">2016-02-18T01:45:00Z</dcterms:created>
  <dcterms:modified xsi:type="dcterms:W3CDTF">2016-02-18T19:52:00Z</dcterms:modified>
</cp:coreProperties>
</file>