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700" w:type="dxa"/>
        <w:tblInd w:w="-1332" w:type="dxa"/>
        <w:tblLayout w:type="fixed"/>
        <w:tblLook w:val="04A0" w:firstRow="1" w:lastRow="0" w:firstColumn="1" w:lastColumn="0" w:noHBand="0" w:noVBand="1"/>
      </w:tblPr>
      <w:tblGrid>
        <w:gridCol w:w="3150"/>
        <w:gridCol w:w="3150"/>
        <w:gridCol w:w="2160"/>
        <w:gridCol w:w="3240"/>
      </w:tblGrid>
      <w:tr w:rsidR="00C8095F" w:rsidRPr="00D9079F" w14:paraId="3AA29E37" w14:textId="77777777" w:rsidTr="00C75E01">
        <w:trPr>
          <w:trHeight w:val="80"/>
        </w:trPr>
        <w:tc>
          <w:tcPr>
            <w:tcW w:w="3150" w:type="dxa"/>
            <w:shd w:val="clear" w:color="auto" w:fill="365F91" w:themeFill="accent1" w:themeFillShade="BF"/>
          </w:tcPr>
          <w:p w14:paraId="2E49CA38" w14:textId="0DF9F57D" w:rsidR="00C8095F" w:rsidRPr="00F4139E" w:rsidRDefault="00C8095F" w:rsidP="00C84309">
            <w:pPr>
              <w:jc w:val="center"/>
              <w:rPr>
                <w:rFonts w:asciiTheme="majorHAnsi" w:hAnsiTheme="majorHAnsi"/>
                <w:b/>
                <w:color w:val="FFFFFF" w:themeColor="background1"/>
                <w:sz w:val="16"/>
                <w:szCs w:val="16"/>
              </w:rPr>
            </w:pPr>
            <w:r w:rsidRPr="00F4139E">
              <w:rPr>
                <w:rFonts w:asciiTheme="majorHAnsi" w:hAnsiTheme="majorHAnsi"/>
                <w:b/>
                <w:color w:val="FFFFFF" w:themeColor="background1"/>
                <w:sz w:val="16"/>
                <w:szCs w:val="16"/>
              </w:rPr>
              <w:t xml:space="preserve">Company: </w:t>
            </w:r>
            <w:r w:rsidR="00C84309" w:rsidRPr="00F4139E">
              <w:rPr>
                <w:rFonts w:asciiTheme="majorHAnsi" w:hAnsiTheme="majorHAnsi"/>
                <w:b/>
                <w:color w:val="FFFFFF" w:themeColor="background1"/>
                <w:sz w:val="16"/>
                <w:szCs w:val="16"/>
              </w:rPr>
              <w:t>Schwab (Charles) Corp</w:t>
            </w:r>
          </w:p>
        </w:tc>
        <w:tc>
          <w:tcPr>
            <w:tcW w:w="3150" w:type="dxa"/>
            <w:shd w:val="clear" w:color="auto" w:fill="365F91" w:themeFill="accent1" w:themeFillShade="BF"/>
          </w:tcPr>
          <w:p w14:paraId="5FDF97F0" w14:textId="2BC032A7" w:rsidR="00C8095F" w:rsidRPr="00F4139E" w:rsidRDefault="00C8095F" w:rsidP="008054E5">
            <w:pPr>
              <w:jc w:val="center"/>
              <w:rPr>
                <w:rFonts w:asciiTheme="majorHAnsi" w:hAnsiTheme="majorHAnsi"/>
                <w:b/>
                <w:color w:val="FFFFFF" w:themeColor="background1"/>
                <w:sz w:val="16"/>
                <w:szCs w:val="16"/>
              </w:rPr>
            </w:pPr>
            <w:r w:rsidRPr="00F4139E">
              <w:rPr>
                <w:rFonts w:asciiTheme="majorHAnsi" w:hAnsiTheme="majorHAnsi"/>
                <w:b/>
                <w:color w:val="FFFFFF" w:themeColor="background1"/>
                <w:sz w:val="16"/>
                <w:szCs w:val="16"/>
              </w:rPr>
              <w:t xml:space="preserve">Ticker: </w:t>
            </w:r>
            <w:r w:rsidR="00C84309" w:rsidRPr="00F4139E">
              <w:rPr>
                <w:rFonts w:asciiTheme="majorHAnsi" w:hAnsiTheme="majorHAnsi"/>
                <w:b/>
                <w:color w:val="FFFFFF" w:themeColor="background1"/>
                <w:sz w:val="16"/>
                <w:szCs w:val="16"/>
              </w:rPr>
              <w:t>SCHW</w:t>
            </w:r>
            <w:r w:rsidRPr="00F4139E">
              <w:rPr>
                <w:rFonts w:asciiTheme="majorHAnsi" w:hAnsiTheme="majorHAnsi"/>
                <w:b/>
                <w:color w:val="FFFFFF" w:themeColor="background1"/>
                <w:sz w:val="16"/>
                <w:szCs w:val="16"/>
              </w:rPr>
              <w:t xml:space="preserve">         Current Price: $ </w:t>
            </w:r>
            <w:r w:rsidR="00E54F20" w:rsidRPr="00F4139E">
              <w:rPr>
                <w:rFonts w:asciiTheme="majorHAnsi" w:hAnsiTheme="majorHAnsi"/>
                <w:b/>
                <w:color w:val="FFFFFF" w:themeColor="background1"/>
                <w:sz w:val="16"/>
                <w:szCs w:val="16"/>
              </w:rPr>
              <w:t>2</w:t>
            </w:r>
            <w:r w:rsidR="008054E5">
              <w:rPr>
                <w:rFonts w:asciiTheme="majorHAnsi" w:hAnsiTheme="majorHAnsi"/>
                <w:b/>
                <w:color w:val="FFFFFF" w:themeColor="background1"/>
                <w:sz w:val="16"/>
                <w:szCs w:val="16"/>
              </w:rPr>
              <w:t>1.80</w:t>
            </w:r>
          </w:p>
        </w:tc>
        <w:tc>
          <w:tcPr>
            <w:tcW w:w="5400" w:type="dxa"/>
            <w:gridSpan w:val="2"/>
            <w:shd w:val="clear" w:color="auto" w:fill="365F91" w:themeFill="accent1" w:themeFillShade="BF"/>
          </w:tcPr>
          <w:p w14:paraId="417B84CE" w14:textId="133D8F70" w:rsidR="00C8095F" w:rsidRPr="00F4139E" w:rsidRDefault="00C8095F" w:rsidP="00E54F20">
            <w:pPr>
              <w:rPr>
                <w:rFonts w:asciiTheme="majorHAnsi" w:hAnsiTheme="majorHAnsi"/>
                <w:b/>
                <w:color w:val="FFFFFF" w:themeColor="background1"/>
                <w:sz w:val="16"/>
                <w:szCs w:val="16"/>
              </w:rPr>
            </w:pPr>
            <w:r w:rsidRPr="00F4139E">
              <w:rPr>
                <w:rFonts w:asciiTheme="majorHAnsi" w:hAnsiTheme="majorHAnsi"/>
                <w:b/>
                <w:color w:val="FFFFFF" w:themeColor="background1"/>
                <w:sz w:val="16"/>
                <w:szCs w:val="16"/>
              </w:rPr>
              <w:t xml:space="preserve">Industry: </w:t>
            </w:r>
            <w:r w:rsidR="00E54F20" w:rsidRPr="00F4139E">
              <w:rPr>
                <w:rFonts w:asciiTheme="majorHAnsi" w:hAnsiTheme="majorHAnsi"/>
                <w:b/>
                <w:color w:val="FFFFFF" w:themeColor="background1"/>
                <w:sz w:val="16"/>
                <w:szCs w:val="16"/>
              </w:rPr>
              <w:t>Financials</w:t>
            </w:r>
            <w:r w:rsidRPr="00F4139E">
              <w:rPr>
                <w:rFonts w:asciiTheme="majorHAnsi" w:hAnsiTheme="majorHAnsi"/>
                <w:b/>
                <w:color w:val="FFFFFF" w:themeColor="background1"/>
                <w:sz w:val="16"/>
                <w:szCs w:val="16"/>
              </w:rPr>
              <w:t xml:space="preserve">              Sub Industry: </w:t>
            </w:r>
            <w:r w:rsidR="00E54F20" w:rsidRPr="00F4139E">
              <w:rPr>
                <w:rFonts w:asciiTheme="majorHAnsi" w:hAnsiTheme="majorHAnsi"/>
                <w:b/>
                <w:color w:val="FFFFFF" w:themeColor="background1"/>
                <w:sz w:val="16"/>
                <w:szCs w:val="16"/>
              </w:rPr>
              <w:t>Investment Banking &amp; Brokerage</w:t>
            </w:r>
            <w:r w:rsidR="006A07A0" w:rsidRPr="00F4139E">
              <w:rPr>
                <w:rFonts w:asciiTheme="majorHAnsi" w:hAnsiTheme="majorHAnsi"/>
                <w:b/>
                <w:color w:val="FFFFFF" w:themeColor="background1"/>
                <w:sz w:val="16"/>
                <w:szCs w:val="16"/>
              </w:rPr>
              <w:t xml:space="preserve"> </w:t>
            </w:r>
          </w:p>
        </w:tc>
      </w:tr>
      <w:tr w:rsidR="006E44B8" w:rsidRPr="00D9079F" w14:paraId="185E94E4" w14:textId="77777777" w:rsidTr="00AC6A2C">
        <w:trPr>
          <w:trHeight w:val="512"/>
        </w:trPr>
        <w:tc>
          <w:tcPr>
            <w:tcW w:w="3150" w:type="dxa"/>
          </w:tcPr>
          <w:p w14:paraId="159CAB82" w14:textId="2FC05D85" w:rsidR="00E8555E" w:rsidRPr="00D9079F" w:rsidRDefault="00E8555E" w:rsidP="00E8555E">
            <w:pPr>
              <w:rPr>
                <w:rFonts w:asciiTheme="majorHAnsi" w:hAnsiTheme="majorHAnsi"/>
                <w:sz w:val="16"/>
                <w:szCs w:val="16"/>
              </w:rPr>
            </w:pPr>
            <w:r w:rsidRPr="00E34927">
              <w:rPr>
                <w:rFonts w:asciiTheme="majorHAnsi" w:hAnsiTheme="majorHAnsi"/>
                <w:sz w:val="16"/>
                <w:szCs w:val="16"/>
              </w:rPr>
              <w:t>Target Price</w:t>
            </w:r>
            <w:r w:rsidR="00C161B3" w:rsidRPr="00E34927">
              <w:rPr>
                <w:rFonts w:asciiTheme="majorHAnsi" w:hAnsiTheme="majorHAnsi"/>
                <w:sz w:val="16"/>
                <w:szCs w:val="16"/>
              </w:rPr>
              <w:t>:</w:t>
            </w:r>
            <w:r w:rsidR="00743904" w:rsidRPr="00E34927">
              <w:rPr>
                <w:rFonts w:asciiTheme="majorHAnsi" w:hAnsiTheme="majorHAnsi"/>
                <w:sz w:val="16"/>
                <w:szCs w:val="16"/>
              </w:rPr>
              <w:t xml:space="preserve"> $</w:t>
            </w:r>
            <w:r w:rsidR="00291662" w:rsidRPr="00E34927">
              <w:rPr>
                <w:rFonts w:asciiTheme="majorHAnsi" w:hAnsiTheme="majorHAnsi"/>
                <w:sz w:val="16"/>
                <w:szCs w:val="16"/>
              </w:rPr>
              <w:t xml:space="preserve"> </w:t>
            </w:r>
            <w:r w:rsidR="00E34927" w:rsidRPr="00E34927">
              <w:rPr>
                <w:rFonts w:asciiTheme="majorHAnsi" w:hAnsiTheme="majorHAnsi"/>
                <w:sz w:val="16"/>
                <w:szCs w:val="16"/>
              </w:rPr>
              <w:t>29.5</w:t>
            </w:r>
          </w:p>
          <w:p w14:paraId="7B2A99C7" w14:textId="4F768739" w:rsidR="00E54F20" w:rsidRPr="00F4139E" w:rsidRDefault="00C161B3" w:rsidP="00E54F20">
            <w:pPr>
              <w:rPr>
                <w:rFonts w:asciiTheme="majorHAnsi" w:hAnsiTheme="majorHAnsi"/>
                <w:sz w:val="16"/>
                <w:szCs w:val="16"/>
              </w:rPr>
            </w:pPr>
            <w:r w:rsidRPr="00254495">
              <w:rPr>
                <w:rFonts w:asciiTheme="majorHAnsi" w:hAnsiTheme="majorHAnsi"/>
                <w:sz w:val="16"/>
                <w:szCs w:val="16"/>
              </w:rPr>
              <w:t>Stop Loss:</w:t>
            </w:r>
            <w:r w:rsidR="00743904" w:rsidRPr="00254495">
              <w:rPr>
                <w:rFonts w:asciiTheme="majorHAnsi" w:hAnsiTheme="majorHAnsi"/>
                <w:sz w:val="16"/>
                <w:szCs w:val="16"/>
              </w:rPr>
              <w:t xml:space="preserve"> $</w:t>
            </w:r>
            <w:r w:rsidR="008054E5">
              <w:rPr>
                <w:rFonts w:asciiTheme="majorHAnsi" w:hAnsiTheme="majorHAnsi"/>
                <w:sz w:val="16"/>
                <w:szCs w:val="16"/>
              </w:rPr>
              <w:t xml:space="preserve"> 17.44</w:t>
            </w:r>
          </w:p>
          <w:p w14:paraId="7E50A51D" w14:textId="628A0C72" w:rsidR="006E44B8" w:rsidRPr="00D9079F" w:rsidRDefault="00E8555E" w:rsidP="00E54F20">
            <w:pPr>
              <w:rPr>
                <w:rFonts w:asciiTheme="majorHAnsi" w:hAnsiTheme="majorHAnsi"/>
                <w:sz w:val="16"/>
                <w:szCs w:val="16"/>
              </w:rPr>
            </w:pPr>
            <w:r w:rsidRPr="00F4139E">
              <w:rPr>
                <w:rFonts w:asciiTheme="majorHAnsi" w:hAnsiTheme="majorHAnsi"/>
                <w:sz w:val="16"/>
                <w:szCs w:val="16"/>
              </w:rPr>
              <w:t>52 Week High/ Low:</w:t>
            </w:r>
            <w:r w:rsidR="00743904" w:rsidRPr="00F4139E">
              <w:rPr>
                <w:rFonts w:asciiTheme="majorHAnsi" w:hAnsiTheme="majorHAnsi"/>
                <w:sz w:val="16"/>
                <w:szCs w:val="16"/>
              </w:rPr>
              <w:t xml:space="preserve"> $</w:t>
            </w:r>
            <w:r w:rsidR="00E54F20" w:rsidRPr="00F4139E">
              <w:rPr>
                <w:rFonts w:asciiTheme="majorHAnsi" w:hAnsiTheme="majorHAnsi"/>
                <w:sz w:val="16"/>
                <w:szCs w:val="16"/>
              </w:rPr>
              <w:t>22.85-35.72</w:t>
            </w:r>
            <w:r w:rsidRPr="00D9079F">
              <w:rPr>
                <w:rFonts w:asciiTheme="majorHAnsi" w:hAnsiTheme="majorHAnsi"/>
                <w:sz w:val="16"/>
                <w:szCs w:val="16"/>
              </w:rPr>
              <w:t xml:space="preserve"> </w:t>
            </w:r>
          </w:p>
        </w:tc>
        <w:tc>
          <w:tcPr>
            <w:tcW w:w="3150" w:type="dxa"/>
          </w:tcPr>
          <w:p w14:paraId="461A4200" w14:textId="09756163" w:rsidR="00E8555E" w:rsidRPr="007C11D1" w:rsidRDefault="00E8555E" w:rsidP="00E8555E">
            <w:pPr>
              <w:rPr>
                <w:rFonts w:asciiTheme="majorHAnsi" w:hAnsiTheme="majorHAnsi"/>
                <w:sz w:val="16"/>
                <w:szCs w:val="16"/>
                <w:highlight w:val="green"/>
              </w:rPr>
            </w:pPr>
            <w:r w:rsidRPr="00D9079F">
              <w:rPr>
                <w:rFonts w:asciiTheme="majorHAnsi" w:hAnsiTheme="majorHAnsi"/>
                <w:sz w:val="16"/>
                <w:szCs w:val="16"/>
              </w:rPr>
              <w:t xml:space="preserve">TTM P/E: </w:t>
            </w:r>
            <w:r w:rsidR="00BE6512" w:rsidRPr="00F4139E">
              <w:rPr>
                <w:rFonts w:asciiTheme="majorHAnsi" w:hAnsiTheme="majorHAnsi"/>
                <w:sz w:val="16"/>
                <w:szCs w:val="16"/>
              </w:rPr>
              <w:t>2</w:t>
            </w:r>
            <w:r w:rsidR="00E54F20" w:rsidRPr="00F4139E">
              <w:rPr>
                <w:rFonts w:asciiTheme="majorHAnsi" w:hAnsiTheme="majorHAnsi"/>
                <w:sz w:val="16"/>
                <w:szCs w:val="16"/>
              </w:rPr>
              <w:t>3.13</w:t>
            </w:r>
          </w:p>
          <w:p w14:paraId="4BB1D830" w14:textId="4D34F9EC" w:rsidR="00AF471E" w:rsidRDefault="00E8555E" w:rsidP="00AF471E">
            <w:pPr>
              <w:rPr>
                <w:rFonts w:asciiTheme="majorHAnsi" w:hAnsiTheme="majorHAnsi"/>
                <w:sz w:val="16"/>
                <w:szCs w:val="16"/>
              </w:rPr>
            </w:pPr>
            <w:r w:rsidRPr="00254495">
              <w:rPr>
                <w:rFonts w:asciiTheme="majorHAnsi" w:hAnsiTheme="majorHAnsi"/>
                <w:sz w:val="16"/>
                <w:szCs w:val="16"/>
              </w:rPr>
              <w:t xml:space="preserve">Forward P/E: </w:t>
            </w:r>
            <w:r w:rsidR="00254495" w:rsidRPr="00254495">
              <w:rPr>
                <w:rFonts w:asciiTheme="majorHAnsi" w:hAnsiTheme="majorHAnsi"/>
                <w:sz w:val="16"/>
                <w:szCs w:val="16"/>
              </w:rPr>
              <w:t>14.8</w:t>
            </w:r>
          </w:p>
          <w:p w14:paraId="5AA3FEF7" w14:textId="2090CDE6" w:rsidR="006E44B8" w:rsidRPr="00D9079F" w:rsidRDefault="00E8555E" w:rsidP="00AF471E">
            <w:pPr>
              <w:rPr>
                <w:rFonts w:asciiTheme="majorHAnsi" w:hAnsiTheme="majorHAnsi"/>
                <w:sz w:val="16"/>
                <w:szCs w:val="16"/>
              </w:rPr>
            </w:pPr>
            <w:r w:rsidRPr="00F4139E">
              <w:rPr>
                <w:rFonts w:asciiTheme="majorHAnsi" w:hAnsiTheme="majorHAnsi"/>
                <w:sz w:val="16"/>
                <w:szCs w:val="16"/>
              </w:rPr>
              <w:t xml:space="preserve">EPS: </w:t>
            </w:r>
            <w:r w:rsidR="00E60A49" w:rsidRPr="00F4139E">
              <w:rPr>
                <w:rFonts w:asciiTheme="majorHAnsi" w:hAnsiTheme="majorHAnsi"/>
                <w:sz w:val="16"/>
                <w:szCs w:val="16"/>
              </w:rPr>
              <w:t>$</w:t>
            </w:r>
            <w:r w:rsidR="007C11D1" w:rsidRPr="00F4139E">
              <w:rPr>
                <w:rFonts w:asciiTheme="majorHAnsi" w:hAnsiTheme="majorHAnsi"/>
                <w:sz w:val="16"/>
                <w:szCs w:val="16"/>
              </w:rPr>
              <w:t>1.03</w:t>
            </w:r>
          </w:p>
        </w:tc>
        <w:tc>
          <w:tcPr>
            <w:tcW w:w="2160" w:type="dxa"/>
            <w:shd w:val="clear" w:color="auto" w:fill="auto"/>
          </w:tcPr>
          <w:p w14:paraId="25238E11" w14:textId="34A77E08" w:rsidR="00E8555E" w:rsidRPr="008054E5" w:rsidRDefault="00923CAB" w:rsidP="00E8555E">
            <w:pPr>
              <w:rPr>
                <w:rFonts w:asciiTheme="majorHAnsi" w:hAnsiTheme="majorHAnsi"/>
                <w:sz w:val="16"/>
                <w:szCs w:val="16"/>
              </w:rPr>
            </w:pPr>
            <w:r w:rsidRPr="008054E5">
              <w:rPr>
                <w:rFonts w:asciiTheme="majorHAnsi" w:hAnsiTheme="majorHAnsi"/>
                <w:sz w:val="16"/>
                <w:szCs w:val="16"/>
              </w:rPr>
              <w:t xml:space="preserve">Beta: </w:t>
            </w:r>
            <w:r w:rsidR="00D06A5C" w:rsidRPr="008054E5">
              <w:rPr>
                <w:rFonts w:asciiTheme="majorHAnsi" w:hAnsiTheme="majorHAnsi"/>
                <w:sz w:val="16"/>
                <w:szCs w:val="16"/>
              </w:rPr>
              <w:t>1.33</w:t>
            </w:r>
            <w:r w:rsidR="00925975" w:rsidRPr="008054E5">
              <w:rPr>
                <w:rFonts w:asciiTheme="majorHAnsi" w:hAnsiTheme="majorHAnsi"/>
                <w:sz w:val="16"/>
                <w:szCs w:val="16"/>
              </w:rPr>
              <w:t xml:space="preserve"> (Bloomberg)</w:t>
            </w:r>
          </w:p>
          <w:p w14:paraId="668080B0" w14:textId="616F88A9" w:rsidR="00E60A49" w:rsidRPr="008054E5" w:rsidRDefault="00E8555E" w:rsidP="00E60A49">
            <w:pPr>
              <w:rPr>
                <w:rFonts w:asciiTheme="majorHAnsi" w:hAnsiTheme="majorHAnsi"/>
                <w:sz w:val="16"/>
                <w:szCs w:val="16"/>
              </w:rPr>
            </w:pPr>
            <w:r w:rsidRPr="008054E5">
              <w:rPr>
                <w:rFonts w:asciiTheme="majorHAnsi" w:hAnsiTheme="majorHAnsi"/>
                <w:sz w:val="16"/>
                <w:szCs w:val="16"/>
              </w:rPr>
              <w:t>Credit Rating:</w:t>
            </w:r>
            <w:r w:rsidR="00743904" w:rsidRPr="008054E5">
              <w:rPr>
                <w:rFonts w:asciiTheme="majorHAnsi" w:hAnsiTheme="majorHAnsi"/>
                <w:sz w:val="16"/>
                <w:szCs w:val="16"/>
              </w:rPr>
              <w:t xml:space="preserve"> </w:t>
            </w:r>
            <w:r w:rsidR="008C7FEA" w:rsidRPr="008054E5">
              <w:rPr>
                <w:rFonts w:asciiTheme="majorHAnsi" w:hAnsiTheme="majorHAnsi"/>
                <w:sz w:val="16"/>
                <w:szCs w:val="16"/>
              </w:rPr>
              <w:t>A (</w:t>
            </w:r>
            <w:r w:rsidR="00AC6A2C" w:rsidRPr="008054E5">
              <w:rPr>
                <w:rFonts w:asciiTheme="majorHAnsi" w:hAnsiTheme="majorHAnsi"/>
                <w:sz w:val="16"/>
                <w:szCs w:val="16"/>
              </w:rPr>
              <w:t>S&amp;P)</w:t>
            </w:r>
          </w:p>
          <w:p w14:paraId="5BFE3D7B" w14:textId="4C79282F" w:rsidR="003073EA" w:rsidRPr="00AC6A2C" w:rsidRDefault="003073EA" w:rsidP="008C7FEA">
            <w:pPr>
              <w:rPr>
                <w:rFonts w:asciiTheme="majorHAnsi" w:hAnsiTheme="majorHAnsi"/>
                <w:sz w:val="16"/>
                <w:szCs w:val="16"/>
                <w:highlight w:val="yellow"/>
              </w:rPr>
            </w:pPr>
            <w:r w:rsidRPr="008054E5">
              <w:rPr>
                <w:rFonts w:asciiTheme="majorHAnsi" w:hAnsiTheme="majorHAnsi"/>
                <w:sz w:val="16"/>
                <w:szCs w:val="16"/>
              </w:rPr>
              <w:t xml:space="preserve">Rating Outlook: </w:t>
            </w:r>
            <w:r w:rsidR="009A180A" w:rsidRPr="008054E5">
              <w:rPr>
                <w:rFonts w:asciiTheme="majorHAnsi" w:hAnsiTheme="majorHAnsi"/>
                <w:sz w:val="16"/>
                <w:szCs w:val="16"/>
              </w:rPr>
              <w:t>Positive</w:t>
            </w:r>
          </w:p>
        </w:tc>
        <w:tc>
          <w:tcPr>
            <w:tcW w:w="3240" w:type="dxa"/>
          </w:tcPr>
          <w:p w14:paraId="438980BC" w14:textId="241F0CF6" w:rsidR="006E44B8" w:rsidRPr="00F4139E" w:rsidRDefault="0013332F">
            <w:pPr>
              <w:rPr>
                <w:rFonts w:asciiTheme="majorHAnsi" w:hAnsiTheme="majorHAnsi"/>
                <w:sz w:val="16"/>
                <w:szCs w:val="16"/>
              </w:rPr>
            </w:pPr>
            <w:r w:rsidRPr="00F4139E">
              <w:rPr>
                <w:rFonts w:asciiTheme="majorHAnsi" w:hAnsiTheme="majorHAnsi"/>
                <w:sz w:val="16"/>
                <w:szCs w:val="16"/>
              </w:rPr>
              <w:t xml:space="preserve">Market Cap: </w:t>
            </w:r>
            <w:r w:rsidR="00743904" w:rsidRPr="00F4139E">
              <w:rPr>
                <w:rFonts w:asciiTheme="majorHAnsi" w:hAnsiTheme="majorHAnsi"/>
                <w:sz w:val="16"/>
                <w:szCs w:val="16"/>
              </w:rPr>
              <w:t>$</w:t>
            </w:r>
            <w:r w:rsidR="008054E5">
              <w:rPr>
                <w:rFonts w:asciiTheme="majorHAnsi" w:hAnsiTheme="majorHAnsi"/>
                <w:sz w:val="16"/>
                <w:szCs w:val="16"/>
              </w:rPr>
              <w:t>28</w:t>
            </w:r>
            <w:r w:rsidR="00E60A49" w:rsidRPr="00F4139E">
              <w:rPr>
                <w:rFonts w:asciiTheme="majorHAnsi" w:hAnsiTheme="majorHAnsi"/>
                <w:sz w:val="16"/>
                <w:szCs w:val="16"/>
              </w:rPr>
              <w:t>b</w:t>
            </w:r>
          </w:p>
          <w:p w14:paraId="37B82920" w14:textId="2A90588D" w:rsidR="00C441B3" w:rsidRPr="00F4139E" w:rsidRDefault="00C441B3">
            <w:pPr>
              <w:rPr>
                <w:rFonts w:asciiTheme="majorHAnsi" w:hAnsiTheme="majorHAnsi"/>
                <w:sz w:val="16"/>
                <w:szCs w:val="16"/>
              </w:rPr>
            </w:pPr>
            <w:proofErr w:type="spellStart"/>
            <w:r w:rsidRPr="00F4139E">
              <w:rPr>
                <w:rFonts w:asciiTheme="majorHAnsi" w:hAnsiTheme="majorHAnsi" w:cs="UniversLTStd-BoldCn"/>
                <w:bCs/>
                <w:sz w:val="16"/>
                <w:szCs w:val="16"/>
              </w:rPr>
              <w:t>Avg</w:t>
            </w:r>
            <w:proofErr w:type="spellEnd"/>
            <w:r w:rsidRPr="00F4139E">
              <w:rPr>
                <w:rFonts w:asciiTheme="majorHAnsi" w:hAnsiTheme="majorHAnsi" w:cs="UniversLTStd-BoldCn"/>
                <w:bCs/>
                <w:sz w:val="16"/>
                <w:szCs w:val="16"/>
              </w:rPr>
              <w:t xml:space="preserve"> Vol ( </w:t>
            </w:r>
            <w:r w:rsidR="00852DFB" w:rsidRPr="00F4139E">
              <w:rPr>
                <w:rFonts w:asciiTheme="majorHAnsi" w:hAnsiTheme="majorHAnsi" w:cs="UniversLTStd-BoldCn"/>
                <w:bCs/>
                <w:sz w:val="16"/>
                <w:szCs w:val="16"/>
              </w:rPr>
              <w:t>3</w:t>
            </w:r>
            <w:r w:rsidRPr="00F4139E">
              <w:rPr>
                <w:rFonts w:asciiTheme="majorHAnsi" w:hAnsiTheme="majorHAnsi" w:cs="UniversLTStd-BoldCn"/>
                <w:bCs/>
                <w:sz w:val="16"/>
                <w:szCs w:val="16"/>
              </w:rPr>
              <w:t xml:space="preserve"> M)</w:t>
            </w:r>
            <w:r w:rsidR="00BF2DE5" w:rsidRPr="00F4139E">
              <w:rPr>
                <w:rFonts w:asciiTheme="majorHAnsi" w:hAnsiTheme="majorHAnsi" w:cs="UniversLTStd-BoldCn"/>
                <w:bCs/>
                <w:sz w:val="16"/>
                <w:szCs w:val="16"/>
              </w:rPr>
              <w:t>:</w:t>
            </w:r>
            <w:r w:rsidR="00743904" w:rsidRPr="00F4139E">
              <w:rPr>
                <w:rFonts w:asciiTheme="majorHAnsi" w:hAnsiTheme="majorHAnsi" w:cs="UniversLTStd-BoldCn"/>
                <w:bCs/>
                <w:sz w:val="16"/>
                <w:szCs w:val="16"/>
              </w:rPr>
              <w:t xml:space="preserve"> </w:t>
            </w:r>
            <w:r w:rsidR="007C11D1" w:rsidRPr="00F4139E">
              <w:rPr>
                <w:rFonts w:asciiTheme="majorHAnsi" w:hAnsiTheme="majorHAnsi" w:cs="UniversLTStd-BoldCn"/>
                <w:bCs/>
                <w:sz w:val="16"/>
                <w:szCs w:val="16"/>
              </w:rPr>
              <w:t>10.64m</w:t>
            </w:r>
          </w:p>
          <w:p w14:paraId="0D1C791A" w14:textId="5DC03D08" w:rsidR="00E5675C" w:rsidRPr="00D9079F" w:rsidRDefault="00E5675C" w:rsidP="00050FA6">
            <w:pPr>
              <w:rPr>
                <w:rFonts w:asciiTheme="majorHAnsi" w:hAnsiTheme="majorHAnsi"/>
                <w:sz w:val="16"/>
                <w:szCs w:val="16"/>
              </w:rPr>
            </w:pPr>
            <w:r w:rsidRPr="00F4139E">
              <w:rPr>
                <w:rFonts w:asciiTheme="majorHAnsi" w:hAnsiTheme="majorHAnsi"/>
                <w:sz w:val="16"/>
                <w:szCs w:val="16"/>
              </w:rPr>
              <w:t xml:space="preserve">Dividend Yield: </w:t>
            </w:r>
            <w:r w:rsidR="00050FA6" w:rsidRPr="00F4139E">
              <w:rPr>
                <w:rFonts w:asciiTheme="majorHAnsi" w:hAnsiTheme="majorHAnsi"/>
                <w:sz w:val="16"/>
                <w:szCs w:val="16"/>
              </w:rPr>
              <w:t>1.02</w:t>
            </w:r>
            <w:r w:rsidR="00743904" w:rsidRPr="00F4139E">
              <w:rPr>
                <w:rFonts w:asciiTheme="majorHAnsi" w:hAnsiTheme="majorHAnsi"/>
                <w:sz w:val="16"/>
                <w:szCs w:val="16"/>
              </w:rPr>
              <w:t>%</w:t>
            </w:r>
          </w:p>
        </w:tc>
      </w:tr>
    </w:tbl>
    <w:p w14:paraId="4F402887" w14:textId="4198B064" w:rsidR="00443ED9" w:rsidRPr="00D9079F" w:rsidRDefault="00852DFB" w:rsidP="005E114B">
      <w:pPr>
        <w:rPr>
          <w:rFonts w:asciiTheme="majorHAnsi" w:hAnsiTheme="majorHAnsi"/>
          <w:sz w:val="16"/>
          <w:szCs w:val="16"/>
        </w:rPr>
      </w:pPr>
      <w:r>
        <w:rPr>
          <w:rFonts w:asciiTheme="majorHAnsi" w:hAnsiTheme="majorHAnsi"/>
          <w:sz w:val="16"/>
          <w:szCs w:val="16"/>
        </w:rPr>
        <w:tab/>
      </w:r>
    </w:p>
    <w:tbl>
      <w:tblPr>
        <w:tblStyle w:val="TableGrid"/>
        <w:tblW w:w="11700" w:type="dxa"/>
        <w:tblInd w:w="-1332" w:type="dxa"/>
        <w:tblLook w:val="04A0" w:firstRow="1" w:lastRow="0" w:firstColumn="1" w:lastColumn="0" w:noHBand="0" w:noVBand="1"/>
      </w:tblPr>
      <w:tblGrid>
        <w:gridCol w:w="11700"/>
      </w:tblGrid>
      <w:tr w:rsidR="00DB5A10" w:rsidRPr="00D9079F" w14:paraId="311194DC" w14:textId="77777777" w:rsidTr="00DB5A10">
        <w:trPr>
          <w:trHeight w:val="197"/>
        </w:trPr>
        <w:tc>
          <w:tcPr>
            <w:tcW w:w="11700" w:type="dxa"/>
            <w:shd w:val="clear" w:color="auto" w:fill="365F91" w:themeFill="accent1" w:themeFillShade="BF"/>
          </w:tcPr>
          <w:p w14:paraId="14342F91" w14:textId="5A8BBA7A" w:rsidR="00DB5A10" w:rsidRPr="00D9079F" w:rsidRDefault="00DB5A10" w:rsidP="00DB5A10">
            <w:pPr>
              <w:tabs>
                <w:tab w:val="left" w:pos="3690"/>
              </w:tabs>
              <w:jc w:val="both"/>
              <w:rPr>
                <w:rFonts w:asciiTheme="majorHAnsi" w:hAnsiTheme="majorHAnsi"/>
                <w:color w:val="FFFFFF" w:themeColor="background1"/>
                <w:sz w:val="16"/>
                <w:szCs w:val="18"/>
              </w:rPr>
            </w:pPr>
            <w:r w:rsidRPr="00D9079F">
              <w:rPr>
                <w:rFonts w:asciiTheme="majorHAnsi" w:hAnsiTheme="majorHAnsi"/>
                <w:b/>
                <w:color w:val="FFFFFF" w:themeColor="background1"/>
                <w:sz w:val="16"/>
                <w:szCs w:val="18"/>
              </w:rPr>
              <w:t xml:space="preserve">Company Background:  </w:t>
            </w:r>
            <w:r w:rsidRPr="00D9079F">
              <w:rPr>
                <w:rFonts w:asciiTheme="majorHAnsi" w:hAnsiTheme="majorHAnsi"/>
                <w:b/>
                <w:color w:val="FFFFFF" w:themeColor="background1"/>
                <w:sz w:val="16"/>
                <w:szCs w:val="18"/>
              </w:rPr>
              <w:tab/>
            </w:r>
          </w:p>
        </w:tc>
      </w:tr>
      <w:tr w:rsidR="00DB5A10" w:rsidRPr="00D9079F" w14:paraId="325C88BE" w14:textId="77777777" w:rsidTr="00DB5A10">
        <w:tc>
          <w:tcPr>
            <w:tcW w:w="11700" w:type="dxa"/>
          </w:tcPr>
          <w:p w14:paraId="0A8884D5" w14:textId="4F724699" w:rsidR="00B627AE" w:rsidRPr="00F4139E" w:rsidRDefault="00950872" w:rsidP="00AA6B59">
            <w:pPr>
              <w:jc w:val="both"/>
              <w:rPr>
                <w:rFonts w:asciiTheme="majorHAnsi" w:hAnsiTheme="majorHAnsi"/>
                <w:sz w:val="16"/>
              </w:rPr>
            </w:pPr>
            <w:r w:rsidRPr="00F4139E">
              <w:rPr>
                <w:rFonts w:asciiTheme="majorHAnsi" w:hAnsiTheme="majorHAnsi"/>
                <w:sz w:val="16"/>
              </w:rPr>
              <w:t xml:space="preserve">Charles Schwab operates in the brokerage, banking, and asset management businesses. The company runs a large network of brick-and-mortar brokerage branch offices and a well-established online investing website. It also operates a bank and a proprietary mutual fund business. Additionally, Schwab offers services to independent investment advisors. </w:t>
            </w:r>
            <w:r w:rsidR="00AA6B59" w:rsidRPr="00F4139E">
              <w:rPr>
                <w:rFonts w:asciiTheme="majorHAnsi" w:hAnsiTheme="majorHAnsi"/>
                <w:sz w:val="16"/>
              </w:rPr>
              <w:t>Segments: Investor Services (77% of ’14 Revs.); Institutional Services (23%).</w:t>
            </w:r>
            <w:r w:rsidR="00B627AE" w:rsidRPr="00F4139E">
              <w:rPr>
                <w:rFonts w:asciiTheme="majorHAnsi" w:hAnsiTheme="majorHAnsi"/>
                <w:sz w:val="16"/>
              </w:rPr>
              <w:t xml:space="preserve"> At the end of 2015, the company, through subsidiaries, served about 9.8 million active client accounts, and held client assets of approximately $2.51 trillion. </w:t>
            </w:r>
            <w:r w:rsidR="004D3E3D" w:rsidRPr="00F4139E">
              <w:rPr>
                <w:rFonts w:asciiTheme="majorHAnsi" w:hAnsiTheme="majorHAnsi"/>
                <w:sz w:val="16"/>
              </w:rPr>
              <w:t>Its banking subsidiary, Charles Schwab Bank (member FDIC and an Equal Housing Lender), provides banking and lending services and products</w:t>
            </w:r>
          </w:p>
        </w:tc>
      </w:tr>
      <w:tr w:rsidR="00274740" w:rsidRPr="00D9079F" w14:paraId="4EB61633" w14:textId="77777777" w:rsidTr="00274740">
        <w:tc>
          <w:tcPr>
            <w:tcW w:w="11700" w:type="dxa"/>
            <w:shd w:val="clear" w:color="auto" w:fill="365F91" w:themeFill="accent1" w:themeFillShade="BF"/>
          </w:tcPr>
          <w:p w14:paraId="38206B03" w14:textId="7B341966" w:rsidR="00274740" w:rsidRPr="00F4139E" w:rsidRDefault="00274740" w:rsidP="00BB61F8">
            <w:pPr>
              <w:tabs>
                <w:tab w:val="left" w:pos="3225"/>
              </w:tabs>
              <w:rPr>
                <w:rFonts w:asciiTheme="majorHAnsi" w:hAnsiTheme="majorHAnsi"/>
                <w:b/>
                <w:color w:val="FFFFFF" w:themeColor="background1"/>
                <w:sz w:val="16"/>
                <w:szCs w:val="18"/>
              </w:rPr>
            </w:pPr>
            <w:r w:rsidRPr="00F4139E">
              <w:rPr>
                <w:rFonts w:asciiTheme="majorHAnsi" w:hAnsiTheme="majorHAnsi"/>
                <w:b/>
                <w:color w:val="FFFFFF" w:themeColor="background1"/>
                <w:sz w:val="16"/>
                <w:szCs w:val="18"/>
              </w:rPr>
              <w:t xml:space="preserve">Industry </w:t>
            </w:r>
            <w:r w:rsidR="00BB3908" w:rsidRPr="00F4139E">
              <w:rPr>
                <w:rFonts w:asciiTheme="majorHAnsi" w:hAnsiTheme="majorHAnsi"/>
                <w:b/>
                <w:color w:val="FFFFFF" w:themeColor="background1"/>
                <w:sz w:val="16"/>
                <w:szCs w:val="18"/>
              </w:rPr>
              <w:t>Outlook:</w:t>
            </w:r>
            <w:r w:rsidRPr="00F4139E">
              <w:rPr>
                <w:rFonts w:asciiTheme="majorHAnsi" w:hAnsiTheme="majorHAnsi"/>
                <w:b/>
                <w:color w:val="FFFFFF" w:themeColor="background1"/>
                <w:sz w:val="16"/>
                <w:szCs w:val="18"/>
              </w:rPr>
              <w:t xml:space="preserve"> </w:t>
            </w:r>
          </w:p>
        </w:tc>
      </w:tr>
      <w:tr w:rsidR="00274740" w:rsidRPr="00D9079F" w14:paraId="52C52C72" w14:textId="77777777" w:rsidTr="00DB5A10">
        <w:tc>
          <w:tcPr>
            <w:tcW w:w="11700" w:type="dxa"/>
          </w:tcPr>
          <w:p w14:paraId="739E228C" w14:textId="64D99908" w:rsidR="00BB0E38" w:rsidRPr="00F4139E" w:rsidRDefault="008E35FD" w:rsidP="008E35FD">
            <w:pPr>
              <w:pStyle w:val="ListParagraph"/>
              <w:numPr>
                <w:ilvl w:val="0"/>
                <w:numId w:val="7"/>
              </w:numPr>
              <w:rPr>
                <w:rFonts w:asciiTheme="majorHAnsi" w:hAnsiTheme="majorHAnsi" w:cs="Arial"/>
                <w:color w:val="000000"/>
                <w:sz w:val="16"/>
                <w:szCs w:val="16"/>
                <w:shd w:val="clear" w:color="auto" w:fill="FFFFFF"/>
              </w:rPr>
            </w:pPr>
            <w:r w:rsidRPr="00F4139E">
              <w:rPr>
                <w:rFonts w:asciiTheme="majorHAnsi" w:hAnsiTheme="majorHAnsi"/>
                <w:sz w:val="16"/>
                <w:szCs w:val="16"/>
              </w:rPr>
              <w:t>We have a positive fundamental outlook on the investment banking and brokerage sub-industry looking out over the next twelve months. Equity trading volumes have rebounded from weak results in most of 2014. Mergers and acquisitions (M&amp;A) continue to be the strongest performer in 2015 following a record year in 2014 since the financial crisis.</w:t>
            </w:r>
          </w:p>
          <w:p w14:paraId="2219CC73" w14:textId="77FF9198" w:rsidR="008E35FD" w:rsidRPr="00F4139E" w:rsidRDefault="008E35FD" w:rsidP="008E35FD">
            <w:pPr>
              <w:pStyle w:val="ListParagraph"/>
              <w:numPr>
                <w:ilvl w:val="0"/>
                <w:numId w:val="7"/>
              </w:numPr>
              <w:rPr>
                <w:rFonts w:asciiTheme="majorHAnsi" w:hAnsiTheme="majorHAnsi" w:cs="Arial"/>
                <w:color w:val="000000"/>
                <w:sz w:val="16"/>
                <w:szCs w:val="16"/>
                <w:shd w:val="clear" w:color="auto" w:fill="FFFFFF"/>
              </w:rPr>
            </w:pPr>
            <w:r w:rsidRPr="00F4139E">
              <w:rPr>
                <w:rFonts w:asciiTheme="majorHAnsi" w:hAnsiTheme="majorHAnsi"/>
                <w:sz w:val="16"/>
                <w:szCs w:val="16"/>
              </w:rPr>
              <w:t>We believe both institutional and retail investors will continue to shift more asset allocations to equities from fixed income, which may boost market performance</w:t>
            </w:r>
          </w:p>
        </w:tc>
      </w:tr>
      <w:tr w:rsidR="00DB5A10" w:rsidRPr="00D9079F" w14:paraId="6A32B295" w14:textId="77777777" w:rsidTr="00DB5A10">
        <w:tc>
          <w:tcPr>
            <w:tcW w:w="11700" w:type="dxa"/>
            <w:shd w:val="clear" w:color="auto" w:fill="365F91" w:themeFill="accent1" w:themeFillShade="BF"/>
          </w:tcPr>
          <w:p w14:paraId="22F69EB1" w14:textId="5B91B2A3" w:rsidR="00DB5A10" w:rsidRPr="00F4139E" w:rsidRDefault="00DB5A10" w:rsidP="00DB5A10">
            <w:pPr>
              <w:tabs>
                <w:tab w:val="left" w:pos="3225"/>
              </w:tabs>
              <w:rPr>
                <w:rFonts w:asciiTheme="majorHAnsi" w:hAnsiTheme="majorHAnsi"/>
                <w:b/>
                <w:color w:val="FFFFFF" w:themeColor="background1"/>
                <w:sz w:val="16"/>
                <w:szCs w:val="18"/>
              </w:rPr>
            </w:pPr>
            <w:r w:rsidRPr="00F4139E">
              <w:rPr>
                <w:rFonts w:asciiTheme="majorHAnsi" w:hAnsiTheme="majorHAnsi"/>
                <w:b/>
                <w:color w:val="FFFFFF" w:themeColor="background1"/>
                <w:sz w:val="16"/>
                <w:szCs w:val="18"/>
              </w:rPr>
              <w:t>Investment Thesis:</w:t>
            </w:r>
            <w:r w:rsidRPr="00F4139E">
              <w:rPr>
                <w:rFonts w:asciiTheme="majorHAnsi" w:hAnsiTheme="majorHAnsi"/>
                <w:b/>
                <w:color w:val="FFFFFF" w:themeColor="background1"/>
                <w:sz w:val="16"/>
                <w:szCs w:val="18"/>
              </w:rPr>
              <w:tab/>
            </w:r>
          </w:p>
        </w:tc>
      </w:tr>
      <w:tr w:rsidR="00DB5A10" w:rsidRPr="00D9079F" w14:paraId="4F0CBDAD" w14:textId="77777777" w:rsidTr="00DB5A10">
        <w:tc>
          <w:tcPr>
            <w:tcW w:w="11700" w:type="dxa"/>
          </w:tcPr>
          <w:p w14:paraId="79D87DAA" w14:textId="695FF841" w:rsidR="00581B35" w:rsidRPr="00F4139E" w:rsidRDefault="008E35FD" w:rsidP="008E35FD">
            <w:pPr>
              <w:pStyle w:val="ListParagraph"/>
              <w:numPr>
                <w:ilvl w:val="0"/>
                <w:numId w:val="7"/>
              </w:numPr>
              <w:rPr>
                <w:rFonts w:asciiTheme="majorHAnsi" w:hAnsiTheme="majorHAnsi"/>
                <w:sz w:val="16"/>
                <w:szCs w:val="18"/>
              </w:rPr>
            </w:pPr>
            <w:r w:rsidRPr="00F4139E">
              <w:rPr>
                <w:rFonts w:asciiTheme="majorHAnsi" w:hAnsiTheme="majorHAnsi"/>
                <w:sz w:val="16"/>
                <w:szCs w:val="16"/>
              </w:rPr>
              <w:t>Besides innovation with SCHW's platforms and products, the company is dependent on short</w:t>
            </w:r>
            <w:r w:rsidR="00254495">
              <w:rPr>
                <w:rFonts w:asciiTheme="majorHAnsi" w:hAnsiTheme="majorHAnsi"/>
                <w:sz w:val="16"/>
                <w:szCs w:val="16"/>
              </w:rPr>
              <w:t xml:space="preserve"> </w:t>
            </w:r>
            <w:r w:rsidRPr="00F4139E">
              <w:rPr>
                <w:rFonts w:asciiTheme="majorHAnsi" w:hAnsiTheme="majorHAnsi"/>
                <w:sz w:val="16"/>
                <w:szCs w:val="16"/>
              </w:rPr>
              <w:t>term interest rates, as nearly 40% of its top line came from net interest income in 2015 versus 37.5% in 2014. We view favorably its stable asset-based revenues, and think earnings could rise materially after the Federal Reserve raises short-term interest rates, which we expect to happen sometime in 2016.</w:t>
            </w:r>
            <w:r w:rsidR="00581B35" w:rsidRPr="00F4139E">
              <w:rPr>
                <w:rFonts w:asciiTheme="majorHAnsi" w:hAnsiTheme="majorHAnsi" w:cs="Arial"/>
                <w:color w:val="000000"/>
                <w:sz w:val="16"/>
                <w:szCs w:val="18"/>
                <w:shd w:val="clear" w:color="auto" w:fill="FFFFFF"/>
              </w:rPr>
              <w:t xml:space="preserve"> </w:t>
            </w:r>
          </w:p>
          <w:p w14:paraId="68360330" w14:textId="77777777" w:rsidR="00DC268D" w:rsidRPr="00F4139E" w:rsidRDefault="00DC268D" w:rsidP="00DC268D">
            <w:pPr>
              <w:pStyle w:val="ListParagraph"/>
              <w:numPr>
                <w:ilvl w:val="0"/>
                <w:numId w:val="7"/>
              </w:numPr>
              <w:rPr>
                <w:rFonts w:asciiTheme="majorHAnsi" w:hAnsiTheme="majorHAnsi"/>
                <w:sz w:val="16"/>
                <w:szCs w:val="16"/>
              </w:rPr>
            </w:pPr>
            <w:r w:rsidRPr="00F4139E">
              <w:rPr>
                <w:rFonts w:asciiTheme="majorHAnsi" w:hAnsiTheme="majorHAnsi"/>
                <w:sz w:val="16"/>
                <w:szCs w:val="16"/>
              </w:rPr>
              <w:t>The first 50-basis-point rate increase will reverse the majority of the annualized nearly $800 million of money market fund fee waivers, and about half of the company's interest-earning assets are floating rate.</w:t>
            </w:r>
          </w:p>
          <w:p w14:paraId="35F9E681" w14:textId="7B253CA6" w:rsidR="008E35FD" w:rsidRPr="00F4139E" w:rsidRDefault="00DC268D" w:rsidP="00DC268D">
            <w:pPr>
              <w:pStyle w:val="ListParagraph"/>
              <w:numPr>
                <w:ilvl w:val="0"/>
                <w:numId w:val="7"/>
              </w:numPr>
              <w:jc w:val="both"/>
              <w:rPr>
                <w:rFonts w:asciiTheme="majorHAnsi" w:hAnsiTheme="majorHAnsi"/>
                <w:sz w:val="16"/>
                <w:szCs w:val="18"/>
              </w:rPr>
            </w:pPr>
            <w:r w:rsidRPr="00F4139E">
              <w:rPr>
                <w:rFonts w:asciiTheme="majorHAnsi" w:hAnsiTheme="majorHAnsi"/>
                <w:sz w:val="16"/>
                <w:szCs w:val="16"/>
              </w:rPr>
              <w:t>According to Morning Star, the moat rating for Charles Schwab is wide. Given its massive scale and industry-leading cost efficiency, the company can sustain severe competitive pressures</w:t>
            </w:r>
          </w:p>
        </w:tc>
      </w:tr>
      <w:tr w:rsidR="00DB5A10" w:rsidRPr="00D9079F" w14:paraId="3604FAC8" w14:textId="77777777" w:rsidTr="00DB5A10">
        <w:tc>
          <w:tcPr>
            <w:tcW w:w="11700" w:type="dxa"/>
            <w:shd w:val="clear" w:color="auto" w:fill="365F91" w:themeFill="accent1" w:themeFillShade="BF"/>
          </w:tcPr>
          <w:p w14:paraId="36D57562" w14:textId="69893D12" w:rsidR="00DB5A10" w:rsidRPr="00F4139E" w:rsidRDefault="00DB5A10" w:rsidP="00DB5A10">
            <w:pPr>
              <w:tabs>
                <w:tab w:val="left" w:pos="2235"/>
              </w:tabs>
              <w:rPr>
                <w:rFonts w:asciiTheme="majorHAnsi" w:hAnsiTheme="majorHAnsi"/>
                <w:sz w:val="16"/>
                <w:szCs w:val="18"/>
              </w:rPr>
            </w:pPr>
            <w:r w:rsidRPr="00F4139E">
              <w:rPr>
                <w:rFonts w:asciiTheme="majorHAnsi" w:hAnsiTheme="majorHAnsi"/>
                <w:b/>
                <w:color w:val="FFFFFF" w:themeColor="background1"/>
                <w:sz w:val="16"/>
                <w:szCs w:val="18"/>
              </w:rPr>
              <w:t>Investment Risks:</w:t>
            </w:r>
            <w:r w:rsidRPr="00F4139E">
              <w:rPr>
                <w:rFonts w:asciiTheme="majorHAnsi" w:hAnsiTheme="majorHAnsi"/>
                <w:b/>
                <w:color w:val="FFFFFF" w:themeColor="background1"/>
                <w:sz w:val="16"/>
                <w:szCs w:val="18"/>
              </w:rPr>
              <w:tab/>
            </w:r>
          </w:p>
        </w:tc>
      </w:tr>
      <w:tr w:rsidR="00DB5A10" w:rsidRPr="00D9079F" w14:paraId="7051B972" w14:textId="77777777" w:rsidTr="00DB5A10">
        <w:tc>
          <w:tcPr>
            <w:tcW w:w="11700" w:type="dxa"/>
          </w:tcPr>
          <w:p w14:paraId="26BE9AA1" w14:textId="77777777" w:rsidR="004F5B56" w:rsidRPr="00F4139E" w:rsidRDefault="008E35FD" w:rsidP="008E35FD">
            <w:pPr>
              <w:pStyle w:val="ListParagraph"/>
              <w:numPr>
                <w:ilvl w:val="0"/>
                <w:numId w:val="7"/>
              </w:numPr>
              <w:rPr>
                <w:rFonts w:asciiTheme="majorHAnsi" w:hAnsiTheme="majorHAnsi"/>
                <w:sz w:val="16"/>
                <w:szCs w:val="16"/>
              </w:rPr>
            </w:pPr>
            <w:r w:rsidRPr="00F4139E">
              <w:rPr>
                <w:rFonts w:asciiTheme="majorHAnsi" w:hAnsiTheme="majorHAnsi"/>
                <w:sz w:val="16"/>
                <w:szCs w:val="16"/>
              </w:rPr>
              <w:t>Risks include a decline in trading volume and potential equity market declines. Current low short-term interest rates may extend well into 2016, which may limit SCHW's earnings growth.</w:t>
            </w:r>
          </w:p>
          <w:p w14:paraId="78159DC0" w14:textId="0580B412" w:rsidR="00DC268D" w:rsidRPr="00F4139E" w:rsidRDefault="00DC268D" w:rsidP="00DC268D">
            <w:pPr>
              <w:pStyle w:val="ListParagraph"/>
              <w:numPr>
                <w:ilvl w:val="0"/>
                <w:numId w:val="7"/>
              </w:numPr>
              <w:rPr>
                <w:rFonts w:asciiTheme="majorHAnsi" w:hAnsiTheme="majorHAnsi"/>
                <w:sz w:val="16"/>
                <w:szCs w:val="18"/>
              </w:rPr>
            </w:pPr>
            <w:r w:rsidRPr="00F4139E">
              <w:rPr>
                <w:rFonts w:asciiTheme="majorHAnsi" w:hAnsiTheme="majorHAnsi"/>
                <w:sz w:val="16"/>
                <w:szCs w:val="16"/>
              </w:rPr>
              <w:t>The economic recovery in the U.S. remains fragile in the meantime, and it is possible that rates will remain suppressed for an extended period. If so, investors will have to wait even longer for a strong and sustained recovery in Schwab's interest profitability</w:t>
            </w:r>
          </w:p>
        </w:tc>
      </w:tr>
      <w:tr w:rsidR="00DB5A10" w:rsidRPr="00D9079F" w14:paraId="76F577E7" w14:textId="77777777" w:rsidTr="00DB5A10">
        <w:tc>
          <w:tcPr>
            <w:tcW w:w="11700" w:type="dxa"/>
            <w:shd w:val="clear" w:color="auto" w:fill="365F91" w:themeFill="accent1" w:themeFillShade="BF"/>
          </w:tcPr>
          <w:p w14:paraId="0A443D6F" w14:textId="10CEBE9C" w:rsidR="00DB5A10" w:rsidRPr="00F4139E" w:rsidRDefault="00DB5A10" w:rsidP="00DB5A10">
            <w:pPr>
              <w:ind w:left="72"/>
              <w:jc w:val="both"/>
              <w:rPr>
                <w:rFonts w:asciiTheme="majorHAnsi" w:hAnsiTheme="majorHAnsi"/>
                <w:color w:val="FFFFFF" w:themeColor="background1"/>
                <w:sz w:val="16"/>
                <w:szCs w:val="18"/>
              </w:rPr>
            </w:pPr>
            <w:r w:rsidRPr="00F4139E">
              <w:rPr>
                <w:rFonts w:asciiTheme="majorHAnsi" w:hAnsiTheme="majorHAnsi"/>
                <w:b/>
                <w:color w:val="FFFFFF" w:themeColor="background1"/>
                <w:sz w:val="16"/>
                <w:szCs w:val="18"/>
              </w:rPr>
              <w:t xml:space="preserve">3-5 take </w:t>
            </w:r>
            <w:r w:rsidR="00274740" w:rsidRPr="00F4139E">
              <w:rPr>
                <w:rFonts w:asciiTheme="majorHAnsi" w:hAnsiTheme="majorHAnsi"/>
                <w:b/>
                <w:color w:val="FFFFFF" w:themeColor="background1"/>
                <w:sz w:val="16"/>
                <w:szCs w:val="18"/>
              </w:rPr>
              <w:t>away</w:t>
            </w:r>
            <w:r w:rsidRPr="00F4139E">
              <w:rPr>
                <w:rFonts w:asciiTheme="majorHAnsi" w:hAnsiTheme="majorHAnsi"/>
                <w:b/>
                <w:color w:val="FFFFFF" w:themeColor="background1"/>
                <w:sz w:val="16"/>
                <w:szCs w:val="18"/>
              </w:rPr>
              <w:t xml:space="preserve"> from last quarter investor call transcript: </w:t>
            </w:r>
            <w:r w:rsidR="00DC268D" w:rsidRPr="00F4139E">
              <w:rPr>
                <w:rFonts w:asciiTheme="majorHAnsi" w:hAnsiTheme="majorHAnsi"/>
                <w:b/>
                <w:color w:val="FFFFFF" w:themeColor="background1"/>
                <w:sz w:val="16"/>
                <w:szCs w:val="18"/>
              </w:rPr>
              <w:t>Q4</w:t>
            </w:r>
            <w:r w:rsidR="00581B35" w:rsidRPr="00F4139E">
              <w:rPr>
                <w:rFonts w:asciiTheme="majorHAnsi" w:hAnsiTheme="majorHAnsi"/>
                <w:b/>
                <w:color w:val="FFFFFF" w:themeColor="background1"/>
                <w:sz w:val="16"/>
                <w:szCs w:val="18"/>
              </w:rPr>
              <w:t xml:space="preserve"> 2015</w:t>
            </w:r>
          </w:p>
        </w:tc>
      </w:tr>
      <w:tr w:rsidR="00DB5A10" w:rsidRPr="00D9079F" w14:paraId="75D76709" w14:textId="77777777" w:rsidTr="00DB5A10">
        <w:trPr>
          <w:trHeight w:val="70"/>
        </w:trPr>
        <w:tc>
          <w:tcPr>
            <w:tcW w:w="11700" w:type="dxa"/>
          </w:tcPr>
          <w:p w14:paraId="6619F3CA" w14:textId="77777777" w:rsidR="00907848" w:rsidRPr="00F4139E" w:rsidRDefault="00DC268D" w:rsidP="00907848">
            <w:pPr>
              <w:pStyle w:val="ListParagraph"/>
              <w:numPr>
                <w:ilvl w:val="0"/>
                <w:numId w:val="7"/>
              </w:numPr>
              <w:rPr>
                <w:rFonts w:asciiTheme="majorHAnsi" w:hAnsiTheme="majorHAnsi"/>
                <w:sz w:val="16"/>
                <w:szCs w:val="18"/>
              </w:rPr>
            </w:pPr>
            <w:r w:rsidRPr="00F4139E">
              <w:rPr>
                <w:rFonts w:asciiTheme="majorHAnsi" w:hAnsiTheme="majorHAnsi"/>
                <w:sz w:val="16"/>
                <w:szCs w:val="16"/>
              </w:rPr>
              <w:t xml:space="preserve">NI for </w:t>
            </w:r>
            <w:r w:rsidR="00907848" w:rsidRPr="00F4139E">
              <w:rPr>
                <w:rFonts w:asciiTheme="majorHAnsi" w:hAnsiTheme="majorHAnsi"/>
                <w:sz w:val="16"/>
                <w:szCs w:val="16"/>
              </w:rPr>
              <w:t xml:space="preserve">Q4 </w:t>
            </w:r>
            <w:r w:rsidRPr="00F4139E">
              <w:rPr>
                <w:rFonts w:asciiTheme="majorHAnsi" w:hAnsiTheme="majorHAnsi"/>
                <w:sz w:val="16"/>
                <w:szCs w:val="16"/>
              </w:rPr>
              <w:t xml:space="preserve">2015 was $416 million, up 11% from $376 million for </w:t>
            </w:r>
            <w:r w:rsidR="00907848" w:rsidRPr="00F4139E">
              <w:rPr>
                <w:rFonts w:asciiTheme="majorHAnsi" w:hAnsiTheme="majorHAnsi"/>
                <w:sz w:val="16"/>
                <w:szCs w:val="16"/>
              </w:rPr>
              <w:t>Q3</w:t>
            </w:r>
            <w:r w:rsidRPr="00F4139E">
              <w:rPr>
                <w:rFonts w:asciiTheme="majorHAnsi" w:hAnsiTheme="majorHAnsi"/>
                <w:sz w:val="16"/>
                <w:szCs w:val="16"/>
              </w:rPr>
              <w:t xml:space="preserve">, and up 19% from $350 million for </w:t>
            </w:r>
            <w:r w:rsidR="00907848" w:rsidRPr="00F4139E">
              <w:rPr>
                <w:rFonts w:asciiTheme="majorHAnsi" w:hAnsiTheme="majorHAnsi"/>
                <w:sz w:val="16"/>
                <w:szCs w:val="16"/>
              </w:rPr>
              <w:t>Q4 2014</w:t>
            </w:r>
          </w:p>
          <w:p w14:paraId="70DE2B7E" w14:textId="77777777" w:rsidR="00925975" w:rsidRPr="00F4139E" w:rsidRDefault="00907848" w:rsidP="00907848">
            <w:pPr>
              <w:pStyle w:val="ListParagraph"/>
              <w:numPr>
                <w:ilvl w:val="0"/>
                <w:numId w:val="7"/>
              </w:numPr>
              <w:rPr>
                <w:rFonts w:asciiTheme="majorHAnsi" w:hAnsiTheme="majorHAnsi"/>
                <w:sz w:val="16"/>
                <w:szCs w:val="18"/>
              </w:rPr>
            </w:pPr>
            <w:r w:rsidRPr="00F4139E">
              <w:rPr>
                <w:rFonts w:asciiTheme="majorHAnsi" w:hAnsiTheme="majorHAnsi"/>
                <w:sz w:val="16"/>
                <w:szCs w:val="16"/>
              </w:rPr>
              <w:t xml:space="preserve">NI for 12 </w:t>
            </w:r>
            <w:r w:rsidR="00DC268D" w:rsidRPr="00F4139E">
              <w:rPr>
                <w:rFonts w:asciiTheme="majorHAnsi" w:hAnsiTheme="majorHAnsi"/>
                <w:sz w:val="16"/>
                <w:szCs w:val="16"/>
              </w:rPr>
              <w:t xml:space="preserve">months ended </w:t>
            </w:r>
            <w:r w:rsidRPr="00F4139E">
              <w:rPr>
                <w:rFonts w:asciiTheme="majorHAnsi" w:hAnsiTheme="majorHAnsi"/>
                <w:sz w:val="16"/>
                <w:szCs w:val="16"/>
              </w:rPr>
              <w:t xml:space="preserve">12/31/2015 </w:t>
            </w:r>
            <w:r w:rsidR="00DC268D" w:rsidRPr="00F4139E">
              <w:rPr>
                <w:rFonts w:asciiTheme="majorHAnsi" w:hAnsiTheme="majorHAnsi"/>
                <w:sz w:val="16"/>
                <w:szCs w:val="16"/>
              </w:rPr>
              <w:t>was $1.4 billion, up 10% from the year-earlier period.</w:t>
            </w:r>
          </w:p>
          <w:p w14:paraId="4205DC0B" w14:textId="7BCB5517" w:rsidR="00907848" w:rsidRPr="00F4139E" w:rsidRDefault="00907848" w:rsidP="004D3E3D">
            <w:pPr>
              <w:pStyle w:val="ListParagraph"/>
              <w:numPr>
                <w:ilvl w:val="0"/>
                <w:numId w:val="7"/>
              </w:numPr>
              <w:rPr>
                <w:rFonts w:asciiTheme="majorHAnsi" w:hAnsiTheme="majorHAnsi"/>
                <w:sz w:val="16"/>
                <w:szCs w:val="18"/>
              </w:rPr>
            </w:pPr>
            <w:r w:rsidRPr="00F4139E">
              <w:rPr>
                <w:rFonts w:asciiTheme="majorHAnsi" w:hAnsiTheme="majorHAnsi"/>
                <w:sz w:val="16"/>
                <w:szCs w:val="16"/>
              </w:rPr>
              <w:t xml:space="preserve">Attracted $134.7 b in core net new assets, up 8% from 2014; </w:t>
            </w:r>
            <w:proofErr w:type="gramStart"/>
            <w:r w:rsidRPr="00F4139E">
              <w:rPr>
                <w:rFonts w:asciiTheme="majorHAnsi" w:hAnsiTheme="majorHAnsi"/>
                <w:sz w:val="16"/>
                <w:szCs w:val="16"/>
              </w:rPr>
              <w:t>Adding</w:t>
            </w:r>
            <w:proofErr w:type="gramEnd"/>
            <w:r w:rsidRPr="00F4139E">
              <w:rPr>
                <w:rFonts w:asciiTheme="majorHAnsi" w:hAnsiTheme="majorHAnsi"/>
                <w:sz w:val="16"/>
                <w:szCs w:val="16"/>
              </w:rPr>
              <w:t xml:space="preserve"> in excess of $100 billion for the 4</w:t>
            </w:r>
            <w:r w:rsidRPr="00F4139E">
              <w:rPr>
                <w:rFonts w:asciiTheme="majorHAnsi" w:hAnsiTheme="majorHAnsi"/>
                <w:sz w:val="16"/>
                <w:szCs w:val="16"/>
                <w:vertAlign w:val="superscript"/>
              </w:rPr>
              <w:t>th</w:t>
            </w:r>
            <w:r w:rsidRPr="00F4139E">
              <w:rPr>
                <w:rFonts w:asciiTheme="majorHAnsi" w:hAnsiTheme="majorHAnsi"/>
                <w:sz w:val="16"/>
                <w:szCs w:val="16"/>
              </w:rPr>
              <w:t xml:space="preserve"> consecutive year; Total client assets at year-end were $2.51 trillion, up 2%.</w:t>
            </w:r>
          </w:p>
        </w:tc>
      </w:tr>
    </w:tbl>
    <w:p w14:paraId="5873EF7F" w14:textId="714356AC" w:rsidR="00B7642F" w:rsidRPr="00D9079F" w:rsidRDefault="00B7642F" w:rsidP="005E114B">
      <w:pPr>
        <w:rPr>
          <w:rFonts w:asciiTheme="majorHAnsi" w:hAnsiTheme="majorHAnsi"/>
          <w:sz w:val="16"/>
          <w:szCs w:val="16"/>
        </w:rPr>
      </w:pPr>
    </w:p>
    <w:tbl>
      <w:tblPr>
        <w:tblStyle w:val="TableGrid"/>
        <w:tblW w:w="11808" w:type="dxa"/>
        <w:tblInd w:w="-1440" w:type="dxa"/>
        <w:tblLook w:val="04A0" w:firstRow="1" w:lastRow="0" w:firstColumn="1" w:lastColumn="0" w:noHBand="0" w:noVBand="1"/>
      </w:tblPr>
      <w:tblGrid>
        <w:gridCol w:w="7218"/>
        <w:gridCol w:w="4590"/>
      </w:tblGrid>
      <w:tr w:rsidR="00830F06" w:rsidRPr="00D9079F" w14:paraId="730DB2FF" w14:textId="77777777" w:rsidTr="00FC0F5A">
        <w:tc>
          <w:tcPr>
            <w:tcW w:w="7218" w:type="dxa"/>
            <w:shd w:val="clear" w:color="auto" w:fill="365F91" w:themeFill="accent1" w:themeFillShade="BF"/>
          </w:tcPr>
          <w:p w14:paraId="7CF6246B" w14:textId="38A66325" w:rsidR="00830F06" w:rsidRPr="00D9079F" w:rsidRDefault="00830F06" w:rsidP="00443ED9">
            <w:pPr>
              <w:jc w:val="both"/>
              <w:rPr>
                <w:rFonts w:asciiTheme="majorHAnsi" w:hAnsiTheme="majorHAnsi"/>
                <w:b/>
                <w:color w:val="FFFFFF" w:themeColor="background1"/>
                <w:sz w:val="16"/>
                <w:szCs w:val="16"/>
              </w:rPr>
            </w:pPr>
            <w:r w:rsidRPr="00D9079F">
              <w:rPr>
                <w:rFonts w:asciiTheme="majorHAnsi" w:hAnsiTheme="majorHAnsi"/>
                <w:b/>
                <w:color w:val="FFFFFF" w:themeColor="background1"/>
                <w:sz w:val="16"/>
                <w:szCs w:val="16"/>
              </w:rPr>
              <w:t>Financial Performance:</w:t>
            </w:r>
          </w:p>
        </w:tc>
        <w:tc>
          <w:tcPr>
            <w:tcW w:w="4590" w:type="dxa"/>
            <w:shd w:val="clear" w:color="auto" w:fill="365F91" w:themeFill="accent1" w:themeFillShade="BF"/>
          </w:tcPr>
          <w:p w14:paraId="09E00ADF" w14:textId="62365A7B" w:rsidR="00830F06" w:rsidRPr="00D9079F" w:rsidRDefault="00830F06" w:rsidP="00443ED9">
            <w:pPr>
              <w:jc w:val="both"/>
              <w:rPr>
                <w:rFonts w:asciiTheme="majorHAnsi" w:hAnsiTheme="majorHAnsi"/>
                <w:b/>
                <w:color w:val="FFFFFF" w:themeColor="background1"/>
                <w:sz w:val="16"/>
                <w:szCs w:val="16"/>
              </w:rPr>
            </w:pPr>
            <w:r w:rsidRPr="00D9079F">
              <w:rPr>
                <w:rFonts w:asciiTheme="majorHAnsi" w:hAnsiTheme="majorHAnsi"/>
                <w:b/>
                <w:color w:val="FFFFFF" w:themeColor="background1"/>
                <w:sz w:val="16"/>
                <w:szCs w:val="16"/>
              </w:rPr>
              <w:t xml:space="preserve">Discounted Cash Flow </w:t>
            </w:r>
          </w:p>
        </w:tc>
      </w:tr>
      <w:tr w:rsidR="00830F06" w:rsidRPr="00D9079F" w14:paraId="0538015D" w14:textId="77777777" w:rsidTr="00FC0F5A">
        <w:tc>
          <w:tcPr>
            <w:tcW w:w="7218" w:type="dxa"/>
          </w:tcPr>
          <w:p w14:paraId="0E62487F" w14:textId="77777777" w:rsidR="00284A3E" w:rsidRDefault="00284A3E" w:rsidP="00443ED9">
            <w:pPr>
              <w:jc w:val="both"/>
              <w:rPr>
                <w:noProof/>
              </w:rPr>
            </w:pPr>
          </w:p>
          <w:p w14:paraId="6973B10F" w14:textId="0AA28EF7" w:rsidR="00830F06" w:rsidRPr="00D9079F" w:rsidRDefault="00D06A5C" w:rsidP="00443ED9">
            <w:pPr>
              <w:jc w:val="both"/>
              <w:rPr>
                <w:rFonts w:asciiTheme="majorHAnsi" w:hAnsiTheme="majorHAnsi"/>
                <w:b/>
                <w:sz w:val="16"/>
                <w:szCs w:val="16"/>
              </w:rPr>
            </w:pPr>
            <w:r>
              <w:rPr>
                <w:noProof/>
              </w:rPr>
              <w:drawing>
                <wp:inline distT="0" distB="0" distL="0" distR="0" wp14:anchorId="19534378" wp14:editId="2D1E030E">
                  <wp:extent cx="4415529" cy="1673524"/>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34839" cy="1680843"/>
                          </a:xfrm>
                          <a:prstGeom prst="rect">
                            <a:avLst/>
                          </a:prstGeom>
                        </pic:spPr>
                      </pic:pic>
                    </a:graphicData>
                  </a:graphic>
                </wp:inline>
              </w:drawing>
            </w:r>
          </w:p>
          <w:p w14:paraId="6F98E45C" w14:textId="77777777" w:rsidR="00830F06" w:rsidRPr="00D9079F" w:rsidRDefault="00830F06" w:rsidP="00443ED9">
            <w:pPr>
              <w:jc w:val="both"/>
              <w:rPr>
                <w:rFonts w:asciiTheme="majorHAnsi" w:hAnsiTheme="majorHAnsi"/>
                <w:b/>
                <w:sz w:val="16"/>
                <w:szCs w:val="16"/>
              </w:rPr>
            </w:pPr>
          </w:p>
        </w:tc>
        <w:tc>
          <w:tcPr>
            <w:tcW w:w="4590" w:type="dxa"/>
          </w:tcPr>
          <w:p w14:paraId="3276E349" w14:textId="77777777" w:rsidR="00830F06" w:rsidRPr="00D9079F" w:rsidRDefault="00830F06" w:rsidP="00443ED9">
            <w:pPr>
              <w:jc w:val="both"/>
              <w:rPr>
                <w:rFonts w:asciiTheme="majorHAnsi" w:hAnsiTheme="majorHAnsi"/>
                <w:b/>
                <w:sz w:val="16"/>
                <w:szCs w:val="16"/>
              </w:rPr>
            </w:pPr>
          </w:p>
          <w:tbl>
            <w:tblPr>
              <w:tblStyle w:val="TableGrid"/>
              <w:tblW w:w="0" w:type="auto"/>
              <w:tblLook w:val="04A0" w:firstRow="1" w:lastRow="0" w:firstColumn="1" w:lastColumn="0" w:noHBand="0" w:noVBand="1"/>
            </w:tblPr>
            <w:tblGrid>
              <w:gridCol w:w="1897"/>
              <w:gridCol w:w="1123"/>
              <w:gridCol w:w="1074"/>
            </w:tblGrid>
            <w:tr w:rsidR="0060598F" w:rsidRPr="00D9079F" w14:paraId="4C54BF94" w14:textId="77777777" w:rsidTr="00FC0F5A">
              <w:tc>
                <w:tcPr>
                  <w:tcW w:w="1897" w:type="dxa"/>
                  <w:shd w:val="clear" w:color="auto" w:fill="DBE5F1" w:themeFill="accent1" w:themeFillTint="33"/>
                </w:tcPr>
                <w:p w14:paraId="15FA463B" w14:textId="77777777" w:rsidR="00830F06" w:rsidRPr="00D9079F" w:rsidRDefault="00830F06" w:rsidP="00830F06">
                  <w:pPr>
                    <w:rPr>
                      <w:rFonts w:asciiTheme="majorHAnsi" w:hAnsiTheme="majorHAnsi"/>
                      <w:sz w:val="16"/>
                      <w:szCs w:val="16"/>
                    </w:rPr>
                  </w:pPr>
                </w:p>
              </w:tc>
              <w:tc>
                <w:tcPr>
                  <w:tcW w:w="1123" w:type="dxa"/>
                  <w:shd w:val="clear" w:color="auto" w:fill="DBE5F1" w:themeFill="accent1" w:themeFillTint="33"/>
                </w:tcPr>
                <w:p w14:paraId="3D650FB0" w14:textId="4826DF0D" w:rsidR="00830F06" w:rsidRPr="00D9079F" w:rsidRDefault="00830F06" w:rsidP="00E42CC2">
                  <w:pPr>
                    <w:rPr>
                      <w:rFonts w:asciiTheme="majorHAnsi" w:hAnsiTheme="majorHAnsi"/>
                      <w:sz w:val="16"/>
                      <w:szCs w:val="16"/>
                    </w:rPr>
                  </w:pPr>
                  <w:r w:rsidRPr="00D9079F">
                    <w:rPr>
                      <w:rFonts w:asciiTheme="majorHAnsi" w:hAnsiTheme="majorHAnsi"/>
                      <w:sz w:val="16"/>
                      <w:szCs w:val="16"/>
                    </w:rPr>
                    <w:t>201</w:t>
                  </w:r>
                  <w:r w:rsidR="00E42CC2" w:rsidRPr="00D9079F">
                    <w:rPr>
                      <w:rFonts w:asciiTheme="majorHAnsi" w:hAnsiTheme="majorHAnsi"/>
                      <w:sz w:val="16"/>
                      <w:szCs w:val="16"/>
                    </w:rPr>
                    <w:t>0</w:t>
                  </w:r>
                  <w:r w:rsidR="001A1781" w:rsidRPr="00D9079F">
                    <w:rPr>
                      <w:rFonts w:asciiTheme="majorHAnsi" w:hAnsiTheme="majorHAnsi"/>
                      <w:sz w:val="16"/>
                      <w:szCs w:val="16"/>
                    </w:rPr>
                    <w:t>-15</w:t>
                  </w:r>
                </w:p>
              </w:tc>
              <w:tc>
                <w:tcPr>
                  <w:tcW w:w="1074" w:type="dxa"/>
                  <w:shd w:val="clear" w:color="auto" w:fill="DBE5F1" w:themeFill="accent1" w:themeFillTint="33"/>
                </w:tcPr>
                <w:p w14:paraId="6917AD00" w14:textId="06AD074B" w:rsidR="00830F06" w:rsidRPr="00D9079F" w:rsidRDefault="001A1781" w:rsidP="00830F06">
                  <w:pPr>
                    <w:rPr>
                      <w:rFonts w:asciiTheme="majorHAnsi" w:hAnsiTheme="majorHAnsi"/>
                      <w:sz w:val="16"/>
                      <w:szCs w:val="16"/>
                    </w:rPr>
                  </w:pPr>
                  <w:r w:rsidRPr="00D9079F">
                    <w:rPr>
                      <w:rFonts w:asciiTheme="majorHAnsi" w:hAnsiTheme="majorHAnsi"/>
                      <w:sz w:val="16"/>
                      <w:szCs w:val="16"/>
                    </w:rPr>
                    <w:t>2016-20</w:t>
                  </w:r>
                </w:p>
              </w:tc>
            </w:tr>
            <w:tr w:rsidR="0060598F" w:rsidRPr="00D9079F" w14:paraId="5A9DD5F4" w14:textId="77777777" w:rsidTr="00FC0F5A">
              <w:tc>
                <w:tcPr>
                  <w:tcW w:w="1897" w:type="dxa"/>
                </w:tcPr>
                <w:p w14:paraId="6A465DCA" w14:textId="77777777" w:rsidR="00830F06" w:rsidRPr="00D9079F" w:rsidRDefault="00830F06" w:rsidP="00830F06">
                  <w:pPr>
                    <w:rPr>
                      <w:rFonts w:asciiTheme="majorHAnsi" w:hAnsiTheme="majorHAnsi"/>
                      <w:sz w:val="16"/>
                      <w:szCs w:val="16"/>
                    </w:rPr>
                  </w:pPr>
                  <w:proofErr w:type="spellStart"/>
                  <w:r w:rsidRPr="00D9079F">
                    <w:rPr>
                      <w:rFonts w:asciiTheme="majorHAnsi" w:hAnsiTheme="majorHAnsi"/>
                      <w:sz w:val="16"/>
                      <w:szCs w:val="16"/>
                    </w:rPr>
                    <w:t>Avg</w:t>
                  </w:r>
                  <w:proofErr w:type="spellEnd"/>
                  <w:r w:rsidRPr="00D9079F">
                    <w:rPr>
                      <w:rFonts w:asciiTheme="majorHAnsi" w:hAnsiTheme="majorHAnsi"/>
                      <w:sz w:val="16"/>
                      <w:szCs w:val="16"/>
                    </w:rPr>
                    <w:t xml:space="preserve">  Revenue growth </w:t>
                  </w:r>
                </w:p>
              </w:tc>
              <w:tc>
                <w:tcPr>
                  <w:tcW w:w="1123" w:type="dxa"/>
                </w:tcPr>
                <w:p w14:paraId="28890419" w14:textId="189AD6A5" w:rsidR="00830F06" w:rsidRPr="00D9079F" w:rsidRDefault="00D06A5C" w:rsidP="00830F06">
                  <w:pPr>
                    <w:rPr>
                      <w:rFonts w:asciiTheme="majorHAnsi" w:hAnsiTheme="majorHAnsi"/>
                      <w:sz w:val="16"/>
                      <w:szCs w:val="16"/>
                    </w:rPr>
                  </w:pPr>
                  <w:r>
                    <w:rPr>
                      <w:rFonts w:asciiTheme="majorHAnsi" w:hAnsiTheme="majorHAnsi"/>
                      <w:sz w:val="16"/>
                      <w:szCs w:val="16"/>
                    </w:rPr>
                    <w:t>8%</w:t>
                  </w:r>
                </w:p>
              </w:tc>
              <w:tc>
                <w:tcPr>
                  <w:tcW w:w="1074" w:type="dxa"/>
                </w:tcPr>
                <w:p w14:paraId="2B6EF445" w14:textId="07293456" w:rsidR="00830F06" w:rsidRPr="00D9079F" w:rsidRDefault="00D06A5C" w:rsidP="00830F06">
                  <w:pPr>
                    <w:rPr>
                      <w:rFonts w:asciiTheme="majorHAnsi" w:hAnsiTheme="majorHAnsi"/>
                      <w:sz w:val="16"/>
                      <w:szCs w:val="16"/>
                    </w:rPr>
                  </w:pPr>
                  <w:r>
                    <w:rPr>
                      <w:rFonts w:asciiTheme="majorHAnsi" w:hAnsiTheme="majorHAnsi"/>
                      <w:sz w:val="16"/>
                      <w:szCs w:val="16"/>
                    </w:rPr>
                    <w:t>10%</w:t>
                  </w:r>
                </w:p>
              </w:tc>
            </w:tr>
            <w:tr w:rsidR="0060598F" w:rsidRPr="00D9079F" w14:paraId="49A71F37" w14:textId="77777777" w:rsidTr="00FC0F5A">
              <w:tc>
                <w:tcPr>
                  <w:tcW w:w="1897" w:type="dxa"/>
                </w:tcPr>
                <w:p w14:paraId="7425D824" w14:textId="77777777" w:rsidR="00830F06" w:rsidRPr="00D9079F" w:rsidRDefault="00830F06" w:rsidP="00830F06">
                  <w:pPr>
                    <w:rPr>
                      <w:rFonts w:asciiTheme="majorHAnsi" w:hAnsiTheme="majorHAnsi"/>
                      <w:sz w:val="16"/>
                      <w:szCs w:val="16"/>
                    </w:rPr>
                  </w:pPr>
                  <w:proofErr w:type="spellStart"/>
                  <w:r w:rsidRPr="00D9079F">
                    <w:rPr>
                      <w:rFonts w:asciiTheme="majorHAnsi" w:hAnsiTheme="majorHAnsi"/>
                      <w:sz w:val="16"/>
                      <w:szCs w:val="16"/>
                    </w:rPr>
                    <w:t>Avg</w:t>
                  </w:r>
                  <w:proofErr w:type="spellEnd"/>
                  <w:r w:rsidRPr="00D9079F">
                    <w:rPr>
                      <w:rFonts w:asciiTheme="majorHAnsi" w:hAnsiTheme="majorHAnsi"/>
                      <w:sz w:val="16"/>
                      <w:szCs w:val="16"/>
                    </w:rPr>
                    <w:t xml:space="preserve">  EBITDA Margin </w:t>
                  </w:r>
                </w:p>
              </w:tc>
              <w:tc>
                <w:tcPr>
                  <w:tcW w:w="1123" w:type="dxa"/>
                </w:tcPr>
                <w:p w14:paraId="6AE1C97F" w14:textId="52C98A27" w:rsidR="00830F06" w:rsidRPr="00D9079F" w:rsidRDefault="00D06A5C" w:rsidP="00FD0265">
                  <w:pPr>
                    <w:rPr>
                      <w:rFonts w:asciiTheme="majorHAnsi" w:hAnsiTheme="majorHAnsi"/>
                      <w:sz w:val="16"/>
                      <w:szCs w:val="16"/>
                    </w:rPr>
                  </w:pPr>
                  <w:r>
                    <w:rPr>
                      <w:rFonts w:asciiTheme="majorHAnsi" w:hAnsiTheme="majorHAnsi"/>
                      <w:sz w:val="16"/>
                      <w:szCs w:val="16"/>
                    </w:rPr>
                    <w:t>35%</w:t>
                  </w:r>
                </w:p>
              </w:tc>
              <w:tc>
                <w:tcPr>
                  <w:tcW w:w="1074" w:type="dxa"/>
                </w:tcPr>
                <w:p w14:paraId="72FC070B" w14:textId="18C5DBE1" w:rsidR="00830F06" w:rsidRPr="00D9079F" w:rsidRDefault="00D06A5C" w:rsidP="00830F06">
                  <w:pPr>
                    <w:rPr>
                      <w:rFonts w:asciiTheme="majorHAnsi" w:hAnsiTheme="majorHAnsi"/>
                      <w:sz w:val="16"/>
                      <w:szCs w:val="16"/>
                    </w:rPr>
                  </w:pPr>
                  <w:r>
                    <w:rPr>
                      <w:rFonts w:asciiTheme="majorHAnsi" w:hAnsiTheme="majorHAnsi"/>
                      <w:sz w:val="16"/>
                      <w:szCs w:val="16"/>
                    </w:rPr>
                    <w:t>36%</w:t>
                  </w:r>
                </w:p>
              </w:tc>
            </w:tr>
            <w:tr w:rsidR="0060598F" w:rsidRPr="00D9079F" w14:paraId="5B01660D" w14:textId="77777777" w:rsidTr="00FC0F5A">
              <w:tc>
                <w:tcPr>
                  <w:tcW w:w="1897" w:type="dxa"/>
                </w:tcPr>
                <w:p w14:paraId="2B656250" w14:textId="77777777" w:rsidR="00830F06" w:rsidRPr="00230BD4" w:rsidRDefault="00830F06" w:rsidP="00830F06">
                  <w:pPr>
                    <w:rPr>
                      <w:rFonts w:asciiTheme="majorHAnsi" w:hAnsiTheme="majorHAnsi"/>
                      <w:sz w:val="16"/>
                      <w:szCs w:val="16"/>
                    </w:rPr>
                  </w:pPr>
                  <w:proofErr w:type="spellStart"/>
                  <w:r w:rsidRPr="00230BD4">
                    <w:rPr>
                      <w:rFonts w:asciiTheme="majorHAnsi" w:hAnsiTheme="majorHAnsi"/>
                      <w:sz w:val="16"/>
                      <w:szCs w:val="16"/>
                    </w:rPr>
                    <w:t>Avg</w:t>
                  </w:r>
                  <w:proofErr w:type="spellEnd"/>
                  <w:r w:rsidRPr="00230BD4">
                    <w:rPr>
                      <w:rFonts w:asciiTheme="majorHAnsi" w:hAnsiTheme="majorHAnsi"/>
                      <w:sz w:val="16"/>
                      <w:szCs w:val="16"/>
                    </w:rPr>
                    <w:t xml:space="preserve">  Net Income Margin </w:t>
                  </w:r>
                </w:p>
              </w:tc>
              <w:tc>
                <w:tcPr>
                  <w:tcW w:w="1123" w:type="dxa"/>
                </w:tcPr>
                <w:p w14:paraId="6B796F07" w14:textId="7990F4D1" w:rsidR="00830F06" w:rsidRPr="00D9079F" w:rsidRDefault="00D06A5C" w:rsidP="00830F06">
                  <w:pPr>
                    <w:rPr>
                      <w:rFonts w:asciiTheme="majorHAnsi" w:hAnsiTheme="majorHAnsi"/>
                      <w:sz w:val="16"/>
                      <w:szCs w:val="16"/>
                    </w:rPr>
                  </w:pPr>
                  <w:r>
                    <w:rPr>
                      <w:rFonts w:asciiTheme="majorHAnsi" w:hAnsiTheme="majorHAnsi"/>
                      <w:sz w:val="16"/>
                      <w:szCs w:val="16"/>
                    </w:rPr>
                    <w:t>20%</w:t>
                  </w:r>
                </w:p>
              </w:tc>
              <w:tc>
                <w:tcPr>
                  <w:tcW w:w="1074" w:type="dxa"/>
                </w:tcPr>
                <w:p w14:paraId="2CA542D3" w14:textId="490CEAF7" w:rsidR="00830F06" w:rsidRPr="00D9079F" w:rsidRDefault="00D06A5C" w:rsidP="00830F06">
                  <w:pPr>
                    <w:rPr>
                      <w:rFonts w:asciiTheme="majorHAnsi" w:hAnsiTheme="majorHAnsi"/>
                      <w:sz w:val="16"/>
                      <w:szCs w:val="16"/>
                    </w:rPr>
                  </w:pPr>
                  <w:r>
                    <w:rPr>
                      <w:rFonts w:asciiTheme="majorHAnsi" w:hAnsiTheme="majorHAnsi"/>
                      <w:sz w:val="16"/>
                      <w:szCs w:val="16"/>
                    </w:rPr>
                    <w:t>21%</w:t>
                  </w:r>
                </w:p>
              </w:tc>
            </w:tr>
            <w:tr w:rsidR="0060598F" w:rsidRPr="00D9079F" w14:paraId="1407D251" w14:textId="77777777" w:rsidTr="00FC0F5A">
              <w:tc>
                <w:tcPr>
                  <w:tcW w:w="1897" w:type="dxa"/>
                </w:tcPr>
                <w:p w14:paraId="5FB4F2E9" w14:textId="77777777" w:rsidR="00830F06" w:rsidRPr="00230BD4" w:rsidRDefault="00830F06" w:rsidP="00830F06">
                  <w:pPr>
                    <w:rPr>
                      <w:rFonts w:asciiTheme="majorHAnsi" w:hAnsiTheme="majorHAnsi"/>
                      <w:sz w:val="16"/>
                      <w:szCs w:val="16"/>
                    </w:rPr>
                  </w:pPr>
                  <w:proofErr w:type="spellStart"/>
                  <w:r w:rsidRPr="00230BD4">
                    <w:rPr>
                      <w:rFonts w:asciiTheme="majorHAnsi" w:hAnsiTheme="majorHAnsi"/>
                      <w:sz w:val="16"/>
                      <w:szCs w:val="16"/>
                    </w:rPr>
                    <w:t>Avg</w:t>
                  </w:r>
                  <w:proofErr w:type="spellEnd"/>
                  <w:r w:rsidRPr="00230BD4">
                    <w:rPr>
                      <w:rFonts w:asciiTheme="majorHAnsi" w:hAnsiTheme="majorHAnsi"/>
                      <w:sz w:val="16"/>
                      <w:szCs w:val="16"/>
                    </w:rPr>
                    <w:t xml:space="preserve">  Debt/Equity </w:t>
                  </w:r>
                </w:p>
              </w:tc>
              <w:tc>
                <w:tcPr>
                  <w:tcW w:w="1123" w:type="dxa"/>
                </w:tcPr>
                <w:p w14:paraId="3BD7CDF4" w14:textId="404BA62B" w:rsidR="00830F06" w:rsidRPr="00466EEE" w:rsidRDefault="00466EEE" w:rsidP="00830F06">
                  <w:pPr>
                    <w:rPr>
                      <w:rFonts w:asciiTheme="majorHAnsi" w:hAnsiTheme="majorHAnsi"/>
                      <w:sz w:val="16"/>
                      <w:szCs w:val="16"/>
                    </w:rPr>
                  </w:pPr>
                  <w:r w:rsidRPr="00466EEE">
                    <w:rPr>
                      <w:rFonts w:asciiTheme="majorHAnsi" w:hAnsiTheme="majorHAnsi"/>
                      <w:sz w:val="16"/>
                      <w:szCs w:val="16"/>
                    </w:rPr>
                    <w:t>0.4</w:t>
                  </w:r>
                </w:p>
              </w:tc>
              <w:tc>
                <w:tcPr>
                  <w:tcW w:w="1074" w:type="dxa"/>
                </w:tcPr>
                <w:p w14:paraId="6104E666" w14:textId="3132A0F4" w:rsidR="00830F06" w:rsidRPr="00466EEE" w:rsidRDefault="00466EEE" w:rsidP="00830F06">
                  <w:pPr>
                    <w:rPr>
                      <w:rFonts w:asciiTheme="majorHAnsi" w:hAnsiTheme="majorHAnsi"/>
                      <w:sz w:val="16"/>
                      <w:szCs w:val="16"/>
                    </w:rPr>
                  </w:pPr>
                  <w:r w:rsidRPr="00466EEE">
                    <w:rPr>
                      <w:rFonts w:asciiTheme="majorHAnsi" w:hAnsiTheme="majorHAnsi"/>
                      <w:sz w:val="16"/>
                      <w:szCs w:val="16"/>
                    </w:rPr>
                    <w:t>0.4</w:t>
                  </w:r>
                </w:p>
              </w:tc>
            </w:tr>
            <w:tr w:rsidR="0060598F" w:rsidRPr="00D9079F" w14:paraId="261F133B" w14:textId="77777777" w:rsidTr="00FC0F5A">
              <w:tc>
                <w:tcPr>
                  <w:tcW w:w="1897" w:type="dxa"/>
                </w:tcPr>
                <w:p w14:paraId="0B1C1930" w14:textId="5020BC3E" w:rsidR="00830F06" w:rsidRPr="00D9079F" w:rsidRDefault="00830F06" w:rsidP="00FD0265">
                  <w:pPr>
                    <w:rPr>
                      <w:rFonts w:asciiTheme="majorHAnsi" w:hAnsiTheme="majorHAnsi"/>
                      <w:sz w:val="16"/>
                      <w:szCs w:val="16"/>
                    </w:rPr>
                  </w:pPr>
                  <w:proofErr w:type="spellStart"/>
                  <w:r w:rsidRPr="00D9079F">
                    <w:rPr>
                      <w:rFonts w:asciiTheme="majorHAnsi" w:hAnsiTheme="majorHAnsi"/>
                      <w:sz w:val="16"/>
                      <w:szCs w:val="16"/>
                    </w:rPr>
                    <w:t>Avg</w:t>
                  </w:r>
                  <w:proofErr w:type="spellEnd"/>
                  <w:r w:rsidRPr="00D9079F">
                    <w:rPr>
                      <w:rFonts w:asciiTheme="majorHAnsi" w:hAnsiTheme="majorHAnsi"/>
                      <w:sz w:val="16"/>
                      <w:szCs w:val="16"/>
                    </w:rPr>
                    <w:t xml:space="preserve">  </w:t>
                  </w:r>
                  <w:r w:rsidR="00FD0265" w:rsidRPr="00D9079F">
                    <w:rPr>
                      <w:rFonts w:asciiTheme="majorHAnsi" w:hAnsiTheme="majorHAnsi"/>
                      <w:sz w:val="16"/>
                      <w:szCs w:val="16"/>
                    </w:rPr>
                    <w:t>FCF</w:t>
                  </w:r>
                  <w:r w:rsidRPr="00D9079F">
                    <w:rPr>
                      <w:rFonts w:asciiTheme="majorHAnsi" w:hAnsiTheme="majorHAnsi"/>
                      <w:sz w:val="16"/>
                      <w:szCs w:val="16"/>
                    </w:rPr>
                    <w:t xml:space="preserve"> / </w:t>
                  </w:r>
                  <w:r w:rsidR="00FD0265" w:rsidRPr="00D9079F">
                    <w:rPr>
                      <w:rFonts w:asciiTheme="majorHAnsi" w:hAnsiTheme="majorHAnsi"/>
                      <w:sz w:val="16"/>
                      <w:szCs w:val="16"/>
                    </w:rPr>
                    <w:t>Margin</w:t>
                  </w:r>
                  <w:r w:rsidRPr="00D9079F">
                    <w:rPr>
                      <w:rFonts w:asciiTheme="majorHAnsi" w:hAnsiTheme="majorHAnsi"/>
                      <w:sz w:val="16"/>
                      <w:szCs w:val="16"/>
                    </w:rPr>
                    <w:t xml:space="preserve"> </w:t>
                  </w:r>
                </w:p>
              </w:tc>
              <w:tc>
                <w:tcPr>
                  <w:tcW w:w="1123" w:type="dxa"/>
                  <w:shd w:val="clear" w:color="auto" w:fill="auto"/>
                </w:tcPr>
                <w:p w14:paraId="4FFEFCE9" w14:textId="0F9ED515" w:rsidR="00830F06" w:rsidRPr="00D9079F" w:rsidRDefault="00D06A5C" w:rsidP="00830F06">
                  <w:pPr>
                    <w:rPr>
                      <w:rFonts w:asciiTheme="majorHAnsi" w:hAnsiTheme="majorHAnsi"/>
                      <w:sz w:val="16"/>
                      <w:szCs w:val="16"/>
                    </w:rPr>
                  </w:pPr>
                  <w:r>
                    <w:rPr>
                      <w:rFonts w:asciiTheme="majorHAnsi" w:hAnsiTheme="majorHAnsi"/>
                      <w:sz w:val="16"/>
                      <w:szCs w:val="16"/>
                    </w:rPr>
                    <w:t>20%</w:t>
                  </w:r>
                </w:p>
              </w:tc>
              <w:tc>
                <w:tcPr>
                  <w:tcW w:w="1074" w:type="dxa"/>
                  <w:shd w:val="clear" w:color="auto" w:fill="auto"/>
                </w:tcPr>
                <w:p w14:paraId="04395283" w14:textId="5B6147D1" w:rsidR="00830F06" w:rsidRPr="00D9079F" w:rsidRDefault="00D06A5C" w:rsidP="00830F06">
                  <w:pPr>
                    <w:rPr>
                      <w:rFonts w:asciiTheme="majorHAnsi" w:hAnsiTheme="majorHAnsi"/>
                      <w:sz w:val="16"/>
                      <w:szCs w:val="16"/>
                    </w:rPr>
                  </w:pPr>
                  <w:r>
                    <w:rPr>
                      <w:rFonts w:asciiTheme="majorHAnsi" w:hAnsiTheme="majorHAnsi"/>
                      <w:sz w:val="16"/>
                      <w:szCs w:val="16"/>
                    </w:rPr>
                    <w:t>21%</w:t>
                  </w:r>
                </w:p>
              </w:tc>
            </w:tr>
            <w:tr w:rsidR="00830F06" w:rsidRPr="00D9079F" w14:paraId="42F79EE5" w14:textId="77777777" w:rsidTr="00FC0F5A">
              <w:tc>
                <w:tcPr>
                  <w:tcW w:w="3020" w:type="dxa"/>
                  <w:gridSpan w:val="2"/>
                </w:tcPr>
                <w:p w14:paraId="11317549" w14:textId="77777777" w:rsidR="00830F06" w:rsidRPr="00D9079F" w:rsidRDefault="00830F06" w:rsidP="00830F06">
                  <w:pPr>
                    <w:rPr>
                      <w:rFonts w:asciiTheme="majorHAnsi" w:hAnsiTheme="majorHAnsi"/>
                      <w:sz w:val="16"/>
                      <w:szCs w:val="16"/>
                    </w:rPr>
                  </w:pPr>
                  <w:r w:rsidRPr="00D9079F">
                    <w:rPr>
                      <w:rFonts w:asciiTheme="majorHAnsi" w:hAnsiTheme="majorHAnsi"/>
                      <w:sz w:val="16"/>
                      <w:szCs w:val="16"/>
                    </w:rPr>
                    <w:t>Cost of Debt</w:t>
                  </w:r>
                </w:p>
              </w:tc>
              <w:tc>
                <w:tcPr>
                  <w:tcW w:w="1074" w:type="dxa"/>
                </w:tcPr>
                <w:p w14:paraId="316D237F" w14:textId="005BC975" w:rsidR="00830F06" w:rsidRPr="00D9079F" w:rsidRDefault="00466EEE" w:rsidP="00830F06">
                  <w:pPr>
                    <w:rPr>
                      <w:rFonts w:asciiTheme="majorHAnsi" w:hAnsiTheme="majorHAnsi"/>
                      <w:sz w:val="16"/>
                      <w:szCs w:val="16"/>
                    </w:rPr>
                  </w:pPr>
                  <w:r>
                    <w:rPr>
                      <w:rFonts w:asciiTheme="majorHAnsi" w:hAnsiTheme="majorHAnsi"/>
                      <w:sz w:val="16"/>
                      <w:szCs w:val="16"/>
                    </w:rPr>
                    <w:t>1.00%</w:t>
                  </w:r>
                </w:p>
              </w:tc>
            </w:tr>
            <w:tr w:rsidR="00830F06" w:rsidRPr="00D9079F" w14:paraId="67214880" w14:textId="77777777" w:rsidTr="00FC0F5A">
              <w:tc>
                <w:tcPr>
                  <w:tcW w:w="3020" w:type="dxa"/>
                  <w:gridSpan w:val="2"/>
                </w:tcPr>
                <w:p w14:paraId="30979647" w14:textId="77777777" w:rsidR="00830F06" w:rsidRPr="00D9079F" w:rsidRDefault="00830F06" w:rsidP="00830F06">
                  <w:pPr>
                    <w:rPr>
                      <w:rFonts w:asciiTheme="majorHAnsi" w:hAnsiTheme="majorHAnsi"/>
                      <w:sz w:val="16"/>
                      <w:szCs w:val="16"/>
                    </w:rPr>
                  </w:pPr>
                  <w:r w:rsidRPr="00D9079F">
                    <w:rPr>
                      <w:rFonts w:asciiTheme="majorHAnsi" w:hAnsiTheme="majorHAnsi"/>
                      <w:sz w:val="16"/>
                      <w:szCs w:val="16"/>
                    </w:rPr>
                    <w:t>Tax Rate</w:t>
                  </w:r>
                </w:p>
              </w:tc>
              <w:tc>
                <w:tcPr>
                  <w:tcW w:w="1074" w:type="dxa"/>
                </w:tcPr>
                <w:p w14:paraId="426CE887" w14:textId="533DAE7D" w:rsidR="00830F06" w:rsidRPr="00D9079F" w:rsidRDefault="00466EEE" w:rsidP="00925975">
                  <w:pPr>
                    <w:rPr>
                      <w:rFonts w:asciiTheme="majorHAnsi" w:hAnsiTheme="majorHAnsi"/>
                      <w:sz w:val="16"/>
                      <w:szCs w:val="16"/>
                    </w:rPr>
                  </w:pPr>
                  <w:r>
                    <w:rPr>
                      <w:rFonts w:asciiTheme="majorHAnsi" w:hAnsiTheme="majorHAnsi"/>
                      <w:sz w:val="16"/>
                      <w:szCs w:val="16"/>
                    </w:rPr>
                    <w:t>36%</w:t>
                  </w:r>
                </w:p>
              </w:tc>
            </w:tr>
            <w:tr w:rsidR="00830F06" w:rsidRPr="00D9079F" w14:paraId="0F9564DE" w14:textId="77777777" w:rsidTr="00FC0F5A">
              <w:tc>
                <w:tcPr>
                  <w:tcW w:w="3020" w:type="dxa"/>
                  <w:gridSpan w:val="2"/>
                </w:tcPr>
                <w:p w14:paraId="02E73EF4" w14:textId="77777777" w:rsidR="00830F06" w:rsidRPr="00D9079F" w:rsidRDefault="00830F06" w:rsidP="00830F06">
                  <w:pPr>
                    <w:rPr>
                      <w:rFonts w:asciiTheme="majorHAnsi" w:hAnsiTheme="majorHAnsi"/>
                      <w:sz w:val="16"/>
                      <w:szCs w:val="16"/>
                    </w:rPr>
                  </w:pPr>
                  <w:r w:rsidRPr="00D9079F">
                    <w:rPr>
                      <w:rFonts w:asciiTheme="majorHAnsi" w:hAnsiTheme="majorHAnsi"/>
                      <w:sz w:val="16"/>
                      <w:szCs w:val="16"/>
                    </w:rPr>
                    <w:t xml:space="preserve">Cost of Equity </w:t>
                  </w:r>
                </w:p>
              </w:tc>
              <w:tc>
                <w:tcPr>
                  <w:tcW w:w="1074" w:type="dxa"/>
                </w:tcPr>
                <w:p w14:paraId="7C66D20E" w14:textId="5C4C2B06" w:rsidR="00830F06" w:rsidRPr="00D9079F" w:rsidRDefault="00466EEE" w:rsidP="00830F06">
                  <w:pPr>
                    <w:rPr>
                      <w:rFonts w:asciiTheme="majorHAnsi" w:hAnsiTheme="majorHAnsi"/>
                      <w:sz w:val="16"/>
                      <w:szCs w:val="16"/>
                    </w:rPr>
                  </w:pPr>
                  <w:r>
                    <w:rPr>
                      <w:rFonts w:asciiTheme="majorHAnsi" w:hAnsiTheme="majorHAnsi"/>
                      <w:sz w:val="16"/>
                      <w:szCs w:val="16"/>
                    </w:rPr>
                    <w:t>10.7%</w:t>
                  </w:r>
                </w:p>
              </w:tc>
            </w:tr>
            <w:tr w:rsidR="00466EEE" w:rsidRPr="00D9079F" w14:paraId="517804B8" w14:textId="77777777" w:rsidTr="00FC0F5A">
              <w:tc>
                <w:tcPr>
                  <w:tcW w:w="3020" w:type="dxa"/>
                  <w:gridSpan w:val="2"/>
                </w:tcPr>
                <w:p w14:paraId="451FB443" w14:textId="2D286C34" w:rsidR="00466EEE" w:rsidRPr="00D9079F" w:rsidRDefault="00466EEE" w:rsidP="00466EEE">
                  <w:pPr>
                    <w:rPr>
                      <w:rFonts w:asciiTheme="majorHAnsi" w:hAnsiTheme="majorHAnsi"/>
                      <w:sz w:val="16"/>
                      <w:szCs w:val="16"/>
                    </w:rPr>
                  </w:pPr>
                  <w:r w:rsidRPr="00D9079F">
                    <w:rPr>
                      <w:rFonts w:asciiTheme="majorHAnsi" w:hAnsiTheme="majorHAnsi"/>
                      <w:sz w:val="16"/>
                      <w:szCs w:val="16"/>
                    </w:rPr>
                    <w:t xml:space="preserve">Cost of </w:t>
                  </w:r>
                  <w:r>
                    <w:rPr>
                      <w:rFonts w:asciiTheme="majorHAnsi" w:hAnsiTheme="majorHAnsi"/>
                      <w:sz w:val="16"/>
                      <w:szCs w:val="16"/>
                    </w:rPr>
                    <w:t xml:space="preserve">Preferred Equity </w:t>
                  </w:r>
                </w:p>
              </w:tc>
              <w:tc>
                <w:tcPr>
                  <w:tcW w:w="1074" w:type="dxa"/>
                </w:tcPr>
                <w:p w14:paraId="6C534481" w14:textId="02CBC802" w:rsidR="00466EEE" w:rsidRPr="00D9079F" w:rsidRDefault="00466EEE" w:rsidP="00830F06">
                  <w:pPr>
                    <w:rPr>
                      <w:rFonts w:asciiTheme="majorHAnsi" w:hAnsiTheme="majorHAnsi"/>
                      <w:sz w:val="16"/>
                      <w:szCs w:val="16"/>
                    </w:rPr>
                  </w:pPr>
                  <w:r>
                    <w:rPr>
                      <w:rFonts w:asciiTheme="majorHAnsi" w:hAnsiTheme="majorHAnsi"/>
                      <w:sz w:val="16"/>
                      <w:szCs w:val="16"/>
                    </w:rPr>
                    <w:t>5.6%</w:t>
                  </w:r>
                </w:p>
              </w:tc>
            </w:tr>
            <w:tr w:rsidR="00830F06" w:rsidRPr="00D9079F" w14:paraId="19A1F6C8" w14:textId="77777777" w:rsidTr="00FC0F5A">
              <w:tc>
                <w:tcPr>
                  <w:tcW w:w="3020" w:type="dxa"/>
                  <w:gridSpan w:val="2"/>
                </w:tcPr>
                <w:p w14:paraId="714B53EA" w14:textId="77777777" w:rsidR="00830F06" w:rsidRPr="00D9079F" w:rsidRDefault="00830F06" w:rsidP="00830F06">
                  <w:pPr>
                    <w:rPr>
                      <w:rFonts w:asciiTheme="majorHAnsi" w:hAnsiTheme="majorHAnsi"/>
                      <w:sz w:val="16"/>
                      <w:szCs w:val="16"/>
                    </w:rPr>
                  </w:pPr>
                  <w:r w:rsidRPr="00D9079F">
                    <w:rPr>
                      <w:rFonts w:asciiTheme="majorHAnsi" w:hAnsiTheme="majorHAnsi"/>
                      <w:sz w:val="16"/>
                      <w:szCs w:val="16"/>
                    </w:rPr>
                    <w:t>WACC</w:t>
                  </w:r>
                </w:p>
              </w:tc>
              <w:tc>
                <w:tcPr>
                  <w:tcW w:w="1074" w:type="dxa"/>
                </w:tcPr>
                <w:p w14:paraId="71DF2BD8" w14:textId="5EC4A248" w:rsidR="00830F06" w:rsidRPr="00D9079F" w:rsidRDefault="00466EEE" w:rsidP="00830F06">
                  <w:pPr>
                    <w:rPr>
                      <w:rFonts w:asciiTheme="majorHAnsi" w:hAnsiTheme="majorHAnsi"/>
                      <w:sz w:val="16"/>
                      <w:szCs w:val="16"/>
                    </w:rPr>
                  </w:pPr>
                  <w:r>
                    <w:rPr>
                      <w:rFonts w:asciiTheme="majorHAnsi" w:hAnsiTheme="majorHAnsi"/>
                      <w:sz w:val="16"/>
                      <w:szCs w:val="16"/>
                    </w:rPr>
                    <w:t>9.5%</w:t>
                  </w:r>
                </w:p>
              </w:tc>
            </w:tr>
            <w:tr w:rsidR="00830F06" w:rsidRPr="00D9079F" w14:paraId="48232758" w14:textId="77777777" w:rsidTr="00FC0F5A">
              <w:trPr>
                <w:trHeight w:val="197"/>
              </w:trPr>
              <w:tc>
                <w:tcPr>
                  <w:tcW w:w="3020" w:type="dxa"/>
                  <w:gridSpan w:val="2"/>
                </w:tcPr>
                <w:p w14:paraId="75850D20" w14:textId="77777777" w:rsidR="00830F06" w:rsidRPr="00D9079F" w:rsidRDefault="00830F06" w:rsidP="00830F06">
                  <w:pPr>
                    <w:rPr>
                      <w:rFonts w:asciiTheme="majorHAnsi" w:hAnsiTheme="majorHAnsi"/>
                      <w:sz w:val="16"/>
                      <w:szCs w:val="16"/>
                    </w:rPr>
                  </w:pPr>
                  <w:r w:rsidRPr="00D9079F">
                    <w:rPr>
                      <w:rFonts w:asciiTheme="majorHAnsi" w:hAnsiTheme="majorHAnsi"/>
                      <w:sz w:val="16"/>
                      <w:szCs w:val="16"/>
                    </w:rPr>
                    <w:t xml:space="preserve">Perpetuity growth rate </w:t>
                  </w:r>
                </w:p>
              </w:tc>
              <w:tc>
                <w:tcPr>
                  <w:tcW w:w="1074" w:type="dxa"/>
                </w:tcPr>
                <w:p w14:paraId="0C5586DB" w14:textId="63F9CCF6" w:rsidR="00830F06" w:rsidRPr="00D9079F" w:rsidRDefault="00466EEE" w:rsidP="00830F06">
                  <w:pPr>
                    <w:rPr>
                      <w:rFonts w:asciiTheme="majorHAnsi" w:hAnsiTheme="majorHAnsi"/>
                      <w:sz w:val="16"/>
                      <w:szCs w:val="16"/>
                    </w:rPr>
                  </w:pPr>
                  <w:r>
                    <w:rPr>
                      <w:rFonts w:asciiTheme="majorHAnsi" w:hAnsiTheme="majorHAnsi"/>
                      <w:sz w:val="16"/>
                      <w:szCs w:val="16"/>
                    </w:rPr>
                    <w:t>3.5%</w:t>
                  </w:r>
                </w:p>
              </w:tc>
            </w:tr>
          </w:tbl>
          <w:p w14:paraId="4363BD08" w14:textId="77777777" w:rsidR="009F0D12" w:rsidRPr="00D9079F" w:rsidRDefault="009F0D12" w:rsidP="009F0D12">
            <w:pPr>
              <w:jc w:val="both"/>
              <w:rPr>
                <w:rFonts w:asciiTheme="majorHAnsi" w:hAnsiTheme="majorHAnsi"/>
                <w:b/>
                <w:sz w:val="16"/>
                <w:szCs w:val="16"/>
              </w:rPr>
            </w:pPr>
            <w:r w:rsidRPr="00D9079F">
              <w:rPr>
                <w:rFonts w:asciiTheme="majorHAnsi" w:hAnsiTheme="majorHAnsi"/>
                <w:b/>
                <w:sz w:val="16"/>
                <w:szCs w:val="16"/>
              </w:rPr>
              <w:t xml:space="preserve">Analyst Opinion </w:t>
            </w:r>
          </w:p>
          <w:tbl>
            <w:tblPr>
              <w:tblStyle w:val="TableGrid"/>
              <w:tblW w:w="0" w:type="auto"/>
              <w:tblLook w:val="04A0" w:firstRow="1" w:lastRow="0" w:firstColumn="1" w:lastColumn="0" w:noHBand="0" w:noVBand="1"/>
            </w:tblPr>
            <w:tblGrid>
              <w:gridCol w:w="1610"/>
              <w:gridCol w:w="1077"/>
              <w:gridCol w:w="1407"/>
            </w:tblGrid>
            <w:tr w:rsidR="009F0D12" w:rsidRPr="00D9079F" w14:paraId="2502AA66" w14:textId="77777777" w:rsidTr="00FB4741">
              <w:tc>
                <w:tcPr>
                  <w:tcW w:w="1610" w:type="dxa"/>
                  <w:shd w:val="clear" w:color="auto" w:fill="DBE5F1" w:themeFill="accent1" w:themeFillTint="33"/>
                </w:tcPr>
                <w:p w14:paraId="6457A1D0" w14:textId="038355A5" w:rsidR="009F0D12" w:rsidRPr="009A180A" w:rsidRDefault="009F0D12" w:rsidP="00256907">
                  <w:pPr>
                    <w:jc w:val="both"/>
                    <w:rPr>
                      <w:rFonts w:asciiTheme="majorHAnsi" w:hAnsiTheme="majorHAnsi"/>
                      <w:sz w:val="16"/>
                      <w:szCs w:val="16"/>
                    </w:rPr>
                  </w:pPr>
                  <w:r w:rsidRPr="009A180A">
                    <w:rPr>
                      <w:rFonts w:asciiTheme="majorHAnsi" w:hAnsiTheme="majorHAnsi"/>
                      <w:sz w:val="16"/>
                      <w:szCs w:val="16"/>
                    </w:rPr>
                    <w:t>Buy</w:t>
                  </w:r>
                  <w:r w:rsidR="00766C69" w:rsidRPr="009A180A">
                    <w:rPr>
                      <w:rFonts w:asciiTheme="majorHAnsi" w:hAnsiTheme="majorHAnsi"/>
                      <w:sz w:val="16"/>
                      <w:szCs w:val="16"/>
                    </w:rPr>
                    <w:t>:</w:t>
                  </w:r>
                  <w:r w:rsidR="009A180A" w:rsidRPr="009A180A">
                    <w:rPr>
                      <w:rFonts w:asciiTheme="majorHAnsi" w:hAnsiTheme="majorHAnsi"/>
                      <w:sz w:val="16"/>
                      <w:szCs w:val="16"/>
                    </w:rPr>
                    <w:t>8</w:t>
                  </w:r>
                </w:p>
              </w:tc>
              <w:tc>
                <w:tcPr>
                  <w:tcW w:w="1077" w:type="dxa"/>
                  <w:shd w:val="clear" w:color="auto" w:fill="DBE5F1" w:themeFill="accent1" w:themeFillTint="33"/>
                </w:tcPr>
                <w:p w14:paraId="10E79476" w14:textId="286634AF" w:rsidR="009F0D12" w:rsidRPr="009A180A" w:rsidRDefault="009F0D12" w:rsidP="009F0D12">
                  <w:pPr>
                    <w:jc w:val="both"/>
                    <w:rPr>
                      <w:rFonts w:asciiTheme="majorHAnsi" w:hAnsiTheme="majorHAnsi"/>
                      <w:sz w:val="16"/>
                      <w:szCs w:val="16"/>
                    </w:rPr>
                  </w:pPr>
                  <w:r w:rsidRPr="009A180A">
                    <w:rPr>
                      <w:rFonts w:asciiTheme="majorHAnsi" w:hAnsiTheme="majorHAnsi"/>
                      <w:sz w:val="16"/>
                      <w:szCs w:val="16"/>
                    </w:rPr>
                    <w:t xml:space="preserve">Hold: </w:t>
                  </w:r>
                  <w:r w:rsidR="009A180A" w:rsidRPr="009A180A">
                    <w:rPr>
                      <w:rFonts w:asciiTheme="majorHAnsi" w:hAnsiTheme="majorHAnsi"/>
                      <w:sz w:val="16"/>
                      <w:szCs w:val="16"/>
                    </w:rPr>
                    <w:t>5</w:t>
                  </w:r>
                </w:p>
              </w:tc>
              <w:tc>
                <w:tcPr>
                  <w:tcW w:w="1407" w:type="dxa"/>
                  <w:shd w:val="clear" w:color="auto" w:fill="DBE5F1" w:themeFill="accent1" w:themeFillTint="33"/>
                </w:tcPr>
                <w:p w14:paraId="1F373BED" w14:textId="3A765534" w:rsidR="009F0D12" w:rsidRPr="009A180A" w:rsidRDefault="00766C69" w:rsidP="009F0D12">
                  <w:pPr>
                    <w:jc w:val="both"/>
                    <w:rPr>
                      <w:rFonts w:asciiTheme="majorHAnsi" w:hAnsiTheme="majorHAnsi"/>
                      <w:sz w:val="16"/>
                      <w:szCs w:val="16"/>
                    </w:rPr>
                  </w:pPr>
                  <w:r w:rsidRPr="009A180A">
                    <w:rPr>
                      <w:rFonts w:asciiTheme="majorHAnsi" w:hAnsiTheme="majorHAnsi"/>
                      <w:sz w:val="16"/>
                      <w:szCs w:val="16"/>
                    </w:rPr>
                    <w:t>Sell:</w:t>
                  </w:r>
                  <w:r w:rsidR="009A180A" w:rsidRPr="009A180A">
                    <w:rPr>
                      <w:rFonts w:asciiTheme="majorHAnsi" w:hAnsiTheme="majorHAnsi"/>
                      <w:sz w:val="16"/>
                      <w:szCs w:val="16"/>
                    </w:rPr>
                    <w:t xml:space="preserve"> 1</w:t>
                  </w:r>
                </w:p>
              </w:tc>
            </w:tr>
            <w:tr w:rsidR="009F0D12" w:rsidRPr="00D9079F" w14:paraId="0A705346" w14:textId="77777777" w:rsidTr="00FB4741">
              <w:tc>
                <w:tcPr>
                  <w:tcW w:w="1610" w:type="dxa"/>
                  <w:shd w:val="clear" w:color="auto" w:fill="DBE5F1" w:themeFill="accent1" w:themeFillTint="33"/>
                </w:tcPr>
                <w:p w14:paraId="7897F5B6" w14:textId="77777777" w:rsidR="009F0D12" w:rsidRPr="00D9079F" w:rsidRDefault="009F0D12" w:rsidP="009F0D12">
                  <w:pPr>
                    <w:jc w:val="both"/>
                    <w:rPr>
                      <w:rFonts w:asciiTheme="majorHAnsi" w:hAnsiTheme="majorHAnsi"/>
                      <w:sz w:val="16"/>
                      <w:szCs w:val="16"/>
                    </w:rPr>
                  </w:pPr>
                </w:p>
              </w:tc>
              <w:tc>
                <w:tcPr>
                  <w:tcW w:w="1077" w:type="dxa"/>
                  <w:shd w:val="clear" w:color="auto" w:fill="DBE5F1" w:themeFill="accent1" w:themeFillTint="33"/>
                </w:tcPr>
                <w:p w14:paraId="78BA4ECF" w14:textId="77777777" w:rsidR="009F0D12" w:rsidRPr="00D9079F" w:rsidRDefault="009F0D12" w:rsidP="009F0D12">
                  <w:pPr>
                    <w:jc w:val="both"/>
                    <w:rPr>
                      <w:rFonts w:asciiTheme="majorHAnsi" w:hAnsiTheme="majorHAnsi"/>
                      <w:sz w:val="16"/>
                      <w:szCs w:val="16"/>
                    </w:rPr>
                  </w:pPr>
                  <w:r w:rsidRPr="00D9079F">
                    <w:rPr>
                      <w:rFonts w:asciiTheme="majorHAnsi" w:hAnsiTheme="majorHAnsi"/>
                      <w:sz w:val="16"/>
                      <w:szCs w:val="16"/>
                    </w:rPr>
                    <w:t xml:space="preserve">Rating </w:t>
                  </w:r>
                </w:p>
              </w:tc>
              <w:tc>
                <w:tcPr>
                  <w:tcW w:w="1407" w:type="dxa"/>
                  <w:shd w:val="clear" w:color="auto" w:fill="DBE5F1" w:themeFill="accent1" w:themeFillTint="33"/>
                </w:tcPr>
                <w:p w14:paraId="1E6E599B" w14:textId="77777777" w:rsidR="009F0D12" w:rsidRPr="00D9079F" w:rsidRDefault="009F0D12" w:rsidP="009F0D12">
                  <w:pPr>
                    <w:jc w:val="both"/>
                    <w:rPr>
                      <w:rFonts w:asciiTheme="majorHAnsi" w:hAnsiTheme="majorHAnsi"/>
                      <w:sz w:val="16"/>
                      <w:szCs w:val="16"/>
                    </w:rPr>
                  </w:pPr>
                  <w:r w:rsidRPr="00D9079F">
                    <w:rPr>
                      <w:rFonts w:asciiTheme="majorHAnsi" w:hAnsiTheme="majorHAnsi"/>
                      <w:sz w:val="16"/>
                      <w:szCs w:val="16"/>
                    </w:rPr>
                    <w:t xml:space="preserve">Target </w:t>
                  </w:r>
                </w:p>
              </w:tc>
            </w:tr>
            <w:tr w:rsidR="009F0D12" w:rsidRPr="00D9079F" w14:paraId="18B2C8FA" w14:textId="77777777" w:rsidTr="00FB4741">
              <w:tc>
                <w:tcPr>
                  <w:tcW w:w="1610" w:type="dxa"/>
                </w:tcPr>
                <w:p w14:paraId="12374E3E" w14:textId="77777777" w:rsidR="009F0D12" w:rsidRPr="00F4139E" w:rsidRDefault="009F0D12" w:rsidP="009F0D12">
                  <w:pPr>
                    <w:jc w:val="both"/>
                    <w:rPr>
                      <w:rFonts w:asciiTheme="majorHAnsi" w:hAnsiTheme="majorHAnsi"/>
                      <w:sz w:val="16"/>
                      <w:szCs w:val="16"/>
                    </w:rPr>
                  </w:pPr>
                  <w:r w:rsidRPr="00F4139E">
                    <w:rPr>
                      <w:rFonts w:asciiTheme="majorHAnsi" w:hAnsiTheme="majorHAnsi"/>
                      <w:sz w:val="16"/>
                      <w:szCs w:val="16"/>
                    </w:rPr>
                    <w:t xml:space="preserve">S&amp;P Net Advantage </w:t>
                  </w:r>
                </w:p>
              </w:tc>
              <w:tc>
                <w:tcPr>
                  <w:tcW w:w="1077" w:type="dxa"/>
                </w:tcPr>
                <w:p w14:paraId="6EC161A2" w14:textId="36051C86" w:rsidR="009F0D12" w:rsidRPr="00F4139E" w:rsidRDefault="004D3E3D" w:rsidP="009F0D12">
                  <w:pPr>
                    <w:jc w:val="both"/>
                    <w:rPr>
                      <w:rFonts w:asciiTheme="majorHAnsi" w:hAnsiTheme="majorHAnsi"/>
                      <w:sz w:val="16"/>
                      <w:szCs w:val="16"/>
                    </w:rPr>
                  </w:pPr>
                  <w:r w:rsidRPr="00F4139E">
                    <w:rPr>
                      <w:rFonts w:asciiTheme="majorHAnsi" w:hAnsiTheme="majorHAnsi"/>
                      <w:sz w:val="16"/>
                      <w:szCs w:val="16"/>
                    </w:rPr>
                    <w:t>Strong Buy</w:t>
                  </w:r>
                </w:p>
              </w:tc>
              <w:tc>
                <w:tcPr>
                  <w:tcW w:w="1407" w:type="dxa"/>
                </w:tcPr>
                <w:p w14:paraId="0BCB7E23" w14:textId="6E5397A6" w:rsidR="009F0D12" w:rsidRPr="00F4139E" w:rsidRDefault="004D3E3D" w:rsidP="009F0D12">
                  <w:pPr>
                    <w:jc w:val="both"/>
                    <w:rPr>
                      <w:rFonts w:asciiTheme="majorHAnsi" w:hAnsiTheme="majorHAnsi"/>
                      <w:sz w:val="16"/>
                      <w:szCs w:val="16"/>
                    </w:rPr>
                  </w:pPr>
                  <w:r w:rsidRPr="00F4139E">
                    <w:rPr>
                      <w:rFonts w:asciiTheme="majorHAnsi" w:hAnsiTheme="majorHAnsi"/>
                      <w:sz w:val="16"/>
                      <w:szCs w:val="16"/>
                    </w:rPr>
                    <w:t>$39</w:t>
                  </w:r>
                </w:p>
              </w:tc>
            </w:tr>
            <w:tr w:rsidR="00766C69" w:rsidRPr="00D9079F" w14:paraId="35B4D85C" w14:textId="77777777" w:rsidTr="00FB4741">
              <w:trPr>
                <w:trHeight w:val="215"/>
              </w:trPr>
              <w:tc>
                <w:tcPr>
                  <w:tcW w:w="1610" w:type="dxa"/>
                </w:tcPr>
                <w:p w14:paraId="1DD4E482" w14:textId="4558A51F" w:rsidR="00766C69" w:rsidRPr="00F4139E" w:rsidRDefault="00766C69" w:rsidP="009F0D12">
                  <w:pPr>
                    <w:jc w:val="both"/>
                    <w:rPr>
                      <w:rFonts w:asciiTheme="majorHAnsi" w:hAnsiTheme="majorHAnsi"/>
                      <w:sz w:val="16"/>
                      <w:szCs w:val="16"/>
                    </w:rPr>
                  </w:pPr>
                  <w:r w:rsidRPr="00F4139E">
                    <w:rPr>
                      <w:rFonts w:asciiTheme="majorHAnsi" w:hAnsiTheme="majorHAnsi"/>
                      <w:sz w:val="16"/>
                      <w:szCs w:val="16"/>
                    </w:rPr>
                    <w:t>Morning Star</w:t>
                  </w:r>
                </w:p>
              </w:tc>
              <w:tc>
                <w:tcPr>
                  <w:tcW w:w="1077" w:type="dxa"/>
                </w:tcPr>
                <w:p w14:paraId="0B4EFFDC" w14:textId="0C8A23A2" w:rsidR="00766C69" w:rsidRPr="00F4139E" w:rsidRDefault="004D3E3D" w:rsidP="009F0D12">
                  <w:pPr>
                    <w:jc w:val="both"/>
                    <w:rPr>
                      <w:rFonts w:asciiTheme="majorHAnsi" w:hAnsiTheme="majorHAnsi"/>
                      <w:sz w:val="16"/>
                      <w:szCs w:val="16"/>
                    </w:rPr>
                  </w:pPr>
                  <w:r w:rsidRPr="00F4139E">
                    <w:rPr>
                      <w:rFonts w:asciiTheme="majorHAnsi" w:hAnsiTheme="majorHAnsi"/>
                      <w:sz w:val="16"/>
                      <w:szCs w:val="16"/>
                    </w:rPr>
                    <w:t>****</w:t>
                  </w:r>
                </w:p>
              </w:tc>
              <w:tc>
                <w:tcPr>
                  <w:tcW w:w="1407" w:type="dxa"/>
                </w:tcPr>
                <w:p w14:paraId="70BA49F9" w14:textId="07BA2E2D" w:rsidR="00766C69" w:rsidRPr="00F4139E" w:rsidRDefault="004D3E3D" w:rsidP="009F0D12">
                  <w:pPr>
                    <w:jc w:val="both"/>
                    <w:rPr>
                      <w:rFonts w:asciiTheme="majorHAnsi" w:hAnsiTheme="majorHAnsi"/>
                      <w:sz w:val="16"/>
                      <w:szCs w:val="16"/>
                    </w:rPr>
                  </w:pPr>
                  <w:r w:rsidRPr="00F4139E">
                    <w:rPr>
                      <w:rFonts w:asciiTheme="majorHAnsi" w:hAnsiTheme="majorHAnsi"/>
                      <w:sz w:val="16"/>
                      <w:szCs w:val="16"/>
                    </w:rPr>
                    <w:t>$32</w:t>
                  </w:r>
                </w:p>
              </w:tc>
            </w:tr>
            <w:tr w:rsidR="00766C69" w:rsidRPr="00D9079F" w14:paraId="0BBF9B66" w14:textId="77777777" w:rsidTr="00FB4741">
              <w:trPr>
                <w:trHeight w:val="215"/>
              </w:trPr>
              <w:tc>
                <w:tcPr>
                  <w:tcW w:w="1610" w:type="dxa"/>
                </w:tcPr>
                <w:p w14:paraId="0E7E15E7" w14:textId="50B93F2B" w:rsidR="00766C69" w:rsidRPr="00F4139E" w:rsidRDefault="00766C69" w:rsidP="009F0D12">
                  <w:pPr>
                    <w:jc w:val="both"/>
                    <w:rPr>
                      <w:rFonts w:asciiTheme="majorHAnsi" w:hAnsiTheme="majorHAnsi"/>
                      <w:sz w:val="16"/>
                      <w:szCs w:val="16"/>
                    </w:rPr>
                  </w:pPr>
                  <w:r w:rsidRPr="00F4139E">
                    <w:rPr>
                      <w:rFonts w:asciiTheme="majorHAnsi" w:hAnsiTheme="majorHAnsi"/>
                      <w:sz w:val="16"/>
                      <w:szCs w:val="16"/>
                    </w:rPr>
                    <w:t xml:space="preserve">Value Line </w:t>
                  </w:r>
                </w:p>
              </w:tc>
              <w:tc>
                <w:tcPr>
                  <w:tcW w:w="1077" w:type="dxa"/>
                </w:tcPr>
                <w:p w14:paraId="161AF23F" w14:textId="1912F7D4" w:rsidR="00766C69" w:rsidRPr="00F4139E" w:rsidRDefault="007A040E" w:rsidP="004D3E3D">
                  <w:pPr>
                    <w:jc w:val="both"/>
                    <w:rPr>
                      <w:rFonts w:asciiTheme="majorHAnsi" w:hAnsiTheme="majorHAnsi"/>
                      <w:sz w:val="16"/>
                      <w:szCs w:val="16"/>
                    </w:rPr>
                  </w:pPr>
                  <w:r w:rsidRPr="00F4139E">
                    <w:rPr>
                      <w:rFonts w:asciiTheme="majorHAnsi" w:hAnsiTheme="majorHAnsi"/>
                      <w:sz w:val="16"/>
                      <w:szCs w:val="16"/>
                    </w:rPr>
                    <w:t xml:space="preserve">T: 3 S: </w:t>
                  </w:r>
                  <w:r w:rsidR="004D3E3D" w:rsidRPr="00F4139E">
                    <w:rPr>
                      <w:rFonts w:asciiTheme="majorHAnsi" w:hAnsiTheme="majorHAnsi"/>
                      <w:sz w:val="16"/>
                      <w:szCs w:val="16"/>
                    </w:rPr>
                    <w:t>3</w:t>
                  </w:r>
                </w:p>
              </w:tc>
              <w:tc>
                <w:tcPr>
                  <w:tcW w:w="1407" w:type="dxa"/>
                </w:tcPr>
                <w:p w14:paraId="22CC1EA0" w14:textId="72470AB7" w:rsidR="00766C69" w:rsidRPr="00F4139E" w:rsidRDefault="007A040E" w:rsidP="004D3E3D">
                  <w:pPr>
                    <w:jc w:val="both"/>
                    <w:rPr>
                      <w:rFonts w:asciiTheme="majorHAnsi" w:hAnsiTheme="majorHAnsi"/>
                      <w:sz w:val="16"/>
                      <w:szCs w:val="16"/>
                    </w:rPr>
                  </w:pPr>
                  <w:r w:rsidRPr="00F4139E">
                    <w:rPr>
                      <w:rFonts w:asciiTheme="majorHAnsi" w:hAnsiTheme="majorHAnsi"/>
                      <w:sz w:val="16"/>
                      <w:szCs w:val="16"/>
                    </w:rPr>
                    <w:t>$</w:t>
                  </w:r>
                  <w:r w:rsidR="004D3E3D" w:rsidRPr="00F4139E">
                    <w:rPr>
                      <w:rFonts w:asciiTheme="majorHAnsi" w:hAnsiTheme="majorHAnsi"/>
                      <w:sz w:val="16"/>
                      <w:szCs w:val="16"/>
                    </w:rPr>
                    <w:t>35-50</w:t>
                  </w:r>
                </w:p>
              </w:tc>
            </w:tr>
          </w:tbl>
          <w:p w14:paraId="577D83D9" w14:textId="77777777" w:rsidR="002D3CFC" w:rsidRPr="00D9079F" w:rsidRDefault="002D3CFC" w:rsidP="00443ED9">
            <w:pPr>
              <w:jc w:val="both"/>
              <w:rPr>
                <w:rFonts w:asciiTheme="majorHAnsi" w:hAnsiTheme="majorHAnsi"/>
                <w:b/>
                <w:sz w:val="16"/>
                <w:szCs w:val="16"/>
              </w:rPr>
            </w:pPr>
          </w:p>
        </w:tc>
      </w:tr>
    </w:tbl>
    <w:p w14:paraId="2B589A9D" w14:textId="77777777" w:rsidR="00830F06" w:rsidRPr="00D9079F" w:rsidRDefault="00830F06" w:rsidP="00443ED9">
      <w:pPr>
        <w:ind w:left="-1440"/>
        <w:jc w:val="both"/>
        <w:rPr>
          <w:rFonts w:asciiTheme="majorHAnsi" w:hAnsiTheme="majorHAnsi"/>
          <w:b/>
          <w:sz w:val="16"/>
          <w:szCs w:val="16"/>
        </w:rPr>
      </w:pPr>
    </w:p>
    <w:tbl>
      <w:tblPr>
        <w:tblStyle w:val="TableGrid"/>
        <w:tblW w:w="11808" w:type="dxa"/>
        <w:tblInd w:w="-1440" w:type="dxa"/>
        <w:tblLayout w:type="fixed"/>
        <w:tblLook w:val="04A0" w:firstRow="1" w:lastRow="0" w:firstColumn="1" w:lastColumn="0" w:noHBand="0" w:noVBand="1"/>
      </w:tblPr>
      <w:tblGrid>
        <w:gridCol w:w="7218"/>
        <w:gridCol w:w="4590"/>
      </w:tblGrid>
      <w:tr w:rsidR="00766C69" w:rsidRPr="00D9079F" w14:paraId="660DEC2C" w14:textId="77777777" w:rsidTr="00FC0F5A">
        <w:tc>
          <w:tcPr>
            <w:tcW w:w="7218" w:type="dxa"/>
            <w:shd w:val="clear" w:color="auto" w:fill="365F91" w:themeFill="accent1" w:themeFillShade="BF"/>
          </w:tcPr>
          <w:p w14:paraId="1BAF6900" w14:textId="27A2E398" w:rsidR="00766C69" w:rsidRPr="00D9079F" w:rsidRDefault="00766C69" w:rsidP="004F2EAA">
            <w:pPr>
              <w:rPr>
                <w:rFonts w:asciiTheme="majorHAnsi" w:hAnsiTheme="majorHAnsi"/>
                <w:b/>
                <w:color w:val="FFFFFF" w:themeColor="background1"/>
                <w:sz w:val="16"/>
                <w:szCs w:val="16"/>
              </w:rPr>
            </w:pPr>
            <w:r w:rsidRPr="00D9079F">
              <w:rPr>
                <w:rFonts w:asciiTheme="majorHAnsi" w:hAnsiTheme="majorHAnsi"/>
                <w:b/>
                <w:color w:val="FFFFFF" w:themeColor="background1"/>
                <w:sz w:val="16"/>
                <w:szCs w:val="16"/>
              </w:rPr>
              <w:t>Relative Valuation</w:t>
            </w:r>
          </w:p>
        </w:tc>
        <w:tc>
          <w:tcPr>
            <w:tcW w:w="4590" w:type="dxa"/>
            <w:shd w:val="clear" w:color="auto" w:fill="365F91" w:themeFill="accent1" w:themeFillShade="BF"/>
          </w:tcPr>
          <w:p w14:paraId="335BDBD9" w14:textId="109523C3" w:rsidR="00766C69" w:rsidRPr="00D9079F" w:rsidRDefault="00766C69" w:rsidP="000F7E2C">
            <w:pPr>
              <w:jc w:val="both"/>
              <w:rPr>
                <w:rFonts w:asciiTheme="majorHAnsi" w:hAnsiTheme="majorHAnsi"/>
                <w:b/>
                <w:color w:val="FFFFFF" w:themeColor="background1"/>
                <w:sz w:val="16"/>
                <w:szCs w:val="16"/>
              </w:rPr>
            </w:pPr>
            <w:r w:rsidRPr="00D9079F">
              <w:rPr>
                <w:rFonts w:asciiTheme="majorHAnsi" w:hAnsiTheme="majorHAnsi"/>
                <w:b/>
                <w:color w:val="FFFFFF" w:themeColor="background1"/>
                <w:sz w:val="16"/>
                <w:szCs w:val="16"/>
              </w:rPr>
              <w:t>Total Return</w:t>
            </w:r>
          </w:p>
        </w:tc>
      </w:tr>
      <w:tr w:rsidR="00766C69" w:rsidRPr="00D9079F" w14:paraId="2AA141CB" w14:textId="77777777" w:rsidTr="00FC0F5A">
        <w:tc>
          <w:tcPr>
            <w:tcW w:w="7218" w:type="dxa"/>
          </w:tcPr>
          <w:tbl>
            <w:tblPr>
              <w:tblStyle w:val="TableGrid"/>
              <w:tblW w:w="5845" w:type="dxa"/>
              <w:tblLayout w:type="fixed"/>
              <w:tblLook w:val="04A0" w:firstRow="1" w:lastRow="0" w:firstColumn="1" w:lastColumn="0" w:noHBand="0" w:noVBand="1"/>
            </w:tblPr>
            <w:tblGrid>
              <w:gridCol w:w="1525"/>
              <w:gridCol w:w="990"/>
              <w:gridCol w:w="1170"/>
              <w:gridCol w:w="1260"/>
              <w:gridCol w:w="900"/>
            </w:tblGrid>
            <w:tr w:rsidR="00FC0F5A" w:rsidRPr="00D9079F" w14:paraId="03A7F5D8" w14:textId="77777777" w:rsidTr="00AE646B">
              <w:tc>
                <w:tcPr>
                  <w:tcW w:w="1525" w:type="dxa"/>
                  <w:shd w:val="clear" w:color="auto" w:fill="DBE5F1" w:themeFill="accent1" w:themeFillTint="33"/>
                </w:tcPr>
                <w:p w14:paraId="18F981FE" w14:textId="10471A60" w:rsidR="00FC0F5A" w:rsidRPr="002B1DA1" w:rsidRDefault="00FC0F5A" w:rsidP="004F2EAA">
                  <w:pPr>
                    <w:rPr>
                      <w:rFonts w:asciiTheme="majorHAnsi" w:hAnsiTheme="majorHAnsi"/>
                      <w:sz w:val="16"/>
                      <w:szCs w:val="16"/>
                    </w:rPr>
                  </w:pPr>
                </w:p>
              </w:tc>
              <w:tc>
                <w:tcPr>
                  <w:tcW w:w="990" w:type="dxa"/>
                  <w:shd w:val="clear" w:color="auto" w:fill="DBE5F1" w:themeFill="accent1" w:themeFillTint="33"/>
                </w:tcPr>
                <w:p w14:paraId="533159FD" w14:textId="1132E65E" w:rsidR="00FC0F5A" w:rsidRPr="002B1DA1" w:rsidRDefault="006B24E5" w:rsidP="004F2EAA">
                  <w:pPr>
                    <w:rPr>
                      <w:rFonts w:asciiTheme="majorHAnsi" w:hAnsiTheme="majorHAnsi"/>
                      <w:sz w:val="16"/>
                      <w:szCs w:val="16"/>
                    </w:rPr>
                  </w:pPr>
                  <w:r>
                    <w:rPr>
                      <w:rFonts w:asciiTheme="majorHAnsi" w:hAnsiTheme="majorHAnsi"/>
                      <w:sz w:val="16"/>
                      <w:szCs w:val="16"/>
                    </w:rPr>
                    <w:t>SCHW</w:t>
                  </w:r>
                </w:p>
              </w:tc>
              <w:tc>
                <w:tcPr>
                  <w:tcW w:w="1170" w:type="dxa"/>
                  <w:shd w:val="clear" w:color="auto" w:fill="DBE5F1" w:themeFill="accent1" w:themeFillTint="33"/>
                </w:tcPr>
                <w:p w14:paraId="488ED66B" w14:textId="68BC5F31" w:rsidR="00FC0F5A" w:rsidRPr="002B1DA1" w:rsidRDefault="006B24E5" w:rsidP="006B24E5">
                  <w:pPr>
                    <w:rPr>
                      <w:rFonts w:asciiTheme="majorHAnsi" w:hAnsiTheme="majorHAnsi"/>
                      <w:sz w:val="16"/>
                      <w:szCs w:val="16"/>
                    </w:rPr>
                  </w:pPr>
                  <w:r w:rsidRPr="006B24E5">
                    <w:rPr>
                      <w:rFonts w:asciiTheme="majorHAnsi" w:hAnsiTheme="majorHAnsi"/>
                      <w:sz w:val="16"/>
                      <w:szCs w:val="16"/>
                    </w:rPr>
                    <w:t xml:space="preserve">T. Rowe Price </w:t>
                  </w:r>
                </w:p>
              </w:tc>
              <w:tc>
                <w:tcPr>
                  <w:tcW w:w="1260" w:type="dxa"/>
                  <w:shd w:val="clear" w:color="auto" w:fill="DBE5F1" w:themeFill="accent1" w:themeFillTint="33"/>
                </w:tcPr>
                <w:p w14:paraId="36FCBD39" w14:textId="339D29BD" w:rsidR="00FC0F5A" w:rsidRPr="002B1DA1" w:rsidRDefault="006B24E5" w:rsidP="006B24E5">
                  <w:pPr>
                    <w:rPr>
                      <w:rFonts w:asciiTheme="majorHAnsi" w:hAnsiTheme="majorHAnsi"/>
                      <w:sz w:val="16"/>
                      <w:szCs w:val="16"/>
                    </w:rPr>
                  </w:pPr>
                  <w:r w:rsidRPr="006B24E5">
                    <w:rPr>
                      <w:rFonts w:asciiTheme="majorHAnsi" w:hAnsiTheme="majorHAnsi"/>
                      <w:sz w:val="16"/>
                      <w:szCs w:val="16"/>
                    </w:rPr>
                    <w:t xml:space="preserve">TD Ameritrade </w:t>
                  </w:r>
                </w:p>
              </w:tc>
              <w:tc>
                <w:tcPr>
                  <w:tcW w:w="900" w:type="dxa"/>
                  <w:shd w:val="clear" w:color="auto" w:fill="DBE5F1" w:themeFill="accent1" w:themeFillTint="33"/>
                </w:tcPr>
                <w:p w14:paraId="18F40648" w14:textId="524E4E5A" w:rsidR="00FC0F5A" w:rsidRPr="002B1DA1" w:rsidRDefault="00FC0F5A" w:rsidP="004F2EAA">
                  <w:pPr>
                    <w:rPr>
                      <w:rFonts w:asciiTheme="majorHAnsi" w:hAnsiTheme="majorHAnsi"/>
                      <w:sz w:val="16"/>
                      <w:szCs w:val="16"/>
                    </w:rPr>
                  </w:pPr>
                  <w:r>
                    <w:rPr>
                      <w:rFonts w:asciiTheme="majorHAnsi" w:hAnsiTheme="majorHAnsi"/>
                      <w:sz w:val="16"/>
                      <w:szCs w:val="16"/>
                    </w:rPr>
                    <w:t>Industry</w:t>
                  </w:r>
                </w:p>
              </w:tc>
            </w:tr>
            <w:tr w:rsidR="00FC0F5A" w:rsidRPr="00D9079F" w14:paraId="5DA42BF7" w14:textId="77777777" w:rsidTr="00AE646B">
              <w:tc>
                <w:tcPr>
                  <w:tcW w:w="1525" w:type="dxa"/>
                </w:tcPr>
                <w:p w14:paraId="5D8F0BAD" w14:textId="77777777" w:rsidR="00FC0F5A" w:rsidRPr="00D9079F" w:rsidRDefault="00FC0F5A" w:rsidP="004F2EAA">
                  <w:pPr>
                    <w:rPr>
                      <w:rFonts w:asciiTheme="majorHAnsi" w:hAnsiTheme="majorHAnsi"/>
                      <w:sz w:val="16"/>
                      <w:szCs w:val="16"/>
                    </w:rPr>
                  </w:pPr>
                  <w:r w:rsidRPr="00D9079F">
                    <w:rPr>
                      <w:rFonts w:asciiTheme="majorHAnsi" w:hAnsiTheme="majorHAnsi"/>
                      <w:sz w:val="16"/>
                      <w:szCs w:val="16"/>
                    </w:rPr>
                    <w:t>P/E</w:t>
                  </w:r>
                </w:p>
              </w:tc>
              <w:tc>
                <w:tcPr>
                  <w:tcW w:w="990" w:type="dxa"/>
                  <w:vAlign w:val="center"/>
                </w:tcPr>
                <w:p w14:paraId="2D8D2916" w14:textId="438E6EE6" w:rsidR="00FC0F5A" w:rsidRPr="00D9079F" w:rsidRDefault="000F178F" w:rsidP="0051170E">
                  <w:pPr>
                    <w:rPr>
                      <w:rFonts w:asciiTheme="majorHAnsi" w:hAnsiTheme="majorHAnsi"/>
                      <w:sz w:val="16"/>
                      <w:szCs w:val="16"/>
                    </w:rPr>
                  </w:pPr>
                  <w:r>
                    <w:rPr>
                      <w:rFonts w:asciiTheme="majorHAnsi" w:hAnsiTheme="majorHAnsi"/>
                      <w:sz w:val="16"/>
                      <w:szCs w:val="16"/>
                    </w:rPr>
                    <w:t>23.1</w:t>
                  </w:r>
                </w:p>
              </w:tc>
              <w:tc>
                <w:tcPr>
                  <w:tcW w:w="1170" w:type="dxa"/>
                  <w:vAlign w:val="center"/>
                </w:tcPr>
                <w:p w14:paraId="574D15A5" w14:textId="06995F4F" w:rsidR="00FC0F5A" w:rsidRPr="00D9079F" w:rsidRDefault="00050FA6" w:rsidP="0051170E">
                  <w:pPr>
                    <w:rPr>
                      <w:rFonts w:asciiTheme="majorHAnsi" w:hAnsiTheme="majorHAnsi"/>
                      <w:sz w:val="16"/>
                      <w:szCs w:val="16"/>
                    </w:rPr>
                  </w:pPr>
                  <w:r>
                    <w:rPr>
                      <w:rFonts w:asciiTheme="majorHAnsi" w:hAnsiTheme="majorHAnsi"/>
                      <w:sz w:val="16"/>
                      <w:szCs w:val="16"/>
                    </w:rPr>
                    <w:t>14.55</w:t>
                  </w:r>
                </w:p>
              </w:tc>
              <w:tc>
                <w:tcPr>
                  <w:tcW w:w="1260" w:type="dxa"/>
                  <w:vAlign w:val="center"/>
                </w:tcPr>
                <w:p w14:paraId="53BFCC21" w14:textId="44EA1185" w:rsidR="00FC0F5A" w:rsidRPr="00D9079F" w:rsidRDefault="00050FA6" w:rsidP="0051170E">
                  <w:pPr>
                    <w:rPr>
                      <w:rFonts w:asciiTheme="majorHAnsi" w:hAnsiTheme="majorHAnsi"/>
                      <w:sz w:val="16"/>
                      <w:szCs w:val="16"/>
                    </w:rPr>
                  </w:pPr>
                  <w:r>
                    <w:rPr>
                      <w:rFonts w:asciiTheme="majorHAnsi" w:hAnsiTheme="majorHAnsi"/>
                      <w:sz w:val="16"/>
                      <w:szCs w:val="16"/>
                    </w:rPr>
                    <w:t>18.06</w:t>
                  </w:r>
                </w:p>
              </w:tc>
              <w:tc>
                <w:tcPr>
                  <w:tcW w:w="900" w:type="dxa"/>
                  <w:vAlign w:val="center"/>
                </w:tcPr>
                <w:p w14:paraId="0006F77E" w14:textId="62AF0184" w:rsidR="00FC0F5A" w:rsidRPr="00D9079F" w:rsidRDefault="00050FA6" w:rsidP="0051170E">
                  <w:pPr>
                    <w:rPr>
                      <w:rFonts w:asciiTheme="majorHAnsi" w:hAnsiTheme="majorHAnsi"/>
                      <w:sz w:val="16"/>
                      <w:szCs w:val="16"/>
                    </w:rPr>
                  </w:pPr>
                  <w:r>
                    <w:rPr>
                      <w:rFonts w:asciiTheme="majorHAnsi" w:hAnsiTheme="majorHAnsi"/>
                      <w:sz w:val="16"/>
                      <w:szCs w:val="16"/>
                    </w:rPr>
                    <w:t>14.15</w:t>
                  </w:r>
                </w:p>
              </w:tc>
            </w:tr>
            <w:tr w:rsidR="00FC0F5A" w:rsidRPr="00D9079F" w14:paraId="3CF28431" w14:textId="77777777" w:rsidTr="00AE646B">
              <w:tc>
                <w:tcPr>
                  <w:tcW w:w="1525" w:type="dxa"/>
                </w:tcPr>
                <w:p w14:paraId="7E3790DF" w14:textId="77777777" w:rsidR="00FC0F5A" w:rsidRPr="00D9079F" w:rsidRDefault="00FC0F5A" w:rsidP="004F2EAA">
                  <w:pPr>
                    <w:rPr>
                      <w:rFonts w:asciiTheme="majorHAnsi" w:hAnsiTheme="majorHAnsi"/>
                      <w:sz w:val="16"/>
                      <w:szCs w:val="16"/>
                    </w:rPr>
                  </w:pPr>
                  <w:r w:rsidRPr="00D9079F">
                    <w:rPr>
                      <w:rFonts w:asciiTheme="majorHAnsi" w:hAnsiTheme="majorHAnsi"/>
                      <w:sz w:val="16"/>
                      <w:szCs w:val="16"/>
                    </w:rPr>
                    <w:t>P/B</w:t>
                  </w:r>
                </w:p>
              </w:tc>
              <w:tc>
                <w:tcPr>
                  <w:tcW w:w="990" w:type="dxa"/>
                  <w:vAlign w:val="center"/>
                </w:tcPr>
                <w:p w14:paraId="660D1149" w14:textId="567AE41F" w:rsidR="00FC0F5A" w:rsidRPr="00FC0F5A" w:rsidRDefault="000F178F" w:rsidP="0051170E">
                  <w:pPr>
                    <w:rPr>
                      <w:rFonts w:asciiTheme="majorHAnsi" w:hAnsiTheme="majorHAnsi"/>
                      <w:sz w:val="16"/>
                      <w:szCs w:val="16"/>
                    </w:rPr>
                  </w:pPr>
                  <w:r>
                    <w:rPr>
                      <w:rFonts w:asciiTheme="majorHAnsi" w:hAnsiTheme="majorHAnsi"/>
                      <w:sz w:val="16"/>
                      <w:szCs w:val="16"/>
                    </w:rPr>
                    <w:t>2.6</w:t>
                  </w:r>
                </w:p>
              </w:tc>
              <w:tc>
                <w:tcPr>
                  <w:tcW w:w="1170" w:type="dxa"/>
                  <w:vAlign w:val="center"/>
                </w:tcPr>
                <w:p w14:paraId="2E4744B0" w14:textId="67BF0BC7" w:rsidR="00FC0F5A" w:rsidRPr="00FC0F5A" w:rsidRDefault="00D24EF9" w:rsidP="0051170E">
                  <w:pPr>
                    <w:rPr>
                      <w:rFonts w:asciiTheme="majorHAnsi" w:hAnsiTheme="majorHAnsi"/>
                      <w:sz w:val="16"/>
                      <w:szCs w:val="16"/>
                    </w:rPr>
                  </w:pPr>
                  <w:r>
                    <w:rPr>
                      <w:rFonts w:asciiTheme="majorHAnsi" w:hAnsiTheme="majorHAnsi"/>
                      <w:sz w:val="16"/>
                      <w:szCs w:val="16"/>
                    </w:rPr>
                    <w:t>3.5</w:t>
                  </w:r>
                </w:p>
              </w:tc>
              <w:tc>
                <w:tcPr>
                  <w:tcW w:w="1260" w:type="dxa"/>
                  <w:vAlign w:val="center"/>
                </w:tcPr>
                <w:p w14:paraId="34BDBBAA" w14:textId="558DBC2F" w:rsidR="00FC0F5A" w:rsidRPr="00FC0F5A" w:rsidRDefault="000F178F" w:rsidP="0051170E">
                  <w:pPr>
                    <w:rPr>
                      <w:rFonts w:asciiTheme="majorHAnsi" w:hAnsiTheme="majorHAnsi"/>
                      <w:sz w:val="16"/>
                      <w:szCs w:val="16"/>
                    </w:rPr>
                  </w:pPr>
                  <w:r>
                    <w:rPr>
                      <w:rFonts w:asciiTheme="majorHAnsi" w:hAnsiTheme="majorHAnsi"/>
                      <w:sz w:val="16"/>
                      <w:szCs w:val="16"/>
                    </w:rPr>
                    <w:t>2.8</w:t>
                  </w:r>
                </w:p>
              </w:tc>
              <w:tc>
                <w:tcPr>
                  <w:tcW w:w="900" w:type="dxa"/>
                  <w:vAlign w:val="center"/>
                </w:tcPr>
                <w:p w14:paraId="6DD53DF3" w14:textId="4A414E23" w:rsidR="00FC0F5A" w:rsidRPr="00FC0F5A" w:rsidRDefault="000F178F" w:rsidP="0051170E">
                  <w:pPr>
                    <w:rPr>
                      <w:rFonts w:asciiTheme="majorHAnsi" w:hAnsiTheme="majorHAnsi"/>
                      <w:sz w:val="16"/>
                      <w:szCs w:val="16"/>
                    </w:rPr>
                  </w:pPr>
                  <w:r>
                    <w:rPr>
                      <w:rFonts w:asciiTheme="majorHAnsi" w:hAnsiTheme="majorHAnsi"/>
                      <w:sz w:val="16"/>
                      <w:szCs w:val="16"/>
                    </w:rPr>
                    <w:t>1</w:t>
                  </w:r>
                </w:p>
              </w:tc>
            </w:tr>
            <w:tr w:rsidR="00FC0F5A" w:rsidRPr="00D9079F" w14:paraId="0617F604" w14:textId="77777777" w:rsidTr="00AE646B">
              <w:tc>
                <w:tcPr>
                  <w:tcW w:w="1525" w:type="dxa"/>
                </w:tcPr>
                <w:p w14:paraId="3EC6238B" w14:textId="77777777" w:rsidR="00FC0F5A" w:rsidRPr="00D9079F" w:rsidRDefault="00FC0F5A" w:rsidP="004F2EAA">
                  <w:pPr>
                    <w:rPr>
                      <w:rFonts w:asciiTheme="majorHAnsi" w:hAnsiTheme="majorHAnsi"/>
                      <w:sz w:val="16"/>
                      <w:szCs w:val="16"/>
                    </w:rPr>
                  </w:pPr>
                  <w:r w:rsidRPr="00D9079F">
                    <w:rPr>
                      <w:rFonts w:asciiTheme="majorHAnsi" w:hAnsiTheme="majorHAnsi"/>
                      <w:sz w:val="16"/>
                      <w:szCs w:val="16"/>
                    </w:rPr>
                    <w:t xml:space="preserve">Dividend Yield </w:t>
                  </w:r>
                </w:p>
              </w:tc>
              <w:tc>
                <w:tcPr>
                  <w:tcW w:w="990" w:type="dxa"/>
                  <w:vAlign w:val="center"/>
                </w:tcPr>
                <w:p w14:paraId="7050AD2B" w14:textId="406BD13D" w:rsidR="00FC0F5A" w:rsidRPr="00FC0F5A" w:rsidRDefault="00050FA6" w:rsidP="0051170E">
                  <w:pPr>
                    <w:rPr>
                      <w:rFonts w:asciiTheme="majorHAnsi" w:hAnsiTheme="majorHAnsi"/>
                      <w:sz w:val="16"/>
                      <w:szCs w:val="16"/>
                    </w:rPr>
                  </w:pPr>
                  <w:r>
                    <w:rPr>
                      <w:rFonts w:asciiTheme="majorHAnsi" w:hAnsiTheme="majorHAnsi"/>
                      <w:sz w:val="16"/>
                      <w:szCs w:val="16"/>
                    </w:rPr>
                    <w:t>1.02%</w:t>
                  </w:r>
                </w:p>
              </w:tc>
              <w:tc>
                <w:tcPr>
                  <w:tcW w:w="1170" w:type="dxa"/>
                  <w:vAlign w:val="center"/>
                </w:tcPr>
                <w:p w14:paraId="769364CB" w14:textId="7067FEE0" w:rsidR="00FC0F5A" w:rsidRPr="00FC0F5A" w:rsidRDefault="000F178F" w:rsidP="00676C67">
                  <w:pPr>
                    <w:rPr>
                      <w:rFonts w:asciiTheme="majorHAnsi" w:hAnsiTheme="majorHAnsi"/>
                      <w:sz w:val="16"/>
                      <w:szCs w:val="16"/>
                    </w:rPr>
                  </w:pPr>
                  <w:r>
                    <w:rPr>
                      <w:rFonts w:asciiTheme="majorHAnsi" w:hAnsiTheme="majorHAnsi"/>
                      <w:sz w:val="16"/>
                      <w:szCs w:val="16"/>
                    </w:rPr>
                    <w:t>3.15%</w:t>
                  </w:r>
                </w:p>
              </w:tc>
              <w:tc>
                <w:tcPr>
                  <w:tcW w:w="1260" w:type="dxa"/>
                  <w:vAlign w:val="center"/>
                </w:tcPr>
                <w:p w14:paraId="524E59DF" w14:textId="60A9BC01" w:rsidR="00FC0F5A" w:rsidRPr="00FC0F5A" w:rsidRDefault="000F178F" w:rsidP="0051170E">
                  <w:pPr>
                    <w:rPr>
                      <w:rFonts w:asciiTheme="majorHAnsi" w:hAnsiTheme="majorHAnsi"/>
                      <w:sz w:val="16"/>
                      <w:szCs w:val="16"/>
                    </w:rPr>
                  </w:pPr>
                  <w:r>
                    <w:rPr>
                      <w:rFonts w:asciiTheme="majorHAnsi" w:hAnsiTheme="majorHAnsi"/>
                      <w:sz w:val="16"/>
                      <w:szCs w:val="16"/>
                    </w:rPr>
                    <w:t>2.5%</w:t>
                  </w:r>
                </w:p>
              </w:tc>
              <w:tc>
                <w:tcPr>
                  <w:tcW w:w="900" w:type="dxa"/>
                  <w:vAlign w:val="center"/>
                </w:tcPr>
                <w:p w14:paraId="22DA99B4" w14:textId="6A9E4A1A" w:rsidR="00FC0F5A" w:rsidRPr="00FC0F5A" w:rsidRDefault="000F178F" w:rsidP="0051170E">
                  <w:pPr>
                    <w:rPr>
                      <w:rFonts w:asciiTheme="majorHAnsi" w:hAnsiTheme="majorHAnsi"/>
                      <w:sz w:val="16"/>
                      <w:szCs w:val="16"/>
                    </w:rPr>
                  </w:pPr>
                  <w:r>
                    <w:rPr>
                      <w:rFonts w:asciiTheme="majorHAnsi" w:hAnsiTheme="majorHAnsi"/>
                      <w:sz w:val="16"/>
                      <w:szCs w:val="16"/>
                    </w:rPr>
                    <w:t>NA</w:t>
                  </w:r>
                </w:p>
              </w:tc>
            </w:tr>
            <w:tr w:rsidR="00FC0F5A" w:rsidRPr="00D9079F" w14:paraId="4505851E" w14:textId="77777777" w:rsidTr="00AE646B">
              <w:tc>
                <w:tcPr>
                  <w:tcW w:w="1525" w:type="dxa"/>
                </w:tcPr>
                <w:p w14:paraId="6045AE39" w14:textId="77777777" w:rsidR="00FC0F5A" w:rsidRPr="00AC6A2C" w:rsidRDefault="00FC0F5A" w:rsidP="004F2EAA">
                  <w:pPr>
                    <w:rPr>
                      <w:rFonts w:asciiTheme="majorHAnsi" w:hAnsiTheme="majorHAnsi"/>
                      <w:sz w:val="16"/>
                      <w:szCs w:val="16"/>
                    </w:rPr>
                  </w:pPr>
                  <w:r w:rsidRPr="00AC6A2C">
                    <w:rPr>
                      <w:rFonts w:asciiTheme="majorHAnsi" w:hAnsiTheme="majorHAnsi"/>
                      <w:sz w:val="16"/>
                      <w:szCs w:val="16"/>
                    </w:rPr>
                    <w:t xml:space="preserve">PEG Ratio </w:t>
                  </w:r>
                </w:p>
              </w:tc>
              <w:tc>
                <w:tcPr>
                  <w:tcW w:w="990" w:type="dxa"/>
                  <w:vAlign w:val="center"/>
                </w:tcPr>
                <w:p w14:paraId="23A38E8A" w14:textId="1CF1D322" w:rsidR="00FC0F5A" w:rsidRPr="00FC0F5A" w:rsidRDefault="002A02B9" w:rsidP="0051170E">
                  <w:pPr>
                    <w:rPr>
                      <w:rFonts w:asciiTheme="majorHAnsi" w:hAnsiTheme="majorHAnsi"/>
                      <w:sz w:val="16"/>
                      <w:szCs w:val="16"/>
                    </w:rPr>
                  </w:pPr>
                  <w:r>
                    <w:rPr>
                      <w:rFonts w:asciiTheme="majorHAnsi" w:hAnsiTheme="majorHAnsi"/>
                      <w:sz w:val="16"/>
                      <w:szCs w:val="16"/>
                    </w:rPr>
                    <w:t>0.81</w:t>
                  </w:r>
                </w:p>
              </w:tc>
              <w:tc>
                <w:tcPr>
                  <w:tcW w:w="1170" w:type="dxa"/>
                  <w:vAlign w:val="center"/>
                </w:tcPr>
                <w:p w14:paraId="72D999D9" w14:textId="043D6FE9" w:rsidR="00FC0F5A" w:rsidRPr="00FC0F5A" w:rsidRDefault="002A02B9" w:rsidP="0051170E">
                  <w:pPr>
                    <w:rPr>
                      <w:rFonts w:asciiTheme="majorHAnsi" w:hAnsiTheme="majorHAnsi"/>
                      <w:sz w:val="16"/>
                      <w:szCs w:val="16"/>
                    </w:rPr>
                  </w:pPr>
                  <w:r>
                    <w:rPr>
                      <w:rFonts w:asciiTheme="majorHAnsi" w:hAnsiTheme="majorHAnsi"/>
                      <w:sz w:val="16"/>
                      <w:szCs w:val="16"/>
                    </w:rPr>
                    <w:t>1.93</w:t>
                  </w:r>
                </w:p>
              </w:tc>
              <w:tc>
                <w:tcPr>
                  <w:tcW w:w="1260" w:type="dxa"/>
                  <w:vAlign w:val="center"/>
                </w:tcPr>
                <w:p w14:paraId="6C39B871" w14:textId="43FAE5BB" w:rsidR="00FC0F5A" w:rsidRPr="00FC0F5A" w:rsidRDefault="002A02B9" w:rsidP="0051170E">
                  <w:pPr>
                    <w:rPr>
                      <w:rFonts w:asciiTheme="majorHAnsi" w:hAnsiTheme="majorHAnsi"/>
                      <w:sz w:val="16"/>
                      <w:szCs w:val="16"/>
                    </w:rPr>
                  </w:pPr>
                  <w:r>
                    <w:rPr>
                      <w:rFonts w:asciiTheme="majorHAnsi" w:hAnsiTheme="majorHAnsi"/>
                      <w:sz w:val="16"/>
                      <w:szCs w:val="16"/>
                    </w:rPr>
                    <w:t>1.08</w:t>
                  </w:r>
                </w:p>
              </w:tc>
              <w:tc>
                <w:tcPr>
                  <w:tcW w:w="900" w:type="dxa"/>
                  <w:vAlign w:val="center"/>
                </w:tcPr>
                <w:p w14:paraId="7D65AAED" w14:textId="0B4C1798" w:rsidR="00FC0F5A" w:rsidRPr="00FC0F5A" w:rsidRDefault="002A02B9" w:rsidP="0051170E">
                  <w:pPr>
                    <w:rPr>
                      <w:rFonts w:asciiTheme="majorHAnsi" w:hAnsiTheme="majorHAnsi"/>
                      <w:sz w:val="16"/>
                      <w:szCs w:val="16"/>
                    </w:rPr>
                  </w:pPr>
                  <w:r>
                    <w:rPr>
                      <w:rFonts w:asciiTheme="majorHAnsi" w:hAnsiTheme="majorHAnsi"/>
                      <w:sz w:val="16"/>
                      <w:szCs w:val="16"/>
                    </w:rPr>
                    <w:t>1.18</w:t>
                  </w:r>
                </w:p>
              </w:tc>
            </w:tr>
            <w:tr w:rsidR="00FC0F5A" w:rsidRPr="00D9079F" w14:paraId="06FF3325" w14:textId="77777777" w:rsidTr="00AE646B">
              <w:tc>
                <w:tcPr>
                  <w:tcW w:w="1525" w:type="dxa"/>
                </w:tcPr>
                <w:p w14:paraId="7FD0AD7B" w14:textId="77777777" w:rsidR="00FC0F5A" w:rsidRPr="00D9079F" w:rsidRDefault="00FC0F5A" w:rsidP="004F2EAA">
                  <w:pPr>
                    <w:rPr>
                      <w:rFonts w:asciiTheme="majorHAnsi" w:hAnsiTheme="majorHAnsi"/>
                      <w:sz w:val="16"/>
                      <w:szCs w:val="16"/>
                    </w:rPr>
                  </w:pPr>
                  <w:r w:rsidRPr="00D9079F">
                    <w:rPr>
                      <w:rFonts w:asciiTheme="majorHAnsi" w:hAnsiTheme="majorHAnsi"/>
                      <w:sz w:val="16"/>
                      <w:szCs w:val="16"/>
                    </w:rPr>
                    <w:t>EPS</w:t>
                  </w:r>
                </w:p>
              </w:tc>
              <w:tc>
                <w:tcPr>
                  <w:tcW w:w="990" w:type="dxa"/>
                  <w:vAlign w:val="center"/>
                </w:tcPr>
                <w:p w14:paraId="1BB96181" w14:textId="09EE37E3" w:rsidR="00FC0F5A" w:rsidRPr="00FC0F5A" w:rsidRDefault="002A02B9" w:rsidP="0051170E">
                  <w:pPr>
                    <w:rPr>
                      <w:rFonts w:asciiTheme="majorHAnsi" w:hAnsiTheme="majorHAnsi"/>
                      <w:sz w:val="16"/>
                      <w:szCs w:val="16"/>
                    </w:rPr>
                  </w:pPr>
                  <w:r>
                    <w:rPr>
                      <w:rFonts w:asciiTheme="majorHAnsi" w:hAnsiTheme="majorHAnsi"/>
                      <w:sz w:val="16"/>
                      <w:szCs w:val="16"/>
                    </w:rPr>
                    <w:t>1.03</w:t>
                  </w:r>
                </w:p>
              </w:tc>
              <w:tc>
                <w:tcPr>
                  <w:tcW w:w="1170" w:type="dxa"/>
                  <w:vAlign w:val="center"/>
                </w:tcPr>
                <w:p w14:paraId="3568C580" w14:textId="12E2A935" w:rsidR="00FC0F5A" w:rsidRPr="00FC0F5A" w:rsidRDefault="002A02B9" w:rsidP="0051170E">
                  <w:pPr>
                    <w:rPr>
                      <w:rFonts w:asciiTheme="majorHAnsi" w:hAnsiTheme="majorHAnsi"/>
                      <w:sz w:val="16"/>
                      <w:szCs w:val="16"/>
                    </w:rPr>
                  </w:pPr>
                  <w:r>
                    <w:rPr>
                      <w:rFonts w:asciiTheme="majorHAnsi" w:hAnsiTheme="majorHAnsi"/>
                      <w:sz w:val="16"/>
                      <w:szCs w:val="16"/>
                    </w:rPr>
                    <w:t>4.63</w:t>
                  </w:r>
                </w:p>
              </w:tc>
              <w:tc>
                <w:tcPr>
                  <w:tcW w:w="1260" w:type="dxa"/>
                  <w:vAlign w:val="center"/>
                </w:tcPr>
                <w:p w14:paraId="039C42DF" w14:textId="1C820108" w:rsidR="00FC0F5A" w:rsidRPr="00FC0F5A" w:rsidRDefault="002A02B9" w:rsidP="0051170E">
                  <w:pPr>
                    <w:rPr>
                      <w:rFonts w:asciiTheme="majorHAnsi" w:hAnsiTheme="majorHAnsi"/>
                      <w:sz w:val="16"/>
                      <w:szCs w:val="16"/>
                    </w:rPr>
                  </w:pPr>
                  <w:r>
                    <w:rPr>
                      <w:rFonts w:asciiTheme="majorHAnsi" w:hAnsiTheme="majorHAnsi"/>
                      <w:sz w:val="16"/>
                      <w:szCs w:val="16"/>
                    </w:rPr>
                    <w:t>1.49</w:t>
                  </w:r>
                </w:p>
              </w:tc>
              <w:tc>
                <w:tcPr>
                  <w:tcW w:w="900" w:type="dxa"/>
                  <w:vAlign w:val="center"/>
                </w:tcPr>
                <w:p w14:paraId="1CBE09CE" w14:textId="426E4FA2" w:rsidR="00FC0F5A" w:rsidRPr="00FC0F5A" w:rsidRDefault="002A02B9" w:rsidP="0051170E">
                  <w:pPr>
                    <w:rPr>
                      <w:rFonts w:asciiTheme="majorHAnsi" w:hAnsiTheme="majorHAnsi"/>
                      <w:sz w:val="16"/>
                      <w:szCs w:val="16"/>
                    </w:rPr>
                  </w:pPr>
                  <w:r>
                    <w:rPr>
                      <w:rFonts w:asciiTheme="majorHAnsi" w:hAnsiTheme="majorHAnsi"/>
                      <w:sz w:val="16"/>
                      <w:szCs w:val="16"/>
                    </w:rPr>
                    <w:t>0.23</w:t>
                  </w:r>
                </w:p>
              </w:tc>
            </w:tr>
            <w:tr w:rsidR="00FC0F5A" w:rsidRPr="00D9079F" w14:paraId="777301C1" w14:textId="77777777" w:rsidTr="00AE646B">
              <w:tc>
                <w:tcPr>
                  <w:tcW w:w="1525" w:type="dxa"/>
                </w:tcPr>
                <w:p w14:paraId="0759BE0E" w14:textId="1F9A1A50" w:rsidR="00FC0F5A" w:rsidRPr="00D9079F" w:rsidRDefault="00676C67" w:rsidP="00462682">
                  <w:pPr>
                    <w:rPr>
                      <w:rFonts w:asciiTheme="majorHAnsi" w:hAnsiTheme="majorHAnsi"/>
                      <w:sz w:val="16"/>
                      <w:szCs w:val="16"/>
                    </w:rPr>
                  </w:pPr>
                  <w:r>
                    <w:rPr>
                      <w:rFonts w:asciiTheme="majorHAnsi" w:hAnsiTheme="majorHAnsi"/>
                      <w:sz w:val="16"/>
                      <w:szCs w:val="16"/>
                    </w:rPr>
                    <w:t xml:space="preserve">5 </w:t>
                  </w:r>
                  <w:proofErr w:type="spellStart"/>
                  <w:r>
                    <w:rPr>
                      <w:rFonts w:asciiTheme="majorHAnsi" w:hAnsiTheme="majorHAnsi"/>
                      <w:sz w:val="16"/>
                      <w:szCs w:val="16"/>
                    </w:rPr>
                    <w:t>yr-</w:t>
                  </w:r>
                  <w:r w:rsidR="00FC0F5A" w:rsidRPr="00D9079F">
                    <w:rPr>
                      <w:rFonts w:asciiTheme="majorHAnsi" w:hAnsiTheme="majorHAnsi"/>
                      <w:sz w:val="16"/>
                      <w:szCs w:val="16"/>
                    </w:rPr>
                    <w:t>Revn</w:t>
                  </w:r>
                  <w:proofErr w:type="spellEnd"/>
                  <w:r w:rsidR="00FC0F5A" w:rsidRPr="00D9079F">
                    <w:rPr>
                      <w:rFonts w:asciiTheme="majorHAnsi" w:hAnsiTheme="majorHAnsi"/>
                      <w:sz w:val="16"/>
                      <w:szCs w:val="16"/>
                    </w:rPr>
                    <w:t xml:space="preserve"> </w:t>
                  </w:r>
                  <w:proofErr w:type="spellStart"/>
                  <w:r w:rsidR="00FC0F5A" w:rsidRPr="00D9079F">
                    <w:rPr>
                      <w:rFonts w:asciiTheme="majorHAnsi" w:hAnsiTheme="majorHAnsi"/>
                      <w:sz w:val="16"/>
                      <w:szCs w:val="16"/>
                    </w:rPr>
                    <w:t>Grth</w:t>
                  </w:r>
                  <w:proofErr w:type="spellEnd"/>
                  <w:r w:rsidR="00FC0F5A" w:rsidRPr="00D9079F">
                    <w:rPr>
                      <w:rFonts w:asciiTheme="majorHAnsi" w:hAnsiTheme="majorHAnsi"/>
                      <w:sz w:val="16"/>
                      <w:szCs w:val="16"/>
                    </w:rPr>
                    <w:t xml:space="preserve"> </w:t>
                  </w:r>
                </w:p>
              </w:tc>
              <w:tc>
                <w:tcPr>
                  <w:tcW w:w="990" w:type="dxa"/>
                  <w:vAlign w:val="center"/>
                </w:tcPr>
                <w:p w14:paraId="3A612663" w14:textId="397930C4" w:rsidR="00FC0F5A" w:rsidRPr="00FC0F5A" w:rsidRDefault="000F178F" w:rsidP="00676C67">
                  <w:pPr>
                    <w:rPr>
                      <w:rFonts w:asciiTheme="majorHAnsi" w:hAnsiTheme="majorHAnsi"/>
                      <w:sz w:val="16"/>
                      <w:szCs w:val="16"/>
                    </w:rPr>
                  </w:pPr>
                  <w:r>
                    <w:rPr>
                      <w:rFonts w:asciiTheme="majorHAnsi" w:hAnsiTheme="majorHAnsi"/>
                      <w:sz w:val="16"/>
                      <w:szCs w:val="16"/>
                    </w:rPr>
                    <w:t>8.4%</w:t>
                  </w:r>
                </w:p>
              </w:tc>
              <w:tc>
                <w:tcPr>
                  <w:tcW w:w="1170" w:type="dxa"/>
                  <w:vAlign w:val="center"/>
                </w:tcPr>
                <w:p w14:paraId="76CC3C60" w14:textId="2733BCD1" w:rsidR="00FC0F5A" w:rsidRPr="00FC0F5A" w:rsidRDefault="00D24EF9" w:rsidP="004F2EAA">
                  <w:pPr>
                    <w:rPr>
                      <w:rFonts w:asciiTheme="majorHAnsi" w:hAnsiTheme="majorHAnsi"/>
                      <w:sz w:val="16"/>
                      <w:szCs w:val="16"/>
                    </w:rPr>
                  </w:pPr>
                  <w:r>
                    <w:rPr>
                      <w:rFonts w:asciiTheme="majorHAnsi" w:hAnsiTheme="majorHAnsi"/>
                      <w:sz w:val="16"/>
                      <w:szCs w:val="16"/>
                    </w:rPr>
                    <w:t>17.6%</w:t>
                  </w:r>
                </w:p>
              </w:tc>
              <w:tc>
                <w:tcPr>
                  <w:tcW w:w="1260" w:type="dxa"/>
                  <w:vAlign w:val="center"/>
                </w:tcPr>
                <w:p w14:paraId="18DCC7A0" w14:textId="795092EF" w:rsidR="00FC0F5A" w:rsidRPr="00FC0F5A" w:rsidRDefault="000F178F" w:rsidP="004F2EAA">
                  <w:pPr>
                    <w:rPr>
                      <w:rFonts w:asciiTheme="majorHAnsi" w:hAnsiTheme="majorHAnsi"/>
                      <w:sz w:val="16"/>
                      <w:szCs w:val="16"/>
                    </w:rPr>
                  </w:pPr>
                  <w:r>
                    <w:rPr>
                      <w:rFonts w:asciiTheme="majorHAnsi" w:hAnsiTheme="majorHAnsi"/>
                      <w:sz w:val="16"/>
                      <w:szCs w:val="16"/>
                    </w:rPr>
                    <w:t>5%</w:t>
                  </w:r>
                </w:p>
              </w:tc>
              <w:tc>
                <w:tcPr>
                  <w:tcW w:w="900" w:type="dxa"/>
                  <w:vAlign w:val="center"/>
                </w:tcPr>
                <w:p w14:paraId="68E302DD" w14:textId="465F73B9" w:rsidR="00FC0F5A" w:rsidRPr="00FC0F5A" w:rsidRDefault="000F178F" w:rsidP="004F2EAA">
                  <w:pPr>
                    <w:rPr>
                      <w:rFonts w:asciiTheme="majorHAnsi" w:hAnsiTheme="majorHAnsi"/>
                      <w:sz w:val="16"/>
                      <w:szCs w:val="16"/>
                    </w:rPr>
                  </w:pPr>
                  <w:r>
                    <w:rPr>
                      <w:rFonts w:asciiTheme="majorHAnsi" w:hAnsiTheme="majorHAnsi"/>
                      <w:sz w:val="16"/>
                      <w:szCs w:val="16"/>
                    </w:rPr>
                    <w:t>NA</w:t>
                  </w:r>
                </w:p>
              </w:tc>
            </w:tr>
            <w:tr w:rsidR="00FC0F5A" w:rsidRPr="00D9079F" w14:paraId="616F0554" w14:textId="77777777" w:rsidTr="00AE646B">
              <w:tc>
                <w:tcPr>
                  <w:tcW w:w="1525" w:type="dxa"/>
                </w:tcPr>
                <w:p w14:paraId="12174486" w14:textId="25C18B40" w:rsidR="00FC0F5A" w:rsidRPr="00AC6A2C" w:rsidRDefault="00925975" w:rsidP="00CE09D2">
                  <w:pPr>
                    <w:rPr>
                      <w:rFonts w:asciiTheme="majorHAnsi" w:hAnsiTheme="majorHAnsi"/>
                      <w:sz w:val="16"/>
                      <w:szCs w:val="16"/>
                    </w:rPr>
                  </w:pPr>
                  <w:r>
                    <w:rPr>
                      <w:rFonts w:asciiTheme="majorHAnsi" w:hAnsiTheme="majorHAnsi"/>
                      <w:sz w:val="16"/>
                      <w:szCs w:val="16"/>
                    </w:rPr>
                    <w:t>NI %</w:t>
                  </w:r>
                </w:p>
              </w:tc>
              <w:tc>
                <w:tcPr>
                  <w:tcW w:w="990" w:type="dxa"/>
                  <w:vAlign w:val="center"/>
                </w:tcPr>
                <w:p w14:paraId="76BD59B5" w14:textId="606347C3" w:rsidR="00FC0F5A" w:rsidRPr="00FC0F5A" w:rsidRDefault="00E34927" w:rsidP="0051170E">
                  <w:pPr>
                    <w:rPr>
                      <w:rFonts w:asciiTheme="majorHAnsi" w:hAnsiTheme="majorHAnsi"/>
                      <w:sz w:val="16"/>
                      <w:szCs w:val="16"/>
                    </w:rPr>
                  </w:pPr>
                  <w:r>
                    <w:rPr>
                      <w:rFonts w:asciiTheme="majorHAnsi" w:hAnsiTheme="majorHAnsi"/>
                      <w:sz w:val="16"/>
                      <w:szCs w:val="16"/>
                    </w:rPr>
                    <w:t>24%</w:t>
                  </w:r>
                </w:p>
              </w:tc>
              <w:tc>
                <w:tcPr>
                  <w:tcW w:w="1170" w:type="dxa"/>
                  <w:vAlign w:val="center"/>
                </w:tcPr>
                <w:p w14:paraId="552B5D28" w14:textId="6ED9CF2E" w:rsidR="00FC0F5A" w:rsidRPr="00FC0F5A" w:rsidRDefault="00566D68" w:rsidP="004F2EAA">
                  <w:pPr>
                    <w:rPr>
                      <w:rFonts w:asciiTheme="majorHAnsi" w:hAnsiTheme="majorHAnsi"/>
                      <w:sz w:val="16"/>
                      <w:szCs w:val="16"/>
                    </w:rPr>
                  </w:pPr>
                  <w:r>
                    <w:rPr>
                      <w:rFonts w:asciiTheme="majorHAnsi" w:hAnsiTheme="majorHAnsi"/>
                      <w:sz w:val="16"/>
                      <w:szCs w:val="16"/>
                    </w:rPr>
                    <w:t>29%</w:t>
                  </w:r>
                </w:p>
              </w:tc>
              <w:tc>
                <w:tcPr>
                  <w:tcW w:w="1260" w:type="dxa"/>
                  <w:vAlign w:val="center"/>
                </w:tcPr>
                <w:p w14:paraId="21AC8274" w14:textId="02DAA3D6" w:rsidR="00FC0F5A" w:rsidRPr="00FC0F5A" w:rsidRDefault="00AE646B" w:rsidP="0051170E">
                  <w:pPr>
                    <w:rPr>
                      <w:rFonts w:asciiTheme="majorHAnsi" w:hAnsiTheme="majorHAnsi"/>
                      <w:sz w:val="16"/>
                      <w:szCs w:val="16"/>
                    </w:rPr>
                  </w:pPr>
                  <w:r>
                    <w:rPr>
                      <w:rFonts w:asciiTheme="majorHAnsi" w:hAnsiTheme="majorHAnsi"/>
                      <w:sz w:val="16"/>
                      <w:szCs w:val="16"/>
                    </w:rPr>
                    <w:t>25%</w:t>
                  </w:r>
                </w:p>
              </w:tc>
              <w:tc>
                <w:tcPr>
                  <w:tcW w:w="900" w:type="dxa"/>
                  <w:vAlign w:val="center"/>
                </w:tcPr>
                <w:p w14:paraId="72155156" w14:textId="5CA6E491" w:rsidR="00FC0F5A" w:rsidRPr="00FC0F5A" w:rsidRDefault="009F40BF" w:rsidP="0051170E">
                  <w:pPr>
                    <w:rPr>
                      <w:rFonts w:asciiTheme="majorHAnsi" w:hAnsiTheme="majorHAnsi"/>
                      <w:sz w:val="16"/>
                      <w:szCs w:val="16"/>
                    </w:rPr>
                  </w:pPr>
                  <w:r>
                    <w:rPr>
                      <w:rFonts w:asciiTheme="majorHAnsi" w:hAnsiTheme="majorHAnsi"/>
                      <w:sz w:val="16"/>
                      <w:szCs w:val="16"/>
                    </w:rPr>
                    <w:t>-</w:t>
                  </w:r>
                </w:p>
              </w:tc>
            </w:tr>
            <w:tr w:rsidR="00FC0F5A" w:rsidRPr="00D9079F" w14:paraId="339AECB6" w14:textId="77777777" w:rsidTr="00AE646B">
              <w:tc>
                <w:tcPr>
                  <w:tcW w:w="1525" w:type="dxa"/>
                </w:tcPr>
                <w:p w14:paraId="7B2C49BE" w14:textId="77777777" w:rsidR="00FC0F5A" w:rsidRPr="00AC6A2C" w:rsidRDefault="00FC0F5A" w:rsidP="004F2EAA">
                  <w:pPr>
                    <w:rPr>
                      <w:rFonts w:asciiTheme="majorHAnsi" w:hAnsiTheme="majorHAnsi"/>
                      <w:sz w:val="16"/>
                      <w:szCs w:val="16"/>
                    </w:rPr>
                  </w:pPr>
                  <w:r w:rsidRPr="00AC6A2C">
                    <w:rPr>
                      <w:rFonts w:asciiTheme="majorHAnsi" w:hAnsiTheme="majorHAnsi"/>
                      <w:sz w:val="16"/>
                      <w:szCs w:val="16"/>
                    </w:rPr>
                    <w:t xml:space="preserve">Operating Margin </w:t>
                  </w:r>
                </w:p>
              </w:tc>
              <w:tc>
                <w:tcPr>
                  <w:tcW w:w="990" w:type="dxa"/>
                  <w:vAlign w:val="center"/>
                </w:tcPr>
                <w:p w14:paraId="583A9E22" w14:textId="5BC4EE03" w:rsidR="00FC0F5A" w:rsidRPr="00FC0F5A" w:rsidRDefault="00E34927" w:rsidP="0051170E">
                  <w:pPr>
                    <w:rPr>
                      <w:rFonts w:asciiTheme="majorHAnsi" w:hAnsiTheme="majorHAnsi"/>
                      <w:sz w:val="16"/>
                      <w:szCs w:val="16"/>
                    </w:rPr>
                  </w:pPr>
                  <w:r>
                    <w:rPr>
                      <w:rFonts w:asciiTheme="majorHAnsi" w:hAnsiTheme="majorHAnsi"/>
                      <w:sz w:val="16"/>
                      <w:szCs w:val="16"/>
                    </w:rPr>
                    <w:t>38%</w:t>
                  </w:r>
                </w:p>
              </w:tc>
              <w:tc>
                <w:tcPr>
                  <w:tcW w:w="1170" w:type="dxa"/>
                  <w:vAlign w:val="center"/>
                </w:tcPr>
                <w:p w14:paraId="0259AF75" w14:textId="5416DC33" w:rsidR="00FC0F5A" w:rsidRPr="00FC0F5A" w:rsidRDefault="000E1034" w:rsidP="004F2EAA">
                  <w:pPr>
                    <w:rPr>
                      <w:rFonts w:asciiTheme="majorHAnsi" w:hAnsiTheme="majorHAnsi"/>
                      <w:sz w:val="16"/>
                      <w:szCs w:val="16"/>
                    </w:rPr>
                  </w:pPr>
                  <w:r>
                    <w:rPr>
                      <w:rFonts w:asciiTheme="majorHAnsi" w:hAnsiTheme="majorHAnsi"/>
                      <w:sz w:val="16"/>
                      <w:szCs w:val="16"/>
                    </w:rPr>
                    <w:t>45%</w:t>
                  </w:r>
                </w:p>
              </w:tc>
              <w:tc>
                <w:tcPr>
                  <w:tcW w:w="1260" w:type="dxa"/>
                  <w:vAlign w:val="center"/>
                </w:tcPr>
                <w:p w14:paraId="6D16033E" w14:textId="284A7B8C" w:rsidR="00FC0F5A" w:rsidRPr="00FC0F5A" w:rsidRDefault="009F40BF" w:rsidP="004F2EAA">
                  <w:pPr>
                    <w:rPr>
                      <w:rFonts w:asciiTheme="majorHAnsi" w:hAnsiTheme="majorHAnsi"/>
                      <w:sz w:val="16"/>
                      <w:szCs w:val="16"/>
                    </w:rPr>
                  </w:pPr>
                  <w:r>
                    <w:rPr>
                      <w:rFonts w:asciiTheme="majorHAnsi" w:hAnsiTheme="majorHAnsi"/>
                      <w:sz w:val="16"/>
                      <w:szCs w:val="16"/>
                    </w:rPr>
                    <w:t>40%</w:t>
                  </w:r>
                </w:p>
              </w:tc>
              <w:tc>
                <w:tcPr>
                  <w:tcW w:w="900" w:type="dxa"/>
                  <w:vAlign w:val="center"/>
                </w:tcPr>
                <w:p w14:paraId="0087603B" w14:textId="4C726C05" w:rsidR="00FC0F5A" w:rsidRPr="00FC0F5A" w:rsidRDefault="009F40BF" w:rsidP="004F2EAA">
                  <w:pPr>
                    <w:rPr>
                      <w:rFonts w:asciiTheme="majorHAnsi" w:hAnsiTheme="majorHAnsi"/>
                      <w:sz w:val="16"/>
                      <w:szCs w:val="16"/>
                    </w:rPr>
                  </w:pPr>
                  <w:r>
                    <w:rPr>
                      <w:rFonts w:asciiTheme="majorHAnsi" w:hAnsiTheme="majorHAnsi"/>
                      <w:sz w:val="16"/>
                      <w:szCs w:val="16"/>
                    </w:rPr>
                    <w:t>-</w:t>
                  </w:r>
                </w:p>
              </w:tc>
            </w:tr>
            <w:tr w:rsidR="00FC0F5A" w:rsidRPr="00D9079F" w14:paraId="064AA80D" w14:textId="77777777" w:rsidTr="00AE646B">
              <w:tc>
                <w:tcPr>
                  <w:tcW w:w="1525" w:type="dxa"/>
                </w:tcPr>
                <w:p w14:paraId="5977E240" w14:textId="77777777" w:rsidR="00FC0F5A" w:rsidRPr="00AC6A2C" w:rsidRDefault="00FC0F5A" w:rsidP="004F2EAA">
                  <w:pPr>
                    <w:rPr>
                      <w:rFonts w:asciiTheme="majorHAnsi" w:hAnsiTheme="majorHAnsi"/>
                      <w:sz w:val="16"/>
                      <w:szCs w:val="16"/>
                    </w:rPr>
                  </w:pPr>
                  <w:r w:rsidRPr="00AC6A2C">
                    <w:rPr>
                      <w:rFonts w:asciiTheme="majorHAnsi" w:hAnsiTheme="majorHAnsi"/>
                      <w:sz w:val="16"/>
                      <w:szCs w:val="16"/>
                    </w:rPr>
                    <w:t xml:space="preserve">Debt / Equity </w:t>
                  </w:r>
                </w:p>
              </w:tc>
              <w:tc>
                <w:tcPr>
                  <w:tcW w:w="990" w:type="dxa"/>
                </w:tcPr>
                <w:p w14:paraId="0C02A104" w14:textId="628FC37E" w:rsidR="00FC0F5A" w:rsidRPr="00FC0F5A" w:rsidRDefault="00466EEE" w:rsidP="00676C67">
                  <w:pPr>
                    <w:rPr>
                      <w:rFonts w:asciiTheme="majorHAnsi" w:hAnsiTheme="majorHAnsi"/>
                      <w:sz w:val="16"/>
                      <w:szCs w:val="16"/>
                    </w:rPr>
                  </w:pPr>
                  <w:r>
                    <w:rPr>
                      <w:rFonts w:asciiTheme="majorHAnsi" w:hAnsiTheme="majorHAnsi"/>
                      <w:sz w:val="16"/>
                      <w:szCs w:val="16"/>
                    </w:rPr>
                    <w:t>0.4</w:t>
                  </w:r>
                </w:p>
              </w:tc>
              <w:tc>
                <w:tcPr>
                  <w:tcW w:w="1170" w:type="dxa"/>
                </w:tcPr>
                <w:p w14:paraId="0EE123A4" w14:textId="304C86C3" w:rsidR="00FC0F5A" w:rsidRPr="00FC0F5A" w:rsidRDefault="00AE646B" w:rsidP="004F2EAA">
                  <w:pPr>
                    <w:rPr>
                      <w:rFonts w:asciiTheme="majorHAnsi" w:hAnsiTheme="majorHAnsi"/>
                      <w:sz w:val="16"/>
                      <w:szCs w:val="16"/>
                    </w:rPr>
                  </w:pPr>
                  <w:r>
                    <w:rPr>
                      <w:rFonts w:asciiTheme="majorHAnsi" w:hAnsiTheme="majorHAnsi"/>
                      <w:sz w:val="16"/>
                      <w:szCs w:val="16"/>
                    </w:rPr>
                    <w:t>-</w:t>
                  </w:r>
                </w:p>
              </w:tc>
              <w:tc>
                <w:tcPr>
                  <w:tcW w:w="1260" w:type="dxa"/>
                </w:tcPr>
                <w:p w14:paraId="672F8CCF" w14:textId="5955FEC5" w:rsidR="00FC0F5A" w:rsidRPr="00FC0F5A" w:rsidRDefault="00D24EF9" w:rsidP="004F2EAA">
                  <w:pPr>
                    <w:rPr>
                      <w:rFonts w:asciiTheme="majorHAnsi" w:hAnsiTheme="majorHAnsi"/>
                      <w:sz w:val="16"/>
                      <w:szCs w:val="16"/>
                    </w:rPr>
                  </w:pPr>
                  <w:r>
                    <w:rPr>
                      <w:rFonts w:asciiTheme="majorHAnsi" w:hAnsiTheme="majorHAnsi"/>
                      <w:sz w:val="16"/>
                      <w:szCs w:val="16"/>
                    </w:rPr>
                    <w:t>0.4</w:t>
                  </w:r>
                </w:p>
              </w:tc>
              <w:tc>
                <w:tcPr>
                  <w:tcW w:w="900" w:type="dxa"/>
                </w:tcPr>
                <w:p w14:paraId="2639E00E" w14:textId="531BACBF" w:rsidR="00FC0F5A" w:rsidRPr="00FC0F5A" w:rsidRDefault="00D24EF9" w:rsidP="004F2EAA">
                  <w:pPr>
                    <w:rPr>
                      <w:rFonts w:asciiTheme="majorHAnsi" w:hAnsiTheme="majorHAnsi"/>
                      <w:sz w:val="16"/>
                      <w:szCs w:val="16"/>
                    </w:rPr>
                  </w:pPr>
                  <w:r>
                    <w:rPr>
                      <w:rFonts w:asciiTheme="majorHAnsi" w:hAnsiTheme="majorHAnsi"/>
                      <w:sz w:val="16"/>
                      <w:szCs w:val="16"/>
                    </w:rPr>
                    <w:t>2.1</w:t>
                  </w:r>
                </w:p>
              </w:tc>
            </w:tr>
            <w:tr w:rsidR="00FC0F5A" w:rsidRPr="00D9079F" w14:paraId="36B329ED" w14:textId="77777777" w:rsidTr="00AE646B">
              <w:tc>
                <w:tcPr>
                  <w:tcW w:w="1525" w:type="dxa"/>
                </w:tcPr>
                <w:p w14:paraId="791DB0D1" w14:textId="77777777" w:rsidR="00FC0F5A" w:rsidRPr="00AC6A2C" w:rsidRDefault="00FC0F5A" w:rsidP="004F2EAA">
                  <w:pPr>
                    <w:rPr>
                      <w:rFonts w:asciiTheme="majorHAnsi" w:hAnsiTheme="majorHAnsi"/>
                      <w:sz w:val="16"/>
                      <w:szCs w:val="16"/>
                    </w:rPr>
                  </w:pPr>
                  <w:r w:rsidRPr="00AC6A2C">
                    <w:rPr>
                      <w:rFonts w:asciiTheme="majorHAnsi" w:hAnsiTheme="majorHAnsi"/>
                      <w:sz w:val="16"/>
                      <w:szCs w:val="16"/>
                    </w:rPr>
                    <w:t>Market Cap</w:t>
                  </w:r>
                </w:p>
              </w:tc>
              <w:tc>
                <w:tcPr>
                  <w:tcW w:w="990" w:type="dxa"/>
                  <w:vAlign w:val="center"/>
                </w:tcPr>
                <w:p w14:paraId="665FDF73" w14:textId="0DE7CF5E" w:rsidR="00FC0F5A" w:rsidRPr="00FC0F5A" w:rsidRDefault="008054E5" w:rsidP="008054E5">
                  <w:pPr>
                    <w:rPr>
                      <w:rFonts w:asciiTheme="majorHAnsi" w:hAnsiTheme="majorHAnsi"/>
                      <w:sz w:val="16"/>
                      <w:szCs w:val="16"/>
                    </w:rPr>
                  </w:pPr>
                  <w:r>
                    <w:rPr>
                      <w:rFonts w:asciiTheme="majorHAnsi" w:hAnsiTheme="majorHAnsi"/>
                      <w:sz w:val="16"/>
                      <w:szCs w:val="16"/>
                    </w:rPr>
                    <w:t>28</w:t>
                  </w:r>
                  <w:r w:rsidR="002A02B9">
                    <w:rPr>
                      <w:rFonts w:asciiTheme="majorHAnsi" w:hAnsiTheme="majorHAnsi"/>
                      <w:sz w:val="16"/>
                      <w:szCs w:val="16"/>
                    </w:rPr>
                    <w:t>b</w:t>
                  </w:r>
                </w:p>
              </w:tc>
              <w:tc>
                <w:tcPr>
                  <w:tcW w:w="1170" w:type="dxa"/>
                  <w:vAlign w:val="center"/>
                </w:tcPr>
                <w:p w14:paraId="03A2468C" w14:textId="29B389A2" w:rsidR="00FC0F5A" w:rsidRPr="00FC0F5A" w:rsidRDefault="002A02B9" w:rsidP="004F2EAA">
                  <w:pPr>
                    <w:rPr>
                      <w:rFonts w:asciiTheme="majorHAnsi" w:hAnsiTheme="majorHAnsi"/>
                      <w:sz w:val="16"/>
                      <w:szCs w:val="16"/>
                    </w:rPr>
                  </w:pPr>
                  <w:r>
                    <w:rPr>
                      <w:rFonts w:asciiTheme="majorHAnsi" w:hAnsiTheme="majorHAnsi"/>
                      <w:sz w:val="16"/>
                      <w:szCs w:val="16"/>
                    </w:rPr>
                    <w:t>16.71b</w:t>
                  </w:r>
                </w:p>
              </w:tc>
              <w:tc>
                <w:tcPr>
                  <w:tcW w:w="1260" w:type="dxa"/>
                  <w:vAlign w:val="center"/>
                </w:tcPr>
                <w:p w14:paraId="031547AD" w14:textId="67B3E0D1" w:rsidR="00FC0F5A" w:rsidRPr="00FC0F5A" w:rsidRDefault="002A02B9" w:rsidP="004F2EAA">
                  <w:pPr>
                    <w:rPr>
                      <w:rFonts w:asciiTheme="majorHAnsi" w:hAnsiTheme="majorHAnsi"/>
                      <w:sz w:val="16"/>
                      <w:szCs w:val="16"/>
                    </w:rPr>
                  </w:pPr>
                  <w:r>
                    <w:rPr>
                      <w:rFonts w:asciiTheme="majorHAnsi" w:hAnsiTheme="majorHAnsi"/>
                      <w:sz w:val="16"/>
                      <w:szCs w:val="16"/>
                    </w:rPr>
                    <w:t>14.40b</w:t>
                  </w:r>
                </w:p>
              </w:tc>
              <w:tc>
                <w:tcPr>
                  <w:tcW w:w="900" w:type="dxa"/>
                  <w:vAlign w:val="center"/>
                </w:tcPr>
                <w:p w14:paraId="626B742A" w14:textId="7AC4B160" w:rsidR="00FC0F5A" w:rsidRPr="00FC0F5A" w:rsidRDefault="002A02B9" w:rsidP="004F2EAA">
                  <w:pPr>
                    <w:rPr>
                      <w:rFonts w:asciiTheme="majorHAnsi" w:hAnsiTheme="majorHAnsi"/>
                      <w:sz w:val="16"/>
                      <w:szCs w:val="16"/>
                    </w:rPr>
                  </w:pPr>
                  <w:r>
                    <w:rPr>
                      <w:rFonts w:asciiTheme="majorHAnsi" w:hAnsiTheme="majorHAnsi"/>
                      <w:sz w:val="16"/>
                      <w:szCs w:val="16"/>
                    </w:rPr>
                    <w:t>280.3m</w:t>
                  </w:r>
                </w:p>
              </w:tc>
            </w:tr>
            <w:tr w:rsidR="00FC0F5A" w:rsidRPr="00D9079F" w14:paraId="2803AFFF" w14:textId="77777777" w:rsidTr="00AE646B">
              <w:tc>
                <w:tcPr>
                  <w:tcW w:w="1525" w:type="dxa"/>
                  <w:shd w:val="clear" w:color="auto" w:fill="auto"/>
                </w:tcPr>
                <w:p w14:paraId="125C35C1" w14:textId="5FF762D0" w:rsidR="00FC0F5A" w:rsidRPr="00D9079F" w:rsidRDefault="00FC0F5A" w:rsidP="001C5C89">
                  <w:pPr>
                    <w:rPr>
                      <w:rFonts w:asciiTheme="majorHAnsi" w:hAnsiTheme="majorHAnsi"/>
                      <w:sz w:val="16"/>
                      <w:szCs w:val="16"/>
                    </w:rPr>
                  </w:pPr>
                  <w:r w:rsidRPr="00D9079F">
                    <w:rPr>
                      <w:rFonts w:asciiTheme="majorHAnsi" w:hAnsiTheme="majorHAnsi"/>
                      <w:sz w:val="16"/>
                      <w:szCs w:val="16"/>
                    </w:rPr>
                    <w:t>Revenue TTM</w:t>
                  </w:r>
                </w:p>
              </w:tc>
              <w:tc>
                <w:tcPr>
                  <w:tcW w:w="990" w:type="dxa"/>
                  <w:vAlign w:val="center"/>
                </w:tcPr>
                <w:p w14:paraId="79802FE2" w14:textId="1B9BCC34" w:rsidR="00FC0F5A" w:rsidRPr="00FC0F5A" w:rsidRDefault="00E34927" w:rsidP="001C5C89">
                  <w:pPr>
                    <w:rPr>
                      <w:rFonts w:asciiTheme="majorHAnsi" w:hAnsiTheme="majorHAnsi"/>
                      <w:sz w:val="16"/>
                      <w:szCs w:val="16"/>
                    </w:rPr>
                  </w:pPr>
                  <w:r>
                    <w:rPr>
                      <w:rFonts w:asciiTheme="majorHAnsi" w:hAnsiTheme="majorHAnsi"/>
                      <w:sz w:val="16"/>
                      <w:szCs w:val="16"/>
                    </w:rPr>
                    <w:t>6.5b</w:t>
                  </w:r>
                </w:p>
              </w:tc>
              <w:tc>
                <w:tcPr>
                  <w:tcW w:w="1170" w:type="dxa"/>
                  <w:vAlign w:val="center"/>
                </w:tcPr>
                <w:p w14:paraId="5566C1C3" w14:textId="66D5AEF4" w:rsidR="00FC0F5A" w:rsidRPr="00FC0F5A" w:rsidRDefault="002A02B9" w:rsidP="001C5C89">
                  <w:pPr>
                    <w:rPr>
                      <w:rFonts w:asciiTheme="majorHAnsi" w:hAnsiTheme="majorHAnsi"/>
                      <w:sz w:val="16"/>
                      <w:szCs w:val="16"/>
                    </w:rPr>
                  </w:pPr>
                  <w:r>
                    <w:rPr>
                      <w:rFonts w:asciiTheme="majorHAnsi" w:hAnsiTheme="majorHAnsi"/>
                      <w:sz w:val="16"/>
                      <w:szCs w:val="16"/>
                    </w:rPr>
                    <w:t>4.2b</w:t>
                  </w:r>
                </w:p>
              </w:tc>
              <w:tc>
                <w:tcPr>
                  <w:tcW w:w="1260" w:type="dxa"/>
                  <w:vAlign w:val="center"/>
                </w:tcPr>
                <w:p w14:paraId="7686D99E" w14:textId="2EA5A2E1" w:rsidR="00FC0F5A" w:rsidRPr="00FC0F5A" w:rsidRDefault="002A02B9" w:rsidP="001C5C89">
                  <w:pPr>
                    <w:rPr>
                      <w:rFonts w:asciiTheme="majorHAnsi" w:hAnsiTheme="majorHAnsi"/>
                      <w:sz w:val="16"/>
                      <w:szCs w:val="16"/>
                    </w:rPr>
                  </w:pPr>
                  <w:r>
                    <w:rPr>
                      <w:rFonts w:asciiTheme="majorHAnsi" w:hAnsiTheme="majorHAnsi"/>
                      <w:sz w:val="16"/>
                      <w:szCs w:val="16"/>
                    </w:rPr>
                    <w:t>3.19b</w:t>
                  </w:r>
                </w:p>
              </w:tc>
              <w:tc>
                <w:tcPr>
                  <w:tcW w:w="900" w:type="dxa"/>
                  <w:vAlign w:val="center"/>
                </w:tcPr>
                <w:p w14:paraId="2E577E8E" w14:textId="23665C38" w:rsidR="00FC0F5A" w:rsidRPr="00FC0F5A" w:rsidRDefault="002A02B9" w:rsidP="00CC03B8">
                  <w:pPr>
                    <w:rPr>
                      <w:rFonts w:asciiTheme="majorHAnsi" w:hAnsiTheme="majorHAnsi"/>
                      <w:sz w:val="16"/>
                      <w:szCs w:val="16"/>
                    </w:rPr>
                  </w:pPr>
                  <w:r>
                    <w:rPr>
                      <w:rFonts w:asciiTheme="majorHAnsi" w:hAnsiTheme="majorHAnsi"/>
                      <w:sz w:val="16"/>
                      <w:szCs w:val="16"/>
                    </w:rPr>
                    <w:t>165.5m</w:t>
                  </w:r>
                </w:p>
              </w:tc>
            </w:tr>
            <w:tr w:rsidR="00FC0F5A" w:rsidRPr="00925975" w14:paraId="2874C7E1" w14:textId="77777777" w:rsidTr="00AE646B">
              <w:tc>
                <w:tcPr>
                  <w:tcW w:w="1525" w:type="dxa"/>
                  <w:shd w:val="clear" w:color="auto" w:fill="auto"/>
                </w:tcPr>
                <w:p w14:paraId="4E9FD878" w14:textId="3096C1CB" w:rsidR="00FC0F5A" w:rsidRPr="00925975" w:rsidRDefault="00FC0F5A" w:rsidP="001C5C89">
                  <w:pPr>
                    <w:rPr>
                      <w:rFonts w:asciiTheme="majorHAnsi" w:hAnsiTheme="majorHAnsi" w:cs="Arial"/>
                      <w:color w:val="000000"/>
                      <w:sz w:val="16"/>
                      <w:szCs w:val="16"/>
                    </w:rPr>
                  </w:pPr>
                  <w:r w:rsidRPr="00925975">
                    <w:rPr>
                      <w:rFonts w:asciiTheme="majorHAnsi" w:hAnsiTheme="majorHAnsi" w:cs="Arial"/>
                      <w:color w:val="000000"/>
                      <w:sz w:val="16"/>
                      <w:szCs w:val="16"/>
                    </w:rPr>
                    <w:t>Net Income TTM</w:t>
                  </w:r>
                </w:p>
              </w:tc>
              <w:tc>
                <w:tcPr>
                  <w:tcW w:w="990" w:type="dxa"/>
                  <w:vAlign w:val="center"/>
                </w:tcPr>
                <w:p w14:paraId="06321421" w14:textId="42F5B258" w:rsidR="00FC0F5A" w:rsidRPr="00925975" w:rsidRDefault="00E34927" w:rsidP="001C5C89">
                  <w:pPr>
                    <w:rPr>
                      <w:rFonts w:asciiTheme="majorHAnsi" w:hAnsiTheme="majorHAnsi" w:cs="Arial"/>
                      <w:color w:val="000000"/>
                      <w:sz w:val="16"/>
                      <w:szCs w:val="16"/>
                    </w:rPr>
                  </w:pPr>
                  <w:r>
                    <w:rPr>
                      <w:rFonts w:asciiTheme="majorHAnsi" w:hAnsiTheme="majorHAnsi" w:cs="Arial"/>
                      <w:color w:val="000000"/>
                      <w:sz w:val="16"/>
                      <w:szCs w:val="16"/>
                    </w:rPr>
                    <w:t>1.45b</w:t>
                  </w:r>
                </w:p>
              </w:tc>
              <w:tc>
                <w:tcPr>
                  <w:tcW w:w="1170" w:type="dxa"/>
                  <w:vAlign w:val="center"/>
                </w:tcPr>
                <w:p w14:paraId="22D865C7" w14:textId="28EC98F3" w:rsidR="00FC0F5A" w:rsidRPr="00925975" w:rsidRDefault="002A02B9" w:rsidP="001C5C89">
                  <w:pPr>
                    <w:rPr>
                      <w:rFonts w:asciiTheme="majorHAnsi" w:hAnsiTheme="majorHAnsi" w:cs="Arial"/>
                      <w:color w:val="000000"/>
                      <w:sz w:val="16"/>
                      <w:szCs w:val="16"/>
                    </w:rPr>
                  </w:pPr>
                  <w:r>
                    <w:rPr>
                      <w:rFonts w:asciiTheme="majorHAnsi" w:hAnsiTheme="majorHAnsi" w:cs="Arial"/>
                      <w:color w:val="000000"/>
                      <w:sz w:val="16"/>
                      <w:szCs w:val="16"/>
                    </w:rPr>
                    <w:t>1.21b</w:t>
                  </w:r>
                </w:p>
              </w:tc>
              <w:tc>
                <w:tcPr>
                  <w:tcW w:w="1260" w:type="dxa"/>
                  <w:vAlign w:val="center"/>
                </w:tcPr>
                <w:p w14:paraId="654053BA" w14:textId="17B47C7E" w:rsidR="00FC0F5A" w:rsidRPr="00925975" w:rsidRDefault="002A02B9" w:rsidP="001C5C89">
                  <w:pPr>
                    <w:rPr>
                      <w:rFonts w:asciiTheme="majorHAnsi" w:hAnsiTheme="majorHAnsi" w:cs="Arial"/>
                      <w:color w:val="000000"/>
                      <w:sz w:val="16"/>
                      <w:szCs w:val="16"/>
                    </w:rPr>
                  </w:pPr>
                  <w:r>
                    <w:rPr>
                      <w:rFonts w:asciiTheme="majorHAnsi" w:hAnsiTheme="majorHAnsi" w:cs="Arial"/>
                      <w:color w:val="000000"/>
                      <w:sz w:val="16"/>
                      <w:szCs w:val="16"/>
                    </w:rPr>
                    <w:t>814m</w:t>
                  </w:r>
                </w:p>
              </w:tc>
              <w:tc>
                <w:tcPr>
                  <w:tcW w:w="900" w:type="dxa"/>
                  <w:vAlign w:val="center"/>
                </w:tcPr>
                <w:p w14:paraId="6FD8E221" w14:textId="0218BBEE" w:rsidR="00FC0F5A" w:rsidRPr="00925975" w:rsidRDefault="002A02B9" w:rsidP="00CC03B8">
                  <w:pPr>
                    <w:rPr>
                      <w:rFonts w:asciiTheme="majorHAnsi" w:hAnsiTheme="majorHAnsi" w:cs="Arial"/>
                      <w:color w:val="000000"/>
                      <w:sz w:val="16"/>
                      <w:szCs w:val="16"/>
                    </w:rPr>
                  </w:pPr>
                  <w:r>
                    <w:rPr>
                      <w:rFonts w:asciiTheme="majorHAnsi" w:hAnsiTheme="majorHAnsi" w:cs="Arial"/>
                      <w:color w:val="000000"/>
                      <w:sz w:val="16"/>
                      <w:szCs w:val="16"/>
                    </w:rPr>
                    <w:t>NA</w:t>
                  </w:r>
                </w:p>
              </w:tc>
            </w:tr>
            <w:tr w:rsidR="00D24EF9" w:rsidRPr="00925975" w14:paraId="6AD9EC23" w14:textId="77777777" w:rsidTr="00AE646B">
              <w:tc>
                <w:tcPr>
                  <w:tcW w:w="1525" w:type="dxa"/>
                  <w:shd w:val="clear" w:color="auto" w:fill="auto"/>
                </w:tcPr>
                <w:p w14:paraId="72B58304" w14:textId="4544F586" w:rsidR="00D24EF9" w:rsidRPr="00925975" w:rsidRDefault="00D24EF9" w:rsidP="001C5C89">
                  <w:pPr>
                    <w:rPr>
                      <w:rFonts w:asciiTheme="majorHAnsi" w:hAnsiTheme="majorHAnsi" w:cs="Arial"/>
                      <w:color w:val="000000"/>
                      <w:sz w:val="16"/>
                      <w:szCs w:val="16"/>
                    </w:rPr>
                  </w:pPr>
                  <w:r>
                    <w:rPr>
                      <w:rFonts w:asciiTheme="majorHAnsi" w:hAnsiTheme="majorHAnsi" w:cs="Arial"/>
                      <w:color w:val="000000"/>
                      <w:sz w:val="16"/>
                      <w:szCs w:val="16"/>
                    </w:rPr>
                    <w:t>AUM</w:t>
                  </w:r>
                </w:p>
              </w:tc>
              <w:tc>
                <w:tcPr>
                  <w:tcW w:w="990" w:type="dxa"/>
                  <w:vAlign w:val="center"/>
                </w:tcPr>
                <w:p w14:paraId="38701F0C" w14:textId="6F897ECD" w:rsidR="00D24EF9" w:rsidRPr="00925975" w:rsidRDefault="00D24EF9" w:rsidP="001C5C89">
                  <w:pPr>
                    <w:rPr>
                      <w:rFonts w:asciiTheme="majorHAnsi" w:hAnsiTheme="majorHAnsi" w:cs="Arial"/>
                      <w:color w:val="000000"/>
                      <w:sz w:val="16"/>
                      <w:szCs w:val="16"/>
                    </w:rPr>
                  </w:pPr>
                  <w:r>
                    <w:rPr>
                      <w:rFonts w:asciiTheme="majorHAnsi" w:hAnsiTheme="majorHAnsi" w:cs="Arial"/>
                      <w:color w:val="000000"/>
                      <w:sz w:val="16"/>
                      <w:szCs w:val="16"/>
                    </w:rPr>
                    <w:t>$2.5 trillion</w:t>
                  </w:r>
                </w:p>
              </w:tc>
              <w:tc>
                <w:tcPr>
                  <w:tcW w:w="1170" w:type="dxa"/>
                  <w:vAlign w:val="center"/>
                </w:tcPr>
                <w:p w14:paraId="4063ED18" w14:textId="018BE46F" w:rsidR="00D24EF9" w:rsidRDefault="00D24EF9" w:rsidP="001C5C89">
                  <w:pPr>
                    <w:rPr>
                      <w:rFonts w:asciiTheme="majorHAnsi" w:hAnsiTheme="majorHAnsi" w:cs="Arial"/>
                      <w:color w:val="000000"/>
                      <w:sz w:val="16"/>
                      <w:szCs w:val="16"/>
                    </w:rPr>
                  </w:pPr>
                  <w:r>
                    <w:rPr>
                      <w:rFonts w:asciiTheme="majorHAnsi" w:hAnsiTheme="majorHAnsi" w:cs="Arial"/>
                      <w:color w:val="000000"/>
                      <w:sz w:val="16"/>
                      <w:szCs w:val="16"/>
                    </w:rPr>
                    <w:t>763.1b</w:t>
                  </w:r>
                </w:p>
              </w:tc>
              <w:tc>
                <w:tcPr>
                  <w:tcW w:w="1260" w:type="dxa"/>
                  <w:vAlign w:val="center"/>
                </w:tcPr>
                <w:p w14:paraId="548B9479" w14:textId="7F06F512" w:rsidR="00D24EF9" w:rsidRDefault="00566D68" w:rsidP="001C5C89">
                  <w:pPr>
                    <w:rPr>
                      <w:rFonts w:asciiTheme="majorHAnsi" w:hAnsiTheme="majorHAnsi" w:cs="Arial"/>
                      <w:color w:val="000000"/>
                      <w:sz w:val="16"/>
                      <w:szCs w:val="16"/>
                    </w:rPr>
                  </w:pPr>
                  <w:r>
                    <w:rPr>
                      <w:rFonts w:asciiTheme="majorHAnsi" w:hAnsiTheme="majorHAnsi" w:cs="Arial"/>
                      <w:color w:val="000000"/>
                      <w:sz w:val="16"/>
                      <w:szCs w:val="16"/>
                    </w:rPr>
                    <w:t>--</w:t>
                  </w:r>
                </w:p>
              </w:tc>
              <w:tc>
                <w:tcPr>
                  <w:tcW w:w="900" w:type="dxa"/>
                  <w:vAlign w:val="center"/>
                </w:tcPr>
                <w:p w14:paraId="09CBCF3C" w14:textId="48F4B53D" w:rsidR="00D24EF9" w:rsidRDefault="00566D68" w:rsidP="00CC03B8">
                  <w:pPr>
                    <w:rPr>
                      <w:rFonts w:asciiTheme="majorHAnsi" w:hAnsiTheme="majorHAnsi" w:cs="Arial"/>
                      <w:color w:val="000000"/>
                      <w:sz w:val="16"/>
                      <w:szCs w:val="16"/>
                    </w:rPr>
                  </w:pPr>
                  <w:r>
                    <w:rPr>
                      <w:rFonts w:asciiTheme="majorHAnsi" w:hAnsiTheme="majorHAnsi" w:cs="Arial"/>
                      <w:color w:val="000000"/>
                      <w:sz w:val="16"/>
                      <w:szCs w:val="16"/>
                    </w:rPr>
                    <w:t>--</w:t>
                  </w:r>
                </w:p>
              </w:tc>
            </w:tr>
          </w:tbl>
          <w:p w14:paraId="67108435" w14:textId="457936FB" w:rsidR="00766C69" w:rsidRPr="00934A2F" w:rsidRDefault="00766C69" w:rsidP="00666BEF">
            <w:pPr>
              <w:pStyle w:val="ListParagraph"/>
              <w:ind w:left="0"/>
              <w:jc w:val="both"/>
              <w:rPr>
                <w:rFonts w:asciiTheme="majorHAnsi" w:hAnsiTheme="majorHAnsi"/>
                <w:sz w:val="16"/>
                <w:szCs w:val="16"/>
              </w:rPr>
            </w:pPr>
          </w:p>
        </w:tc>
        <w:tc>
          <w:tcPr>
            <w:tcW w:w="4590" w:type="dxa"/>
          </w:tcPr>
          <w:tbl>
            <w:tblPr>
              <w:tblStyle w:val="TableGrid"/>
              <w:tblW w:w="4207" w:type="dxa"/>
              <w:tblLayout w:type="fixed"/>
              <w:tblLook w:val="04A0" w:firstRow="1" w:lastRow="0" w:firstColumn="1" w:lastColumn="0" w:noHBand="0" w:noVBand="1"/>
            </w:tblPr>
            <w:tblGrid>
              <w:gridCol w:w="1327"/>
              <w:gridCol w:w="900"/>
              <w:gridCol w:w="905"/>
              <w:gridCol w:w="1075"/>
            </w:tblGrid>
            <w:tr w:rsidR="00766C69" w:rsidRPr="00D9079F" w14:paraId="39927E41" w14:textId="77777777" w:rsidTr="00925975">
              <w:trPr>
                <w:trHeight w:val="152"/>
              </w:trPr>
              <w:tc>
                <w:tcPr>
                  <w:tcW w:w="1327" w:type="dxa"/>
                  <w:shd w:val="clear" w:color="auto" w:fill="DBE5F1" w:themeFill="accent1" w:themeFillTint="33"/>
                </w:tcPr>
                <w:p w14:paraId="405B542F" w14:textId="06E80B37" w:rsidR="00766C69" w:rsidRPr="00D9079F" w:rsidRDefault="00766C69" w:rsidP="00766C69">
                  <w:pPr>
                    <w:jc w:val="center"/>
                    <w:rPr>
                      <w:rFonts w:asciiTheme="majorHAnsi" w:hAnsiTheme="majorHAnsi"/>
                      <w:sz w:val="16"/>
                      <w:szCs w:val="16"/>
                    </w:rPr>
                  </w:pPr>
                </w:p>
              </w:tc>
              <w:tc>
                <w:tcPr>
                  <w:tcW w:w="900" w:type="dxa"/>
                  <w:shd w:val="clear" w:color="auto" w:fill="DBE5F1" w:themeFill="accent1" w:themeFillTint="33"/>
                </w:tcPr>
                <w:p w14:paraId="0AB96B2A" w14:textId="2723198D" w:rsidR="00766C69" w:rsidRPr="00D9079F" w:rsidRDefault="00C417C1" w:rsidP="00EA5213">
                  <w:pPr>
                    <w:rPr>
                      <w:rFonts w:asciiTheme="majorHAnsi" w:hAnsiTheme="majorHAnsi"/>
                      <w:sz w:val="16"/>
                      <w:szCs w:val="16"/>
                    </w:rPr>
                  </w:pPr>
                  <w:r>
                    <w:rPr>
                      <w:rFonts w:asciiTheme="majorHAnsi" w:hAnsiTheme="majorHAnsi"/>
                      <w:sz w:val="16"/>
                      <w:szCs w:val="16"/>
                    </w:rPr>
                    <w:t>SCHW</w:t>
                  </w:r>
                </w:p>
              </w:tc>
              <w:tc>
                <w:tcPr>
                  <w:tcW w:w="905" w:type="dxa"/>
                  <w:shd w:val="clear" w:color="auto" w:fill="DBE5F1" w:themeFill="accent1" w:themeFillTint="33"/>
                </w:tcPr>
                <w:p w14:paraId="0650E6CE" w14:textId="16978B44" w:rsidR="00766C69" w:rsidRPr="00D9079F" w:rsidRDefault="004D2D8B" w:rsidP="00EA5213">
                  <w:pPr>
                    <w:rPr>
                      <w:rFonts w:asciiTheme="majorHAnsi" w:hAnsiTheme="majorHAnsi"/>
                      <w:sz w:val="16"/>
                      <w:szCs w:val="16"/>
                    </w:rPr>
                  </w:pPr>
                  <w:r>
                    <w:rPr>
                      <w:rFonts w:asciiTheme="majorHAnsi" w:hAnsiTheme="majorHAnsi"/>
                      <w:sz w:val="16"/>
                      <w:szCs w:val="16"/>
                    </w:rPr>
                    <w:t>Industry</w:t>
                  </w:r>
                </w:p>
              </w:tc>
              <w:tc>
                <w:tcPr>
                  <w:tcW w:w="1075" w:type="dxa"/>
                  <w:shd w:val="clear" w:color="auto" w:fill="DBE5F1" w:themeFill="accent1" w:themeFillTint="33"/>
                </w:tcPr>
                <w:p w14:paraId="68B31751" w14:textId="77777777" w:rsidR="00766C69" w:rsidRPr="00D9079F" w:rsidRDefault="00766C69" w:rsidP="00EA5213">
                  <w:pPr>
                    <w:rPr>
                      <w:rFonts w:asciiTheme="majorHAnsi" w:hAnsiTheme="majorHAnsi"/>
                      <w:sz w:val="16"/>
                      <w:szCs w:val="16"/>
                    </w:rPr>
                  </w:pPr>
                  <w:r w:rsidRPr="00D9079F">
                    <w:rPr>
                      <w:rFonts w:asciiTheme="majorHAnsi" w:hAnsiTheme="majorHAnsi"/>
                      <w:sz w:val="16"/>
                      <w:szCs w:val="16"/>
                    </w:rPr>
                    <w:t>S&amp;P 500</w:t>
                  </w:r>
                </w:p>
              </w:tc>
            </w:tr>
            <w:tr w:rsidR="00766C69" w:rsidRPr="00D9079F" w14:paraId="47681D86" w14:textId="77777777" w:rsidTr="00925975">
              <w:tc>
                <w:tcPr>
                  <w:tcW w:w="1327" w:type="dxa"/>
                </w:tcPr>
                <w:p w14:paraId="440258CF" w14:textId="77777777" w:rsidR="00766C69" w:rsidRPr="00D9079F" w:rsidRDefault="00766C69" w:rsidP="00EA5213">
                  <w:pPr>
                    <w:rPr>
                      <w:rFonts w:asciiTheme="majorHAnsi" w:hAnsiTheme="majorHAnsi"/>
                      <w:sz w:val="16"/>
                      <w:szCs w:val="16"/>
                    </w:rPr>
                  </w:pPr>
                  <w:r w:rsidRPr="00D9079F">
                    <w:rPr>
                      <w:rFonts w:asciiTheme="majorHAnsi" w:hAnsiTheme="majorHAnsi"/>
                      <w:sz w:val="16"/>
                      <w:szCs w:val="16"/>
                    </w:rPr>
                    <w:t>YTD</w:t>
                  </w:r>
                </w:p>
              </w:tc>
              <w:tc>
                <w:tcPr>
                  <w:tcW w:w="900" w:type="dxa"/>
                </w:tcPr>
                <w:p w14:paraId="2915C4D5" w14:textId="7A9189FB" w:rsidR="00766C69" w:rsidRPr="00D9079F" w:rsidRDefault="00C75393" w:rsidP="00EA5213">
                  <w:pPr>
                    <w:rPr>
                      <w:rFonts w:asciiTheme="majorHAnsi" w:hAnsiTheme="majorHAnsi"/>
                      <w:sz w:val="16"/>
                      <w:szCs w:val="16"/>
                    </w:rPr>
                  </w:pPr>
                  <w:r>
                    <w:rPr>
                      <w:rFonts w:asciiTheme="majorHAnsi" w:hAnsiTheme="majorHAnsi"/>
                      <w:sz w:val="16"/>
                      <w:szCs w:val="16"/>
                    </w:rPr>
                    <w:t>-22.47%</w:t>
                  </w:r>
                </w:p>
              </w:tc>
              <w:tc>
                <w:tcPr>
                  <w:tcW w:w="905" w:type="dxa"/>
                </w:tcPr>
                <w:p w14:paraId="432CEBBB" w14:textId="649B08B1" w:rsidR="00766C69" w:rsidRPr="00D9079F" w:rsidRDefault="00C75393" w:rsidP="00EA5213">
                  <w:pPr>
                    <w:rPr>
                      <w:rFonts w:asciiTheme="majorHAnsi" w:hAnsiTheme="majorHAnsi"/>
                      <w:sz w:val="16"/>
                      <w:szCs w:val="16"/>
                    </w:rPr>
                  </w:pPr>
                  <w:r>
                    <w:rPr>
                      <w:rFonts w:asciiTheme="majorHAnsi" w:hAnsiTheme="majorHAnsi"/>
                      <w:sz w:val="16"/>
                      <w:szCs w:val="16"/>
                    </w:rPr>
                    <w:t>-15.655</w:t>
                  </w:r>
                </w:p>
              </w:tc>
              <w:tc>
                <w:tcPr>
                  <w:tcW w:w="1075" w:type="dxa"/>
                </w:tcPr>
                <w:p w14:paraId="2D5C424C" w14:textId="5C63DF1B" w:rsidR="00766C69" w:rsidRPr="00D9079F" w:rsidRDefault="004D2D8B" w:rsidP="00EA5213">
                  <w:pPr>
                    <w:rPr>
                      <w:rFonts w:asciiTheme="majorHAnsi" w:hAnsiTheme="majorHAnsi"/>
                      <w:sz w:val="16"/>
                      <w:szCs w:val="16"/>
                    </w:rPr>
                  </w:pPr>
                  <w:r>
                    <w:rPr>
                      <w:rFonts w:asciiTheme="majorHAnsi" w:hAnsiTheme="majorHAnsi"/>
                      <w:sz w:val="16"/>
                      <w:szCs w:val="16"/>
                    </w:rPr>
                    <w:t>-4.96%</w:t>
                  </w:r>
                </w:p>
              </w:tc>
            </w:tr>
            <w:tr w:rsidR="00766C69" w:rsidRPr="00D9079F" w14:paraId="0CAB3804" w14:textId="77777777" w:rsidTr="00925975">
              <w:tc>
                <w:tcPr>
                  <w:tcW w:w="1327" w:type="dxa"/>
                </w:tcPr>
                <w:p w14:paraId="00417533" w14:textId="550825FD" w:rsidR="00766C69" w:rsidRPr="00D9079F" w:rsidRDefault="004D2D8B" w:rsidP="00EA5213">
                  <w:pPr>
                    <w:rPr>
                      <w:rFonts w:asciiTheme="majorHAnsi" w:hAnsiTheme="majorHAnsi"/>
                      <w:sz w:val="16"/>
                      <w:szCs w:val="16"/>
                    </w:rPr>
                  </w:pPr>
                  <w:r>
                    <w:rPr>
                      <w:rFonts w:asciiTheme="majorHAnsi" w:hAnsiTheme="majorHAnsi"/>
                      <w:sz w:val="16"/>
                      <w:szCs w:val="16"/>
                    </w:rPr>
                    <w:t>2015</w:t>
                  </w:r>
                </w:p>
              </w:tc>
              <w:tc>
                <w:tcPr>
                  <w:tcW w:w="900" w:type="dxa"/>
                </w:tcPr>
                <w:p w14:paraId="6A39DEFF" w14:textId="3C675E57" w:rsidR="00766C69" w:rsidRPr="00D9079F" w:rsidRDefault="00C75393" w:rsidP="00EA5213">
                  <w:pPr>
                    <w:rPr>
                      <w:rFonts w:asciiTheme="majorHAnsi" w:hAnsiTheme="majorHAnsi"/>
                      <w:sz w:val="16"/>
                      <w:szCs w:val="16"/>
                    </w:rPr>
                  </w:pPr>
                  <w:r>
                    <w:rPr>
                      <w:rFonts w:asciiTheme="majorHAnsi" w:hAnsiTheme="majorHAnsi"/>
                      <w:sz w:val="16"/>
                      <w:szCs w:val="16"/>
                    </w:rPr>
                    <w:t>9.87%</w:t>
                  </w:r>
                </w:p>
              </w:tc>
              <w:tc>
                <w:tcPr>
                  <w:tcW w:w="905" w:type="dxa"/>
                </w:tcPr>
                <w:p w14:paraId="492CC2B1" w14:textId="2AA96D61" w:rsidR="00766C69" w:rsidRPr="00D9079F" w:rsidRDefault="00C75393" w:rsidP="00EA5213">
                  <w:pPr>
                    <w:rPr>
                      <w:rFonts w:asciiTheme="majorHAnsi" w:hAnsiTheme="majorHAnsi"/>
                      <w:sz w:val="16"/>
                      <w:szCs w:val="16"/>
                    </w:rPr>
                  </w:pPr>
                  <w:r>
                    <w:rPr>
                      <w:rFonts w:asciiTheme="majorHAnsi" w:hAnsiTheme="majorHAnsi"/>
                      <w:sz w:val="16"/>
                      <w:szCs w:val="16"/>
                    </w:rPr>
                    <w:t>-3.11%</w:t>
                  </w:r>
                </w:p>
              </w:tc>
              <w:tc>
                <w:tcPr>
                  <w:tcW w:w="1075" w:type="dxa"/>
                </w:tcPr>
                <w:p w14:paraId="5535D14C" w14:textId="677B089F" w:rsidR="00766C69" w:rsidRPr="00D9079F" w:rsidRDefault="004D2D8B" w:rsidP="00EA5213">
                  <w:pPr>
                    <w:rPr>
                      <w:rFonts w:asciiTheme="majorHAnsi" w:hAnsiTheme="majorHAnsi"/>
                      <w:sz w:val="16"/>
                      <w:szCs w:val="16"/>
                    </w:rPr>
                  </w:pPr>
                  <w:r>
                    <w:rPr>
                      <w:rFonts w:asciiTheme="majorHAnsi" w:hAnsiTheme="majorHAnsi"/>
                      <w:sz w:val="16"/>
                      <w:szCs w:val="16"/>
                    </w:rPr>
                    <w:t>1.38%</w:t>
                  </w:r>
                </w:p>
              </w:tc>
            </w:tr>
            <w:tr w:rsidR="00766C69" w:rsidRPr="00D9079F" w14:paraId="0876038A" w14:textId="77777777" w:rsidTr="00925975">
              <w:tc>
                <w:tcPr>
                  <w:tcW w:w="1327" w:type="dxa"/>
                </w:tcPr>
                <w:p w14:paraId="1F90980B" w14:textId="77777777" w:rsidR="00766C69" w:rsidRPr="00D9079F" w:rsidRDefault="00766C69" w:rsidP="00EA5213">
                  <w:pPr>
                    <w:rPr>
                      <w:rFonts w:asciiTheme="majorHAnsi" w:hAnsiTheme="majorHAnsi"/>
                      <w:sz w:val="16"/>
                      <w:szCs w:val="16"/>
                    </w:rPr>
                  </w:pPr>
                  <w:r w:rsidRPr="00D9079F">
                    <w:rPr>
                      <w:rFonts w:asciiTheme="majorHAnsi" w:hAnsiTheme="majorHAnsi"/>
                      <w:sz w:val="16"/>
                      <w:szCs w:val="16"/>
                    </w:rPr>
                    <w:t xml:space="preserve">Last 3 Years </w:t>
                  </w:r>
                </w:p>
              </w:tc>
              <w:tc>
                <w:tcPr>
                  <w:tcW w:w="900" w:type="dxa"/>
                </w:tcPr>
                <w:p w14:paraId="0925A661" w14:textId="40D5FE7A" w:rsidR="00766C69" w:rsidRPr="00D9079F" w:rsidRDefault="00C75393" w:rsidP="00EA5213">
                  <w:pPr>
                    <w:rPr>
                      <w:rFonts w:asciiTheme="majorHAnsi" w:hAnsiTheme="majorHAnsi"/>
                      <w:sz w:val="16"/>
                      <w:szCs w:val="16"/>
                    </w:rPr>
                  </w:pPr>
                  <w:r>
                    <w:rPr>
                      <w:rFonts w:asciiTheme="majorHAnsi" w:hAnsiTheme="majorHAnsi"/>
                      <w:sz w:val="16"/>
                      <w:szCs w:val="16"/>
                    </w:rPr>
                    <w:t>32.82%</w:t>
                  </w:r>
                </w:p>
              </w:tc>
              <w:tc>
                <w:tcPr>
                  <w:tcW w:w="905" w:type="dxa"/>
                </w:tcPr>
                <w:p w14:paraId="046C9C8D" w14:textId="695D469B" w:rsidR="00766C69" w:rsidRPr="00D9079F" w:rsidRDefault="00C75393" w:rsidP="00EA5213">
                  <w:pPr>
                    <w:rPr>
                      <w:rFonts w:asciiTheme="majorHAnsi" w:hAnsiTheme="majorHAnsi"/>
                      <w:sz w:val="16"/>
                      <w:szCs w:val="16"/>
                    </w:rPr>
                  </w:pPr>
                  <w:r>
                    <w:rPr>
                      <w:rFonts w:asciiTheme="majorHAnsi" w:hAnsiTheme="majorHAnsi"/>
                      <w:sz w:val="16"/>
                      <w:szCs w:val="16"/>
                    </w:rPr>
                    <w:t>18.31%</w:t>
                  </w:r>
                </w:p>
              </w:tc>
              <w:tc>
                <w:tcPr>
                  <w:tcW w:w="1075" w:type="dxa"/>
                </w:tcPr>
                <w:p w14:paraId="55BE815F" w14:textId="4BBB8073" w:rsidR="00766C69" w:rsidRPr="00D9079F" w:rsidRDefault="004D2D8B" w:rsidP="00EA5213">
                  <w:pPr>
                    <w:rPr>
                      <w:rFonts w:asciiTheme="majorHAnsi" w:hAnsiTheme="majorHAnsi"/>
                      <w:sz w:val="16"/>
                      <w:szCs w:val="16"/>
                    </w:rPr>
                  </w:pPr>
                  <w:r>
                    <w:rPr>
                      <w:rFonts w:asciiTheme="majorHAnsi" w:hAnsiTheme="majorHAnsi"/>
                      <w:sz w:val="16"/>
                      <w:szCs w:val="16"/>
                    </w:rPr>
                    <w:t>15.13%</w:t>
                  </w:r>
                </w:p>
              </w:tc>
            </w:tr>
            <w:tr w:rsidR="00766C69" w:rsidRPr="00D9079F" w14:paraId="28B8CB1E" w14:textId="77777777" w:rsidTr="00925975">
              <w:tc>
                <w:tcPr>
                  <w:tcW w:w="1327" w:type="dxa"/>
                </w:tcPr>
                <w:p w14:paraId="3272796F" w14:textId="77777777" w:rsidR="00766C69" w:rsidRPr="00D9079F" w:rsidRDefault="00766C69" w:rsidP="00EA5213">
                  <w:pPr>
                    <w:rPr>
                      <w:rFonts w:asciiTheme="majorHAnsi" w:hAnsiTheme="majorHAnsi"/>
                      <w:sz w:val="16"/>
                      <w:szCs w:val="16"/>
                    </w:rPr>
                  </w:pPr>
                  <w:r w:rsidRPr="00D9079F">
                    <w:rPr>
                      <w:rFonts w:asciiTheme="majorHAnsi" w:hAnsiTheme="majorHAnsi"/>
                      <w:sz w:val="16"/>
                      <w:szCs w:val="16"/>
                    </w:rPr>
                    <w:t xml:space="preserve">Last 5 Years </w:t>
                  </w:r>
                </w:p>
              </w:tc>
              <w:tc>
                <w:tcPr>
                  <w:tcW w:w="900" w:type="dxa"/>
                </w:tcPr>
                <w:p w14:paraId="6CA968EB" w14:textId="5E2ACC3B" w:rsidR="00766C69" w:rsidRPr="00D9079F" w:rsidRDefault="00C75393" w:rsidP="00EA5213">
                  <w:pPr>
                    <w:rPr>
                      <w:rFonts w:asciiTheme="majorHAnsi" w:hAnsiTheme="majorHAnsi"/>
                      <w:sz w:val="16"/>
                      <w:szCs w:val="16"/>
                    </w:rPr>
                  </w:pPr>
                  <w:r>
                    <w:rPr>
                      <w:rFonts w:asciiTheme="majorHAnsi" w:hAnsiTheme="majorHAnsi"/>
                      <w:sz w:val="16"/>
                      <w:szCs w:val="16"/>
                    </w:rPr>
                    <w:t>14.81%</w:t>
                  </w:r>
                </w:p>
              </w:tc>
              <w:tc>
                <w:tcPr>
                  <w:tcW w:w="905" w:type="dxa"/>
                </w:tcPr>
                <w:p w14:paraId="3A2AF828" w14:textId="2404127C" w:rsidR="00766C69" w:rsidRPr="00D9079F" w:rsidRDefault="00C75393" w:rsidP="00EA5213">
                  <w:pPr>
                    <w:rPr>
                      <w:rFonts w:asciiTheme="majorHAnsi" w:hAnsiTheme="majorHAnsi"/>
                      <w:sz w:val="16"/>
                      <w:szCs w:val="16"/>
                    </w:rPr>
                  </w:pPr>
                  <w:r>
                    <w:rPr>
                      <w:rFonts w:asciiTheme="majorHAnsi" w:hAnsiTheme="majorHAnsi"/>
                      <w:sz w:val="16"/>
                      <w:szCs w:val="16"/>
                    </w:rPr>
                    <w:t>5.89%</w:t>
                  </w:r>
                </w:p>
              </w:tc>
              <w:tc>
                <w:tcPr>
                  <w:tcW w:w="1075" w:type="dxa"/>
                </w:tcPr>
                <w:p w14:paraId="1D7EE8E1" w14:textId="2B73DAA4" w:rsidR="00766C69" w:rsidRPr="00D9079F" w:rsidRDefault="004D2D8B" w:rsidP="00EA5213">
                  <w:pPr>
                    <w:rPr>
                      <w:rFonts w:asciiTheme="majorHAnsi" w:hAnsiTheme="majorHAnsi"/>
                      <w:sz w:val="16"/>
                      <w:szCs w:val="16"/>
                    </w:rPr>
                  </w:pPr>
                  <w:r>
                    <w:rPr>
                      <w:rFonts w:asciiTheme="majorHAnsi" w:hAnsiTheme="majorHAnsi"/>
                      <w:sz w:val="16"/>
                      <w:szCs w:val="16"/>
                    </w:rPr>
                    <w:t>12.57%</w:t>
                  </w:r>
                </w:p>
              </w:tc>
            </w:tr>
          </w:tbl>
          <w:p w14:paraId="221910A7" w14:textId="368D2A1A" w:rsidR="00766C69" w:rsidRPr="00D9079F" w:rsidRDefault="00766C69" w:rsidP="00FC0F5A">
            <w:pPr>
              <w:ind w:right="278"/>
              <w:jc w:val="both"/>
              <w:rPr>
                <w:rFonts w:asciiTheme="majorHAnsi" w:hAnsiTheme="majorHAnsi"/>
                <w:b/>
                <w:sz w:val="16"/>
                <w:szCs w:val="16"/>
              </w:rPr>
            </w:pPr>
            <w:bookmarkStart w:id="0" w:name="_GoBack"/>
            <w:bookmarkEnd w:id="0"/>
            <w:r w:rsidRPr="00300089">
              <w:rPr>
                <w:rFonts w:asciiTheme="majorHAnsi" w:hAnsiTheme="majorHAnsi"/>
                <w:b/>
                <w:sz w:val="16"/>
                <w:szCs w:val="16"/>
              </w:rPr>
              <w:t>CSR Characteristics</w:t>
            </w:r>
          </w:p>
          <w:tbl>
            <w:tblPr>
              <w:tblStyle w:val="TableGrid"/>
              <w:tblW w:w="4207" w:type="dxa"/>
              <w:tblLayout w:type="fixed"/>
              <w:tblLook w:val="04A0" w:firstRow="1" w:lastRow="0" w:firstColumn="1" w:lastColumn="0" w:noHBand="0" w:noVBand="1"/>
            </w:tblPr>
            <w:tblGrid>
              <w:gridCol w:w="2587"/>
              <w:gridCol w:w="720"/>
              <w:gridCol w:w="900"/>
            </w:tblGrid>
            <w:tr w:rsidR="00766C69" w:rsidRPr="00D9079F" w14:paraId="45EE1C47" w14:textId="77777777" w:rsidTr="00925975">
              <w:tc>
                <w:tcPr>
                  <w:tcW w:w="2587" w:type="dxa"/>
                  <w:shd w:val="clear" w:color="auto" w:fill="DBE5F1" w:themeFill="accent1" w:themeFillTint="33"/>
                </w:tcPr>
                <w:p w14:paraId="48F472B3" w14:textId="77777777" w:rsidR="00766C69" w:rsidRPr="00D9079F" w:rsidRDefault="00766C69" w:rsidP="009F0D12">
                  <w:pPr>
                    <w:rPr>
                      <w:rFonts w:asciiTheme="majorHAnsi" w:hAnsiTheme="majorHAnsi"/>
                      <w:sz w:val="16"/>
                      <w:szCs w:val="16"/>
                    </w:rPr>
                  </w:pPr>
                </w:p>
              </w:tc>
              <w:tc>
                <w:tcPr>
                  <w:tcW w:w="720" w:type="dxa"/>
                  <w:shd w:val="clear" w:color="auto" w:fill="DBE5F1" w:themeFill="accent1" w:themeFillTint="33"/>
                </w:tcPr>
                <w:p w14:paraId="64E10A6D" w14:textId="4768E423" w:rsidR="00766C69" w:rsidRPr="00D9079F" w:rsidRDefault="00C417C1" w:rsidP="009F0D12">
                  <w:pPr>
                    <w:rPr>
                      <w:rFonts w:asciiTheme="majorHAnsi" w:hAnsiTheme="majorHAnsi"/>
                      <w:sz w:val="16"/>
                      <w:szCs w:val="16"/>
                    </w:rPr>
                  </w:pPr>
                  <w:r>
                    <w:rPr>
                      <w:rFonts w:asciiTheme="majorHAnsi" w:hAnsiTheme="majorHAnsi"/>
                      <w:sz w:val="16"/>
                      <w:szCs w:val="16"/>
                    </w:rPr>
                    <w:t>SCHW</w:t>
                  </w:r>
                </w:p>
              </w:tc>
              <w:tc>
                <w:tcPr>
                  <w:tcW w:w="900" w:type="dxa"/>
                  <w:shd w:val="clear" w:color="auto" w:fill="DBE5F1" w:themeFill="accent1" w:themeFillTint="33"/>
                </w:tcPr>
                <w:p w14:paraId="2859E9CA" w14:textId="46E55C19" w:rsidR="00766C69" w:rsidRPr="00D9079F" w:rsidRDefault="00766C69" w:rsidP="009F0D12">
                  <w:pPr>
                    <w:rPr>
                      <w:rFonts w:asciiTheme="majorHAnsi" w:hAnsiTheme="majorHAnsi"/>
                      <w:sz w:val="16"/>
                      <w:szCs w:val="16"/>
                    </w:rPr>
                  </w:pPr>
                  <w:r w:rsidRPr="00D9079F">
                    <w:rPr>
                      <w:rFonts w:asciiTheme="majorHAnsi" w:hAnsiTheme="majorHAnsi"/>
                      <w:sz w:val="16"/>
                      <w:szCs w:val="16"/>
                    </w:rPr>
                    <w:t xml:space="preserve">Industry  </w:t>
                  </w:r>
                </w:p>
              </w:tc>
            </w:tr>
            <w:tr w:rsidR="00766C69" w:rsidRPr="00D9079F" w14:paraId="53D6739A" w14:textId="77777777" w:rsidTr="00925975">
              <w:tc>
                <w:tcPr>
                  <w:tcW w:w="2587" w:type="dxa"/>
                  <w:shd w:val="clear" w:color="auto" w:fill="auto"/>
                </w:tcPr>
                <w:p w14:paraId="5ABFA4AF" w14:textId="4B95A7E9" w:rsidR="00766C69" w:rsidRPr="00D9079F" w:rsidRDefault="007E1D8C" w:rsidP="007E1D8C">
                  <w:pPr>
                    <w:tabs>
                      <w:tab w:val="right" w:pos="1741"/>
                    </w:tabs>
                    <w:rPr>
                      <w:rFonts w:asciiTheme="majorHAnsi" w:hAnsiTheme="majorHAnsi"/>
                      <w:sz w:val="16"/>
                      <w:szCs w:val="16"/>
                    </w:rPr>
                  </w:pPr>
                  <w:r>
                    <w:rPr>
                      <w:rFonts w:asciiTheme="majorHAnsi" w:hAnsiTheme="majorHAnsi"/>
                      <w:sz w:val="16"/>
                      <w:szCs w:val="16"/>
                    </w:rPr>
                    <w:t>Business Ethics Policy</w:t>
                  </w:r>
                </w:p>
              </w:tc>
              <w:tc>
                <w:tcPr>
                  <w:tcW w:w="720" w:type="dxa"/>
                  <w:shd w:val="clear" w:color="auto" w:fill="auto"/>
                </w:tcPr>
                <w:p w14:paraId="051DC610" w14:textId="37643D44" w:rsidR="00766C69" w:rsidRPr="00D9079F" w:rsidRDefault="00BB7AAB" w:rsidP="009F0D12">
                  <w:pPr>
                    <w:rPr>
                      <w:rFonts w:asciiTheme="majorHAnsi" w:hAnsiTheme="majorHAnsi"/>
                      <w:sz w:val="16"/>
                      <w:szCs w:val="16"/>
                    </w:rPr>
                  </w:pPr>
                  <w:r>
                    <w:rPr>
                      <w:rFonts w:asciiTheme="majorHAnsi" w:hAnsiTheme="majorHAnsi"/>
                      <w:sz w:val="16"/>
                      <w:szCs w:val="16"/>
                    </w:rPr>
                    <w:t>1</w:t>
                  </w:r>
                </w:p>
              </w:tc>
              <w:tc>
                <w:tcPr>
                  <w:tcW w:w="900" w:type="dxa"/>
                  <w:shd w:val="clear" w:color="auto" w:fill="auto"/>
                </w:tcPr>
                <w:p w14:paraId="62440A49" w14:textId="1B8F2C5A" w:rsidR="00766C69" w:rsidRPr="00D9079F" w:rsidRDefault="00BB7AAB" w:rsidP="009F0D12">
                  <w:pPr>
                    <w:rPr>
                      <w:rFonts w:asciiTheme="majorHAnsi" w:hAnsiTheme="majorHAnsi"/>
                      <w:sz w:val="16"/>
                      <w:szCs w:val="16"/>
                    </w:rPr>
                  </w:pPr>
                  <w:r>
                    <w:rPr>
                      <w:rFonts w:asciiTheme="majorHAnsi" w:hAnsiTheme="majorHAnsi"/>
                      <w:sz w:val="16"/>
                      <w:szCs w:val="16"/>
                    </w:rPr>
                    <w:t>1</w:t>
                  </w:r>
                </w:p>
              </w:tc>
            </w:tr>
            <w:tr w:rsidR="00766C69" w:rsidRPr="00D9079F" w14:paraId="2137A167" w14:textId="77777777" w:rsidTr="00925975">
              <w:tc>
                <w:tcPr>
                  <w:tcW w:w="2587" w:type="dxa"/>
                  <w:shd w:val="clear" w:color="auto" w:fill="auto"/>
                </w:tcPr>
                <w:p w14:paraId="651DB827" w14:textId="18F286D9" w:rsidR="00766C69" w:rsidRPr="00D9079F" w:rsidRDefault="00766C69" w:rsidP="00803484">
                  <w:pPr>
                    <w:tabs>
                      <w:tab w:val="right" w:pos="1741"/>
                    </w:tabs>
                    <w:rPr>
                      <w:rFonts w:asciiTheme="majorHAnsi" w:hAnsiTheme="majorHAnsi"/>
                      <w:sz w:val="16"/>
                      <w:szCs w:val="16"/>
                    </w:rPr>
                  </w:pPr>
                  <w:r w:rsidRPr="00D9079F">
                    <w:rPr>
                      <w:rFonts w:asciiTheme="majorHAnsi" w:hAnsiTheme="majorHAnsi"/>
                      <w:sz w:val="16"/>
                      <w:szCs w:val="16"/>
                    </w:rPr>
                    <w:t>Governance Disclosure Score</w:t>
                  </w:r>
                </w:p>
              </w:tc>
              <w:tc>
                <w:tcPr>
                  <w:tcW w:w="720" w:type="dxa"/>
                  <w:shd w:val="clear" w:color="auto" w:fill="auto"/>
                </w:tcPr>
                <w:p w14:paraId="402EAEDF" w14:textId="58A02983" w:rsidR="00766C69" w:rsidRPr="00D9079F" w:rsidRDefault="00BB7AAB" w:rsidP="009F0D12">
                  <w:pPr>
                    <w:rPr>
                      <w:rFonts w:asciiTheme="majorHAnsi" w:hAnsiTheme="majorHAnsi"/>
                      <w:sz w:val="16"/>
                      <w:szCs w:val="16"/>
                    </w:rPr>
                  </w:pPr>
                  <w:r>
                    <w:rPr>
                      <w:rFonts w:asciiTheme="majorHAnsi" w:hAnsiTheme="majorHAnsi"/>
                      <w:sz w:val="16"/>
                      <w:szCs w:val="16"/>
                    </w:rPr>
                    <w:t>51.79</w:t>
                  </w:r>
                </w:p>
              </w:tc>
              <w:tc>
                <w:tcPr>
                  <w:tcW w:w="900" w:type="dxa"/>
                  <w:shd w:val="clear" w:color="auto" w:fill="auto"/>
                </w:tcPr>
                <w:p w14:paraId="59F780C5" w14:textId="13657C75" w:rsidR="00766C69" w:rsidRPr="00D9079F" w:rsidRDefault="00BB7AAB" w:rsidP="009F0D12">
                  <w:pPr>
                    <w:rPr>
                      <w:rFonts w:asciiTheme="majorHAnsi" w:hAnsiTheme="majorHAnsi"/>
                      <w:sz w:val="16"/>
                      <w:szCs w:val="16"/>
                    </w:rPr>
                  </w:pPr>
                  <w:r>
                    <w:rPr>
                      <w:rFonts w:asciiTheme="majorHAnsi" w:hAnsiTheme="majorHAnsi"/>
                      <w:sz w:val="16"/>
                      <w:szCs w:val="16"/>
                    </w:rPr>
                    <w:t>51.07</w:t>
                  </w:r>
                </w:p>
              </w:tc>
            </w:tr>
            <w:tr w:rsidR="00766C69" w:rsidRPr="00D9079F" w14:paraId="7789B7FE" w14:textId="77777777" w:rsidTr="00925975">
              <w:tc>
                <w:tcPr>
                  <w:tcW w:w="2587" w:type="dxa"/>
                  <w:shd w:val="clear" w:color="auto" w:fill="auto"/>
                </w:tcPr>
                <w:p w14:paraId="6E37B1E0" w14:textId="110DD1E4" w:rsidR="00766C69" w:rsidRPr="00D9079F" w:rsidRDefault="00766C69" w:rsidP="009F0D12">
                  <w:pPr>
                    <w:rPr>
                      <w:rFonts w:asciiTheme="majorHAnsi" w:hAnsiTheme="majorHAnsi"/>
                      <w:sz w:val="16"/>
                      <w:szCs w:val="16"/>
                    </w:rPr>
                  </w:pPr>
                  <w:r w:rsidRPr="00D9079F">
                    <w:rPr>
                      <w:rFonts w:asciiTheme="majorHAnsi" w:hAnsiTheme="majorHAnsi"/>
                      <w:sz w:val="16"/>
                      <w:szCs w:val="16"/>
                    </w:rPr>
                    <w:t xml:space="preserve">ESG Disclosure: </w:t>
                  </w:r>
                </w:p>
              </w:tc>
              <w:tc>
                <w:tcPr>
                  <w:tcW w:w="720" w:type="dxa"/>
                  <w:shd w:val="clear" w:color="auto" w:fill="auto"/>
                </w:tcPr>
                <w:p w14:paraId="69AFC6D3" w14:textId="434467B5" w:rsidR="00766C69" w:rsidRPr="00D9079F" w:rsidRDefault="00BB7AAB" w:rsidP="009F0D12">
                  <w:pPr>
                    <w:rPr>
                      <w:rFonts w:asciiTheme="majorHAnsi" w:hAnsiTheme="majorHAnsi"/>
                      <w:sz w:val="16"/>
                      <w:szCs w:val="16"/>
                    </w:rPr>
                  </w:pPr>
                  <w:r>
                    <w:rPr>
                      <w:rFonts w:asciiTheme="majorHAnsi" w:hAnsiTheme="majorHAnsi"/>
                      <w:sz w:val="16"/>
                      <w:szCs w:val="16"/>
                    </w:rPr>
                    <w:t>20.18</w:t>
                  </w:r>
                </w:p>
              </w:tc>
              <w:tc>
                <w:tcPr>
                  <w:tcW w:w="900" w:type="dxa"/>
                  <w:shd w:val="clear" w:color="auto" w:fill="auto"/>
                </w:tcPr>
                <w:p w14:paraId="176B6E96" w14:textId="324B74C7" w:rsidR="00766C69" w:rsidRPr="00D9079F" w:rsidRDefault="00BB7AAB" w:rsidP="009F0D12">
                  <w:pPr>
                    <w:rPr>
                      <w:rFonts w:asciiTheme="majorHAnsi" w:hAnsiTheme="majorHAnsi"/>
                      <w:sz w:val="16"/>
                      <w:szCs w:val="16"/>
                    </w:rPr>
                  </w:pPr>
                  <w:r>
                    <w:rPr>
                      <w:rFonts w:asciiTheme="majorHAnsi" w:hAnsiTheme="majorHAnsi"/>
                      <w:sz w:val="16"/>
                      <w:szCs w:val="16"/>
                    </w:rPr>
                    <w:t>19.74</w:t>
                  </w:r>
                </w:p>
              </w:tc>
            </w:tr>
            <w:tr w:rsidR="00766C69" w:rsidRPr="00D9079F" w14:paraId="7043D553" w14:textId="77777777" w:rsidTr="00925975">
              <w:tc>
                <w:tcPr>
                  <w:tcW w:w="2587" w:type="dxa"/>
                  <w:shd w:val="clear" w:color="auto" w:fill="auto"/>
                </w:tcPr>
                <w:p w14:paraId="796481F5" w14:textId="7E540616" w:rsidR="00766C69" w:rsidRPr="00D9079F" w:rsidRDefault="00766C69" w:rsidP="00803484">
                  <w:pPr>
                    <w:tabs>
                      <w:tab w:val="right" w:pos="1741"/>
                    </w:tabs>
                    <w:rPr>
                      <w:rFonts w:asciiTheme="majorHAnsi" w:hAnsiTheme="majorHAnsi"/>
                      <w:sz w:val="16"/>
                      <w:szCs w:val="16"/>
                    </w:rPr>
                  </w:pPr>
                  <w:r w:rsidRPr="00D9079F">
                    <w:rPr>
                      <w:rFonts w:asciiTheme="majorHAnsi" w:hAnsiTheme="majorHAnsi"/>
                      <w:sz w:val="16"/>
                      <w:szCs w:val="16"/>
                    </w:rPr>
                    <w:t>Social Disclosure Score</w:t>
                  </w:r>
                </w:p>
              </w:tc>
              <w:tc>
                <w:tcPr>
                  <w:tcW w:w="720" w:type="dxa"/>
                  <w:shd w:val="clear" w:color="auto" w:fill="auto"/>
                </w:tcPr>
                <w:p w14:paraId="1FDA896B" w14:textId="13CBD0F6" w:rsidR="00766C69" w:rsidRPr="00D9079F" w:rsidRDefault="00BB7AAB" w:rsidP="009F0D12">
                  <w:pPr>
                    <w:rPr>
                      <w:rFonts w:asciiTheme="majorHAnsi" w:hAnsiTheme="majorHAnsi"/>
                      <w:sz w:val="16"/>
                      <w:szCs w:val="16"/>
                    </w:rPr>
                  </w:pPr>
                  <w:r>
                    <w:rPr>
                      <w:rFonts w:asciiTheme="majorHAnsi" w:hAnsiTheme="majorHAnsi"/>
                      <w:sz w:val="16"/>
                      <w:szCs w:val="16"/>
                    </w:rPr>
                    <w:t>13.33</w:t>
                  </w:r>
                </w:p>
              </w:tc>
              <w:tc>
                <w:tcPr>
                  <w:tcW w:w="900" w:type="dxa"/>
                  <w:shd w:val="clear" w:color="auto" w:fill="auto"/>
                </w:tcPr>
                <w:p w14:paraId="1DD699A0" w14:textId="0D1C189B" w:rsidR="00766C69" w:rsidRPr="00D9079F" w:rsidRDefault="00BB7AAB" w:rsidP="009F0D12">
                  <w:pPr>
                    <w:rPr>
                      <w:rFonts w:asciiTheme="majorHAnsi" w:hAnsiTheme="majorHAnsi"/>
                      <w:sz w:val="16"/>
                      <w:szCs w:val="16"/>
                    </w:rPr>
                  </w:pPr>
                  <w:r>
                    <w:rPr>
                      <w:rFonts w:asciiTheme="majorHAnsi" w:hAnsiTheme="majorHAnsi"/>
                      <w:sz w:val="16"/>
                      <w:szCs w:val="16"/>
                    </w:rPr>
                    <w:t>15.33</w:t>
                  </w:r>
                </w:p>
              </w:tc>
            </w:tr>
            <w:tr w:rsidR="00766C69" w:rsidRPr="00D9079F" w14:paraId="2AED786D" w14:textId="77777777" w:rsidTr="00925975">
              <w:tc>
                <w:tcPr>
                  <w:tcW w:w="2587" w:type="dxa"/>
                </w:tcPr>
                <w:p w14:paraId="1512DF1C" w14:textId="7331C975" w:rsidR="00766C69" w:rsidRPr="00D9079F" w:rsidRDefault="00766C69" w:rsidP="009F0D12">
                  <w:pPr>
                    <w:rPr>
                      <w:rFonts w:asciiTheme="majorHAnsi" w:hAnsiTheme="majorHAnsi"/>
                      <w:sz w:val="16"/>
                      <w:szCs w:val="16"/>
                    </w:rPr>
                  </w:pPr>
                  <w:r w:rsidRPr="00D9079F">
                    <w:rPr>
                      <w:rFonts w:asciiTheme="majorHAnsi" w:hAnsiTheme="majorHAnsi"/>
                      <w:sz w:val="16"/>
                      <w:szCs w:val="16"/>
                    </w:rPr>
                    <w:t>Environmental Disclosure Score</w:t>
                  </w:r>
                </w:p>
              </w:tc>
              <w:tc>
                <w:tcPr>
                  <w:tcW w:w="720" w:type="dxa"/>
                </w:tcPr>
                <w:p w14:paraId="1005E3B5" w14:textId="09E89E5F" w:rsidR="00766C69" w:rsidRPr="00D9079F" w:rsidRDefault="00BB7AAB" w:rsidP="009F0D12">
                  <w:pPr>
                    <w:rPr>
                      <w:rFonts w:asciiTheme="majorHAnsi" w:hAnsiTheme="majorHAnsi"/>
                      <w:sz w:val="16"/>
                      <w:szCs w:val="16"/>
                    </w:rPr>
                  </w:pPr>
                  <w:r>
                    <w:rPr>
                      <w:rFonts w:asciiTheme="majorHAnsi" w:hAnsiTheme="majorHAnsi"/>
                      <w:sz w:val="16"/>
                      <w:szCs w:val="16"/>
                    </w:rPr>
                    <w:t>8.04</w:t>
                  </w:r>
                </w:p>
              </w:tc>
              <w:tc>
                <w:tcPr>
                  <w:tcW w:w="900" w:type="dxa"/>
                </w:tcPr>
                <w:p w14:paraId="4CFD4283" w14:textId="3C104E7F" w:rsidR="00766C69" w:rsidRPr="00D9079F" w:rsidRDefault="00BB7AAB" w:rsidP="009F0D12">
                  <w:pPr>
                    <w:rPr>
                      <w:rFonts w:asciiTheme="majorHAnsi" w:hAnsiTheme="majorHAnsi"/>
                      <w:sz w:val="16"/>
                      <w:szCs w:val="16"/>
                    </w:rPr>
                  </w:pPr>
                  <w:r>
                    <w:rPr>
                      <w:rFonts w:asciiTheme="majorHAnsi" w:hAnsiTheme="majorHAnsi"/>
                      <w:sz w:val="16"/>
                      <w:szCs w:val="16"/>
                    </w:rPr>
                    <w:t>6.7</w:t>
                  </w:r>
                </w:p>
              </w:tc>
            </w:tr>
          </w:tbl>
          <w:p w14:paraId="62EFF545" w14:textId="63BA6EAA" w:rsidR="00766C69" w:rsidRPr="003B46E6" w:rsidRDefault="002B1DA1" w:rsidP="004D3E3D">
            <w:pPr>
              <w:ind w:hanging="18"/>
              <w:rPr>
                <w:rFonts w:asciiTheme="majorHAnsi" w:hAnsiTheme="majorHAnsi"/>
                <w:b/>
                <w:sz w:val="14"/>
                <w:szCs w:val="16"/>
              </w:rPr>
            </w:pPr>
            <w:r w:rsidRPr="003B46E6">
              <w:rPr>
                <w:rFonts w:asciiTheme="majorHAnsi" w:hAnsiTheme="majorHAnsi"/>
                <w:b/>
                <w:sz w:val="14"/>
                <w:szCs w:val="18"/>
              </w:rPr>
              <w:t>Prepared by Neel Munot (</w:t>
            </w:r>
            <w:r w:rsidR="00666BEF">
              <w:rPr>
                <w:rFonts w:asciiTheme="majorHAnsi" w:hAnsiTheme="majorHAnsi"/>
                <w:b/>
                <w:sz w:val="14"/>
                <w:szCs w:val="18"/>
              </w:rPr>
              <w:t xml:space="preserve">Feb </w:t>
            </w:r>
            <w:r w:rsidR="004D3E3D">
              <w:rPr>
                <w:rFonts w:asciiTheme="majorHAnsi" w:hAnsiTheme="majorHAnsi"/>
                <w:b/>
                <w:sz w:val="14"/>
                <w:szCs w:val="18"/>
              </w:rPr>
              <w:t>10</w:t>
            </w:r>
            <w:r w:rsidRPr="003B46E6">
              <w:rPr>
                <w:rFonts w:asciiTheme="majorHAnsi" w:hAnsiTheme="majorHAnsi"/>
                <w:b/>
                <w:sz w:val="14"/>
                <w:szCs w:val="18"/>
              </w:rPr>
              <w:t>, 201</w:t>
            </w:r>
            <w:r w:rsidR="00666BEF">
              <w:rPr>
                <w:rFonts w:asciiTheme="majorHAnsi" w:hAnsiTheme="majorHAnsi"/>
                <w:b/>
                <w:sz w:val="14"/>
                <w:szCs w:val="18"/>
              </w:rPr>
              <w:t>6</w:t>
            </w:r>
            <w:r w:rsidRPr="003B46E6">
              <w:rPr>
                <w:rFonts w:asciiTheme="majorHAnsi" w:hAnsiTheme="majorHAnsi"/>
                <w:b/>
                <w:sz w:val="14"/>
                <w:szCs w:val="18"/>
              </w:rPr>
              <w:t>) using Bloomberg, Value Line, S&amp;P Net Advantage, Morning Star, Yahoo Finance</w:t>
            </w:r>
          </w:p>
        </w:tc>
      </w:tr>
    </w:tbl>
    <w:p w14:paraId="5C1E381E" w14:textId="6DBC318F" w:rsidR="00830F06" w:rsidRPr="00960020" w:rsidRDefault="00830F06" w:rsidP="002B1DA1">
      <w:pPr>
        <w:ind w:hanging="1440"/>
        <w:rPr>
          <w:rFonts w:asciiTheme="majorHAnsi" w:hAnsiTheme="majorHAnsi"/>
          <w:sz w:val="14"/>
          <w:szCs w:val="16"/>
        </w:rPr>
      </w:pPr>
    </w:p>
    <w:sectPr w:rsidR="00830F06" w:rsidRPr="00960020" w:rsidSect="00920D13">
      <w:pgSz w:w="12240" w:h="15840"/>
      <w:pgMar w:top="45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UniversLTStd-BoldC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A2BEE"/>
    <w:multiLevelType w:val="hybridMultilevel"/>
    <w:tmpl w:val="EC263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B20D3B"/>
    <w:multiLevelType w:val="multilevel"/>
    <w:tmpl w:val="95AA19D4"/>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68127F"/>
    <w:multiLevelType w:val="hybridMultilevel"/>
    <w:tmpl w:val="732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47A60"/>
    <w:multiLevelType w:val="hybridMultilevel"/>
    <w:tmpl w:val="EBFE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3153C"/>
    <w:multiLevelType w:val="hybridMultilevel"/>
    <w:tmpl w:val="9ECE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AD4605"/>
    <w:multiLevelType w:val="hybridMultilevel"/>
    <w:tmpl w:val="12D00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94DD4"/>
    <w:multiLevelType w:val="hybridMultilevel"/>
    <w:tmpl w:val="075A7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2E1D61"/>
    <w:multiLevelType w:val="hybridMultilevel"/>
    <w:tmpl w:val="7D6AA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B8"/>
    <w:rsid w:val="000145A7"/>
    <w:rsid w:val="00022508"/>
    <w:rsid w:val="00026F5E"/>
    <w:rsid w:val="00034A52"/>
    <w:rsid w:val="00050FA6"/>
    <w:rsid w:val="00056CE9"/>
    <w:rsid w:val="00066CC4"/>
    <w:rsid w:val="00071AC8"/>
    <w:rsid w:val="00071F4F"/>
    <w:rsid w:val="00096901"/>
    <w:rsid w:val="0009757B"/>
    <w:rsid w:val="000B7D53"/>
    <w:rsid w:val="000E0407"/>
    <w:rsid w:val="000E0C3A"/>
    <w:rsid w:val="000E1034"/>
    <w:rsid w:val="000F178F"/>
    <w:rsid w:val="0013332F"/>
    <w:rsid w:val="001366A3"/>
    <w:rsid w:val="0014778C"/>
    <w:rsid w:val="00192B6F"/>
    <w:rsid w:val="00197A37"/>
    <w:rsid w:val="001A0951"/>
    <w:rsid w:val="001A1781"/>
    <w:rsid w:val="001A4CD7"/>
    <w:rsid w:val="001A54DB"/>
    <w:rsid w:val="001C5C89"/>
    <w:rsid w:val="001F411C"/>
    <w:rsid w:val="001F4C8C"/>
    <w:rsid w:val="002231A8"/>
    <w:rsid w:val="002264BA"/>
    <w:rsid w:val="00230BD4"/>
    <w:rsid w:val="00231ED5"/>
    <w:rsid w:val="00245DD4"/>
    <w:rsid w:val="002535D2"/>
    <w:rsid w:val="00254456"/>
    <w:rsid w:val="00254495"/>
    <w:rsid w:val="00256907"/>
    <w:rsid w:val="00274740"/>
    <w:rsid w:val="00284A3E"/>
    <w:rsid w:val="00291662"/>
    <w:rsid w:val="0029559F"/>
    <w:rsid w:val="002A02B9"/>
    <w:rsid w:val="002B04FE"/>
    <w:rsid w:val="002B1DA1"/>
    <w:rsid w:val="002C75DD"/>
    <w:rsid w:val="002D3CFC"/>
    <w:rsid w:val="002D78A1"/>
    <w:rsid w:val="00300089"/>
    <w:rsid w:val="003073EA"/>
    <w:rsid w:val="003173DA"/>
    <w:rsid w:val="0033512A"/>
    <w:rsid w:val="00371C05"/>
    <w:rsid w:val="00375DB5"/>
    <w:rsid w:val="00384388"/>
    <w:rsid w:val="00392411"/>
    <w:rsid w:val="00392719"/>
    <w:rsid w:val="003B3070"/>
    <w:rsid w:val="003B46E6"/>
    <w:rsid w:val="003D721D"/>
    <w:rsid w:val="003E5DB4"/>
    <w:rsid w:val="003E7CA1"/>
    <w:rsid w:val="00401063"/>
    <w:rsid w:val="00413761"/>
    <w:rsid w:val="0042162B"/>
    <w:rsid w:val="004436C7"/>
    <w:rsid w:val="00443ED9"/>
    <w:rsid w:val="00455F5A"/>
    <w:rsid w:val="00462682"/>
    <w:rsid w:val="00466EEE"/>
    <w:rsid w:val="00491B06"/>
    <w:rsid w:val="004A62E8"/>
    <w:rsid w:val="004D2D8B"/>
    <w:rsid w:val="004D3729"/>
    <w:rsid w:val="004D3E3D"/>
    <w:rsid w:val="004E6DB4"/>
    <w:rsid w:val="004F0571"/>
    <w:rsid w:val="004F2EAA"/>
    <w:rsid w:val="004F5B56"/>
    <w:rsid w:val="0050052A"/>
    <w:rsid w:val="0051170E"/>
    <w:rsid w:val="00547B13"/>
    <w:rsid w:val="0056019E"/>
    <w:rsid w:val="00566D68"/>
    <w:rsid w:val="00575123"/>
    <w:rsid w:val="00581B35"/>
    <w:rsid w:val="00585C89"/>
    <w:rsid w:val="005E114B"/>
    <w:rsid w:val="0060598F"/>
    <w:rsid w:val="00664D64"/>
    <w:rsid w:val="00666BEF"/>
    <w:rsid w:val="006704F5"/>
    <w:rsid w:val="00674795"/>
    <w:rsid w:val="00676C67"/>
    <w:rsid w:val="00690115"/>
    <w:rsid w:val="006953F0"/>
    <w:rsid w:val="006A07A0"/>
    <w:rsid w:val="006A37B5"/>
    <w:rsid w:val="006A61A4"/>
    <w:rsid w:val="006B24E5"/>
    <w:rsid w:val="006C1408"/>
    <w:rsid w:val="006E2939"/>
    <w:rsid w:val="006E44B8"/>
    <w:rsid w:val="006E5EA1"/>
    <w:rsid w:val="00706035"/>
    <w:rsid w:val="00743904"/>
    <w:rsid w:val="0076327C"/>
    <w:rsid w:val="00766C69"/>
    <w:rsid w:val="00767EA9"/>
    <w:rsid w:val="00770F8B"/>
    <w:rsid w:val="00772B0A"/>
    <w:rsid w:val="00796063"/>
    <w:rsid w:val="007A040E"/>
    <w:rsid w:val="007B1B21"/>
    <w:rsid w:val="007B2A6D"/>
    <w:rsid w:val="007B6409"/>
    <w:rsid w:val="007C11D1"/>
    <w:rsid w:val="007C5299"/>
    <w:rsid w:val="007E1D8C"/>
    <w:rsid w:val="007F4659"/>
    <w:rsid w:val="00803484"/>
    <w:rsid w:val="00804E00"/>
    <w:rsid w:val="008054E5"/>
    <w:rsid w:val="00815FF3"/>
    <w:rsid w:val="00830F06"/>
    <w:rsid w:val="008318A9"/>
    <w:rsid w:val="00832142"/>
    <w:rsid w:val="00835134"/>
    <w:rsid w:val="00846714"/>
    <w:rsid w:val="00852DFB"/>
    <w:rsid w:val="00857BC1"/>
    <w:rsid w:val="00874223"/>
    <w:rsid w:val="00875430"/>
    <w:rsid w:val="00876232"/>
    <w:rsid w:val="008B72AE"/>
    <w:rsid w:val="008C630B"/>
    <w:rsid w:val="008C7FEA"/>
    <w:rsid w:val="008D49EF"/>
    <w:rsid w:val="008E35FD"/>
    <w:rsid w:val="00900789"/>
    <w:rsid w:val="009007A6"/>
    <w:rsid w:val="00907848"/>
    <w:rsid w:val="00911AF8"/>
    <w:rsid w:val="00915605"/>
    <w:rsid w:val="00920D13"/>
    <w:rsid w:val="00923CAB"/>
    <w:rsid w:val="00925975"/>
    <w:rsid w:val="00934A2F"/>
    <w:rsid w:val="00950872"/>
    <w:rsid w:val="00951D7A"/>
    <w:rsid w:val="00960020"/>
    <w:rsid w:val="009A180A"/>
    <w:rsid w:val="009B1413"/>
    <w:rsid w:val="009B48B9"/>
    <w:rsid w:val="009C2716"/>
    <w:rsid w:val="009C57C6"/>
    <w:rsid w:val="009D5A45"/>
    <w:rsid w:val="009D7A72"/>
    <w:rsid w:val="009F0D12"/>
    <w:rsid w:val="009F2E51"/>
    <w:rsid w:val="009F40BF"/>
    <w:rsid w:val="00A21885"/>
    <w:rsid w:val="00A30926"/>
    <w:rsid w:val="00A5442D"/>
    <w:rsid w:val="00A56542"/>
    <w:rsid w:val="00A603A6"/>
    <w:rsid w:val="00A63E9D"/>
    <w:rsid w:val="00A8460D"/>
    <w:rsid w:val="00A85575"/>
    <w:rsid w:val="00AA0C48"/>
    <w:rsid w:val="00AA5ED5"/>
    <w:rsid w:val="00AA6B59"/>
    <w:rsid w:val="00AB003F"/>
    <w:rsid w:val="00AC6A2C"/>
    <w:rsid w:val="00AE646B"/>
    <w:rsid w:val="00AF471E"/>
    <w:rsid w:val="00B14721"/>
    <w:rsid w:val="00B22327"/>
    <w:rsid w:val="00B502EC"/>
    <w:rsid w:val="00B627AE"/>
    <w:rsid w:val="00B7642F"/>
    <w:rsid w:val="00B94DBA"/>
    <w:rsid w:val="00BA6F89"/>
    <w:rsid w:val="00BB0C4E"/>
    <w:rsid w:val="00BB0E38"/>
    <w:rsid w:val="00BB3908"/>
    <w:rsid w:val="00BB543E"/>
    <w:rsid w:val="00BB61F8"/>
    <w:rsid w:val="00BB7AAB"/>
    <w:rsid w:val="00BC5E50"/>
    <w:rsid w:val="00BE6512"/>
    <w:rsid w:val="00BF2DE5"/>
    <w:rsid w:val="00C15E83"/>
    <w:rsid w:val="00C161B3"/>
    <w:rsid w:val="00C2195E"/>
    <w:rsid w:val="00C352F3"/>
    <w:rsid w:val="00C37AB2"/>
    <w:rsid w:val="00C417C1"/>
    <w:rsid w:val="00C441B3"/>
    <w:rsid w:val="00C75393"/>
    <w:rsid w:val="00C8095F"/>
    <w:rsid w:val="00C84309"/>
    <w:rsid w:val="00C8649B"/>
    <w:rsid w:val="00C9117C"/>
    <w:rsid w:val="00CC03B8"/>
    <w:rsid w:val="00CC5418"/>
    <w:rsid w:val="00CE09D2"/>
    <w:rsid w:val="00CE4435"/>
    <w:rsid w:val="00CE6C01"/>
    <w:rsid w:val="00CF27D4"/>
    <w:rsid w:val="00CF2F28"/>
    <w:rsid w:val="00D06A5C"/>
    <w:rsid w:val="00D16B81"/>
    <w:rsid w:val="00D24EF9"/>
    <w:rsid w:val="00D363A8"/>
    <w:rsid w:val="00D50F9B"/>
    <w:rsid w:val="00D570FE"/>
    <w:rsid w:val="00D636EF"/>
    <w:rsid w:val="00D9079F"/>
    <w:rsid w:val="00D92C96"/>
    <w:rsid w:val="00DA56AC"/>
    <w:rsid w:val="00DB5A10"/>
    <w:rsid w:val="00DC268D"/>
    <w:rsid w:val="00E14AC6"/>
    <w:rsid w:val="00E20C55"/>
    <w:rsid w:val="00E34927"/>
    <w:rsid w:val="00E349B1"/>
    <w:rsid w:val="00E3542E"/>
    <w:rsid w:val="00E42CC2"/>
    <w:rsid w:val="00E51FAC"/>
    <w:rsid w:val="00E54F20"/>
    <w:rsid w:val="00E5675C"/>
    <w:rsid w:val="00E60A49"/>
    <w:rsid w:val="00E8555E"/>
    <w:rsid w:val="00E90970"/>
    <w:rsid w:val="00E916A2"/>
    <w:rsid w:val="00E96739"/>
    <w:rsid w:val="00EA31B0"/>
    <w:rsid w:val="00EA5213"/>
    <w:rsid w:val="00EC2755"/>
    <w:rsid w:val="00EC75B4"/>
    <w:rsid w:val="00ED6EC7"/>
    <w:rsid w:val="00F008CC"/>
    <w:rsid w:val="00F04E1E"/>
    <w:rsid w:val="00F130CB"/>
    <w:rsid w:val="00F224A9"/>
    <w:rsid w:val="00F4139E"/>
    <w:rsid w:val="00F56067"/>
    <w:rsid w:val="00F65A7F"/>
    <w:rsid w:val="00F77D0C"/>
    <w:rsid w:val="00F856C9"/>
    <w:rsid w:val="00F92EDE"/>
    <w:rsid w:val="00F96F5E"/>
    <w:rsid w:val="00FB4741"/>
    <w:rsid w:val="00FC0F5A"/>
    <w:rsid w:val="00FC20D0"/>
    <w:rsid w:val="00FC33EF"/>
    <w:rsid w:val="00FC4084"/>
    <w:rsid w:val="00FD0265"/>
    <w:rsid w:val="00FF2C25"/>
    <w:rsid w:val="00FF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A890F"/>
  <w14:defaultImageDpi w14:val="300"/>
  <w15:docId w15:val="{9EC88519-D786-4254-BAE9-846959EB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64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409"/>
    <w:rPr>
      <w:rFonts w:ascii="Lucida Grande" w:hAnsi="Lucida Grande" w:cs="Lucida Grande"/>
      <w:sz w:val="18"/>
      <w:szCs w:val="18"/>
    </w:rPr>
  </w:style>
  <w:style w:type="paragraph" w:styleId="ListParagraph">
    <w:name w:val="List Paragraph"/>
    <w:basedOn w:val="Normal"/>
    <w:uiPriority w:val="34"/>
    <w:qFormat/>
    <w:rsid w:val="001F4C8C"/>
    <w:pPr>
      <w:ind w:left="720"/>
      <w:contextualSpacing/>
    </w:pPr>
  </w:style>
  <w:style w:type="character" w:customStyle="1" w:styleId="apple-converted-space">
    <w:name w:val="apple-converted-space"/>
    <w:basedOn w:val="DefaultParagraphFont"/>
    <w:rsid w:val="00743904"/>
  </w:style>
  <w:style w:type="character" w:styleId="Emphasis">
    <w:name w:val="Emphasis"/>
    <w:basedOn w:val="DefaultParagraphFont"/>
    <w:uiPriority w:val="20"/>
    <w:qFormat/>
    <w:rsid w:val="000B7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90140">
      <w:bodyDiv w:val="1"/>
      <w:marLeft w:val="0"/>
      <w:marRight w:val="0"/>
      <w:marTop w:val="0"/>
      <w:marBottom w:val="0"/>
      <w:divBdr>
        <w:top w:val="none" w:sz="0" w:space="0" w:color="auto"/>
        <w:left w:val="none" w:sz="0" w:space="0" w:color="auto"/>
        <w:bottom w:val="none" w:sz="0" w:space="0" w:color="auto"/>
        <w:right w:val="none" w:sz="0" w:space="0" w:color="auto"/>
      </w:divBdr>
    </w:div>
    <w:div w:id="1093937758">
      <w:bodyDiv w:val="1"/>
      <w:marLeft w:val="0"/>
      <w:marRight w:val="0"/>
      <w:marTop w:val="0"/>
      <w:marBottom w:val="0"/>
      <w:divBdr>
        <w:top w:val="none" w:sz="0" w:space="0" w:color="auto"/>
        <w:left w:val="none" w:sz="0" w:space="0" w:color="auto"/>
        <w:bottom w:val="none" w:sz="0" w:space="0" w:color="auto"/>
        <w:right w:val="none" w:sz="0" w:space="0" w:color="auto"/>
      </w:divBdr>
    </w:div>
    <w:div w:id="1367943900">
      <w:bodyDiv w:val="1"/>
      <w:marLeft w:val="0"/>
      <w:marRight w:val="0"/>
      <w:marTop w:val="0"/>
      <w:marBottom w:val="0"/>
      <w:divBdr>
        <w:top w:val="none" w:sz="0" w:space="0" w:color="auto"/>
        <w:left w:val="none" w:sz="0" w:space="0" w:color="auto"/>
        <w:bottom w:val="none" w:sz="0" w:space="0" w:color="auto"/>
        <w:right w:val="none" w:sz="0" w:space="0" w:color="auto"/>
      </w:divBdr>
    </w:div>
    <w:div w:id="1478259102">
      <w:bodyDiv w:val="1"/>
      <w:marLeft w:val="0"/>
      <w:marRight w:val="0"/>
      <w:marTop w:val="0"/>
      <w:marBottom w:val="0"/>
      <w:divBdr>
        <w:top w:val="none" w:sz="0" w:space="0" w:color="auto"/>
        <w:left w:val="none" w:sz="0" w:space="0" w:color="auto"/>
        <w:bottom w:val="none" w:sz="0" w:space="0" w:color="auto"/>
        <w:right w:val="none" w:sz="0" w:space="0" w:color="auto"/>
      </w:divBdr>
    </w:div>
    <w:div w:id="1689142757">
      <w:bodyDiv w:val="1"/>
      <w:marLeft w:val="0"/>
      <w:marRight w:val="0"/>
      <w:marTop w:val="0"/>
      <w:marBottom w:val="0"/>
      <w:divBdr>
        <w:top w:val="none" w:sz="0" w:space="0" w:color="auto"/>
        <w:left w:val="none" w:sz="0" w:space="0" w:color="auto"/>
        <w:bottom w:val="none" w:sz="0" w:space="0" w:color="auto"/>
        <w:right w:val="none" w:sz="0" w:space="0" w:color="auto"/>
      </w:divBdr>
    </w:div>
    <w:div w:id="1720936002">
      <w:bodyDiv w:val="1"/>
      <w:marLeft w:val="0"/>
      <w:marRight w:val="0"/>
      <w:marTop w:val="0"/>
      <w:marBottom w:val="0"/>
      <w:divBdr>
        <w:top w:val="none" w:sz="0" w:space="0" w:color="auto"/>
        <w:left w:val="none" w:sz="0" w:space="0" w:color="auto"/>
        <w:bottom w:val="none" w:sz="0" w:space="0" w:color="auto"/>
        <w:right w:val="none" w:sz="0" w:space="0" w:color="auto"/>
      </w:divBdr>
    </w:div>
    <w:div w:id="1879050426">
      <w:bodyDiv w:val="1"/>
      <w:marLeft w:val="0"/>
      <w:marRight w:val="0"/>
      <w:marTop w:val="0"/>
      <w:marBottom w:val="0"/>
      <w:divBdr>
        <w:top w:val="none" w:sz="0" w:space="0" w:color="auto"/>
        <w:left w:val="none" w:sz="0" w:space="0" w:color="auto"/>
        <w:bottom w:val="none" w:sz="0" w:space="0" w:color="auto"/>
        <w:right w:val="none" w:sz="0" w:space="0" w:color="auto"/>
      </w:divBdr>
    </w:div>
    <w:div w:id="1896551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0A774-4A64-428A-AEF0-85D492C6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KBRA</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Harris</dc:creator>
  <cp:lastModifiedBy>neelmunot</cp:lastModifiedBy>
  <cp:revision>6</cp:revision>
  <cp:lastPrinted>2016-02-10T19:10:00Z</cp:lastPrinted>
  <dcterms:created xsi:type="dcterms:W3CDTF">2016-02-11T00:30:00Z</dcterms:created>
  <dcterms:modified xsi:type="dcterms:W3CDTF">2016-02-11T17:32:00Z</dcterms:modified>
</cp:coreProperties>
</file>