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700" w:type="dxa"/>
        <w:tblInd w:w="-1332" w:type="dxa"/>
        <w:tblLayout w:type="fixed"/>
        <w:tblLook w:val="04A0" w:firstRow="1" w:lastRow="0" w:firstColumn="1" w:lastColumn="0" w:noHBand="0" w:noVBand="1"/>
      </w:tblPr>
      <w:tblGrid>
        <w:gridCol w:w="3005"/>
        <w:gridCol w:w="3655"/>
        <w:gridCol w:w="2340"/>
        <w:gridCol w:w="2700"/>
      </w:tblGrid>
      <w:tr w:rsidR="00E8555E" w:rsidRPr="00506377" w14:paraId="3AA29E37" w14:textId="77777777" w:rsidTr="00E8555E">
        <w:trPr>
          <w:trHeight w:val="80"/>
        </w:trPr>
        <w:tc>
          <w:tcPr>
            <w:tcW w:w="3005" w:type="dxa"/>
            <w:shd w:val="clear" w:color="auto" w:fill="365F91" w:themeFill="accent1" w:themeFillShade="BF"/>
          </w:tcPr>
          <w:p w14:paraId="2E49CA38" w14:textId="17F3B916" w:rsidR="00E8555E" w:rsidRPr="00506377" w:rsidRDefault="00E8555E" w:rsidP="0047443F">
            <w:pPr>
              <w:rPr>
                <w:b/>
                <w:color w:val="FFFFFF" w:themeColor="background1"/>
                <w:sz w:val="15"/>
                <w:szCs w:val="15"/>
              </w:rPr>
            </w:pPr>
            <w:bookmarkStart w:id="0" w:name="_GoBack"/>
            <w:bookmarkEnd w:id="0"/>
            <w:r w:rsidRPr="00506377">
              <w:rPr>
                <w:b/>
                <w:color w:val="FFFFFF" w:themeColor="background1"/>
                <w:sz w:val="15"/>
                <w:szCs w:val="15"/>
              </w:rPr>
              <w:t xml:space="preserve">Company: </w:t>
            </w:r>
            <w:r w:rsidR="00E02ABF" w:rsidRPr="00506377">
              <w:rPr>
                <w:b/>
                <w:color w:val="FFFFFF" w:themeColor="background1"/>
                <w:sz w:val="15"/>
                <w:szCs w:val="15"/>
              </w:rPr>
              <w:t xml:space="preserve"> </w:t>
            </w:r>
            <w:r w:rsidR="0047443F" w:rsidRPr="00506377">
              <w:rPr>
                <w:b/>
                <w:color w:val="FFFFFF" w:themeColor="background1"/>
                <w:sz w:val="15"/>
                <w:szCs w:val="15"/>
              </w:rPr>
              <w:t>Reynolds American Inc.</w:t>
            </w:r>
          </w:p>
        </w:tc>
        <w:tc>
          <w:tcPr>
            <w:tcW w:w="3655" w:type="dxa"/>
            <w:shd w:val="clear" w:color="auto" w:fill="365F91" w:themeFill="accent1" w:themeFillShade="BF"/>
          </w:tcPr>
          <w:p w14:paraId="5FDF97F0" w14:textId="662A491B" w:rsidR="00E8555E" w:rsidRPr="00506377" w:rsidRDefault="00E02ABF" w:rsidP="00C8063B">
            <w:pPr>
              <w:rPr>
                <w:color w:val="FFFFFF" w:themeColor="background1"/>
                <w:sz w:val="15"/>
                <w:szCs w:val="15"/>
              </w:rPr>
            </w:pPr>
            <w:r w:rsidRPr="00506377">
              <w:rPr>
                <w:color w:val="FFFFFF" w:themeColor="background1"/>
                <w:sz w:val="15"/>
                <w:szCs w:val="15"/>
              </w:rPr>
              <w:t xml:space="preserve">Ticker:  </w:t>
            </w:r>
            <w:r w:rsidR="00B919B7" w:rsidRPr="00506377">
              <w:rPr>
                <w:color w:val="FFFFFF" w:themeColor="background1"/>
                <w:sz w:val="15"/>
                <w:szCs w:val="15"/>
              </w:rPr>
              <w:t xml:space="preserve">  </w:t>
            </w:r>
            <w:r w:rsidR="00E8555E" w:rsidRPr="00506377">
              <w:rPr>
                <w:color w:val="FFFFFF" w:themeColor="background1"/>
                <w:sz w:val="15"/>
                <w:szCs w:val="15"/>
              </w:rPr>
              <w:t xml:space="preserve"> </w:t>
            </w:r>
            <w:r w:rsidR="0047443F" w:rsidRPr="00506377">
              <w:rPr>
                <w:color w:val="FFFFFF" w:themeColor="background1"/>
                <w:sz w:val="15"/>
                <w:szCs w:val="15"/>
              </w:rPr>
              <w:t>RAI</w:t>
            </w:r>
            <w:r w:rsidR="00E8555E" w:rsidRPr="00506377">
              <w:rPr>
                <w:color w:val="FFFFFF" w:themeColor="background1"/>
                <w:sz w:val="15"/>
                <w:szCs w:val="15"/>
              </w:rPr>
              <w:t xml:space="preserve">               </w:t>
            </w:r>
            <w:r w:rsidR="00B919B7" w:rsidRPr="00506377">
              <w:rPr>
                <w:color w:val="FFFFFF" w:themeColor="background1"/>
                <w:sz w:val="15"/>
                <w:szCs w:val="15"/>
              </w:rPr>
              <w:t xml:space="preserve">     </w:t>
            </w:r>
            <w:r w:rsidR="00E8555E" w:rsidRPr="00506377">
              <w:rPr>
                <w:color w:val="FFFFFF" w:themeColor="background1"/>
                <w:sz w:val="15"/>
                <w:szCs w:val="15"/>
              </w:rPr>
              <w:t>Current Price:</w:t>
            </w:r>
            <w:r w:rsidRPr="00506377">
              <w:rPr>
                <w:color w:val="FFFFFF" w:themeColor="background1"/>
                <w:sz w:val="15"/>
                <w:szCs w:val="15"/>
              </w:rPr>
              <w:t xml:space="preserve">  </w:t>
            </w:r>
            <w:r w:rsidR="0047443F" w:rsidRPr="00506377">
              <w:rPr>
                <w:color w:val="FFFFFF" w:themeColor="background1"/>
                <w:sz w:val="15"/>
                <w:szCs w:val="15"/>
              </w:rPr>
              <w:t>$</w:t>
            </w:r>
            <w:r w:rsidR="009A5D3B" w:rsidRPr="00506377">
              <w:rPr>
                <w:color w:val="FFFFFF" w:themeColor="background1"/>
                <w:sz w:val="15"/>
                <w:szCs w:val="15"/>
              </w:rPr>
              <w:t>45.91</w:t>
            </w:r>
          </w:p>
        </w:tc>
        <w:tc>
          <w:tcPr>
            <w:tcW w:w="2340" w:type="dxa"/>
            <w:shd w:val="clear" w:color="auto" w:fill="365F91" w:themeFill="accent1" w:themeFillShade="BF"/>
          </w:tcPr>
          <w:p w14:paraId="1FD4CAF9" w14:textId="2A16489A" w:rsidR="00E8555E" w:rsidRPr="00506377" w:rsidRDefault="00E02ABF" w:rsidP="00C8063B">
            <w:pPr>
              <w:rPr>
                <w:color w:val="FFFFFF" w:themeColor="background1"/>
                <w:sz w:val="15"/>
                <w:szCs w:val="15"/>
              </w:rPr>
            </w:pPr>
            <w:r w:rsidRPr="00506377">
              <w:rPr>
                <w:color w:val="FFFFFF" w:themeColor="background1"/>
                <w:sz w:val="15"/>
                <w:szCs w:val="15"/>
              </w:rPr>
              <w:t>Sector</w:t>
            </w:r>
            <w:r w:rsidR="00E8555E" w:rsidRPr="00506377">
              <w:rPr>
                <w:color w:val="FFFFFF" w:themeColor="background1"/>
                <w:sz w:val="15"/>
                <w:szCs w:val="15"/>
              </w:rPr>
              <w:t>:</w:t>
            </w:r>
            <w:r w:rsidRPr="00506377">
              <w:rPr>
                <w:color w:val="FFFFFF" w:themeColor="background1"/>
                <w:sz w:val="15"/>
                <w:szCs w:val="15"/>
              </w:rPr>
              <w:t xml:space="preserve">  </w:t>
            </w:r>
            <w:r w:rsidR="00B919B7" w:rsidRPr="00506377">
              <w:rPr>
                <w:color w:val="FFFFFF" w:themeColor="background1"/>
                <w:sz w:val="15"/>
                <w:szCs w:val="15"/>
              </w:rPr>
              <w:t>Consumer Staples</w:t>
            </w:r>
          </w:p>
        </w:tc>
        <w:tc>
          <w:tcPr>
            <w:tcW w:w="2700" w:type="dxa"/>
            <w:shd w:val="clear" w:color="auto" w:fill="365F91" w:themeFill="accent1" w:themeFillShade="BF"/>
          </w:tcPr>
          <w:p w14:paraId="417B84CE" w14:textId="45F742D0" w:rsidR="00E8555E" w:rsidRPr="00506377" w:rsidRDefault="00E8555E" w:rsidP="00C8063B">
            <w:pPr>
              <w:rPr>
                <w:color w:val="FFFFFF" w:themeColor="background1"/>
                <w:sz w:val="15"/>
                <w:szCs w:val="15"/>
              </w:rPr>
            </w:pPr>
            <w:r w:rsidRPr="00506377">
              <w:rPr>
                <w:color w:val="FFFFFF" w:themeColor="background1"/>
                <w:sz w:val="15"/>
                <w:szCs w:val="15"/>
              </w:rPr>
              <w:t xml:space="preserve">Sub Industry: </w:t>
            </w:r>
            <w:r w:rsidR="00E94EB1" w:rsidRPr="00506377">
              <w:rPr>
                <w:color w:val="FFFFFF" w:themeColor="background1"/>
                <w:sz w:val="15"/>
                <w:szCs w:val="15"/>
              </w:rPr>
              <w:t>Tobacco</w:t>
            </w:r>
          </w:p>
        </w:tc>
      </w:tr>
      <w:tr w:rsidR="006E44B8" w:rsidRPr="00506377" w14:paraId="185E94E4" w14:textId="77777777" w:rsidTr="00E8555E">
        <w:trPr>
          <w:trHeight w:val="512"/>
        </w:trPr>
        <w:tc>
          <w:tcPr>
            <w:tcW w:w="3005" w:type="dxa"/>
          </w:tcPr>
          <w:p w14:paraId="159CAB82" w14:textId="5D7809CF" w:rsidR="00E8555E" w:rsidRPr="00506377" w:rsidRDefault="00E8555E" w:rsidP="00E8555E">
            <w:pPr>
              <w:rPr>
                <w:sz w:val="15"/>
                <w:szCs w:val="15"/>
              </w:rPr>
            </w:pPr>
            <w:r w:rsidRPr="00506377">
              <w:rPr>
                <w:sz w:val="15"/>
                <w:szCs w:val="15"/>
              </w:rPr>
              <w:t>Target Price</w:t>
            </w:r>
            <w:r w:rsidR="00C8063B" w:rsidRPr="00506377">
              <w:rPr>
                <w:sz w:val="15"/>
                <w:szCs w:val="15"/>
              </w:rPr>
              <w:t>:</w:t>
            </w:r>
            <w:r w:rsidR="00E94EB1" w:rsidRPr="00506377">
              <w:rPr>
                <w:sz w:val="15"/>
                <w:szCs w:val="15"/>
              </w:rPr>
              <w:t xml:space="preserve"> $50</w:t>
            </w:r>
          </w:p>
          <w:p w14:paraId="366C508D" w14:textId="2528FE04" w:rsidR="00E8555E" w:rsidRPr="00506377" w:rsidRDefault="00C161B3" w:rsidP="00E8555E">
            <w:pPr>
              <w:rPr>
                <w:sz w:val="15"/>
                <w:szCs w:val="15"/>
              </w:rPr>
            </w:pPr>
            <w:r w:rsidRPr="00506377">
              <w:rPr>
                <w:sz w:val="15"/>
                <w:szCs w:val="15"/>
              </w:rPr>
              <w:t>Stop Loss:</w:t>
            </w:r>
            <w:r w:rsidR="00C8063B" w:rsidRPr="00506377">
              <w:rPr>
                <w:sz w:val="15"/>
                <w:szCs w:val="15"/>
              </w:rPr>
              <w:t xml:space="preserve"> </w:t>
            </w:r>
            <w:r w:rsidR="00E94EB1" w:rsidRPr="00506377">
              <w:rPr>
                <w:sz w:val="15"/>
                <w:szCs w:val="15"/>
              </w:rPr>
              <w:t>$40</w:t>
            </w:r>
          </w:p>
          <w:p w14:paraId="7E50A51D" w14:textId="3B459B17" w:rsidR="006E44B8" w:rsidRPr="00506377" w:rsidRDefault="00E8555E" w:rsidP="00E8555E">
            <w:pPr>
              <w:rPr>
                <w:sz w:val="15"/>
                <w:szCs w:val="15"/>
              </w:rPr>
            </w:pPr>
            <w:r w:rsidRPr="00506377">
              <w:rPr>
                <w:sz w:val="15"/>
                <w:szCs w:val="15"/>
              </w:rPr>
              <w:t xml:space="preserve">52 Week High/ Low: </w:t>
            </w:r>
            <w:r w:rsidR="00CA3BC5" w:rsidRPr="00506377">
              <w:rPr>
                <w:sz w:val="15"/>
                <w:szCs w:val="15"/>
              </w:rPr>
              <w:t>$</w:t>
            </w:r>
            <w:r w:rsidR="009A5D3B" w:rsidRPr="00506377">
              <w:rPr>
                <w:sz w:val="15"/>
                <w:szCs w:val="15"/>
              </w:rPr>
              <w:t>31.35-49.56</w:t>
            </w:r>
          </w:p>
        </w:tc>
        <w:tc>
          <w:tcPr>
            <w:tcW w:w="3655" w:type="dxa"/>
          </w:tcPr>
          <w:p w14:paraId="461A4200" w14:textId="6BF64F00" w:rsidR="00E8555E" w:rsidRPr="00506377" w:rsidRDefault="00E8555E" w:rsidP="00E8555E">
            <w:pPr>
              <w:rPr>
                <w:sz w:val="15"/>
                <w:szCs w:val="15"/>
              </w:rPr>
            </w:pPr>
            <w:r w:rsidRPr="00506377">
              <w:rPr>
                <w:sz w:val="15"/>
                <w:szCs w:val="15"/>
              </w:rPr>
              <w:t xml:space="preserve">TTM P/E: </w:t>
            </w:r>
            <w:r w:rsidR="00CA3BC5" w:rsidRPr="00506377">
              <w:rPr>
                <w:sz w:val="15"/>
                <w:szCs w:val="15"/>
              </w:rPr>
              <w:t>14.92</w:t>
            </w:r>
          </w:p>
          <w:p w14:paraId="7862C274" w14:textId="1F8F4128" w:rsidR="00E8555E" w:rsidRPr="00506377" w:rsidRDefault="00E8555E" w:rsidP="00E8555E">
            <w:pPr>
              <w:rPr>
                <w:sz w:val="15"/>
                <w:szCs w:val="15"/>
                <w:highlight w:val="yellow"/>
              </w:rPr>
            </w:pPr>
            <w:r w:rsidRPr="00506377">
              <w:rPr>
                <w:sz w:val="15"/>
                <w:szCs w:val="15"/>
              </w:rPr>
              <w:t>Forward P/E</w:t>
            </w:r>
            <w:r w:rsidR="005A335E" w:rsidRPr="00506377">
              <w:rPr>
                <w:sz w:val="15"/>
                <w:szCs w:val="15"/>
              </w:rPr>
              <w:t xml:space="preserve"> (2015E)</w:t>
            </w:r>
            <w:r w:rsidRPr="00506377">
              <w:rPr>
                <w:sz w:val="15"/>
                <w:szCs w:val="15"/>
              </w:rPr>
              <w:t xml:space="preserve">: </w:t>
            </w:r>
            <w:r w:rsidR="0040672B" w:rsidRPr="00506377">
              <w:rPr>
                <w:sz w:val="15"/>
                <w:szCs w:val="15"/>
              </w:rPr>
              <w:t xml:space="preserve"> 22.8</w:t>
            </w:r>
          </w:p>
          <w:p w14:paraId="5AA3FEF7" w14:textId="55C36915" w:rsidR="006E44B8" w:rsidRPr="00506377" w:rsidRDefault="005A335E" w:rsidP="005A335E">
            <w:pPr>
              <w:rPr>
                <w:sz w:val="15"/>
                <w:szCs w:val="15"/>
              </w:rPr>
            </w:pPr>
            <w:r w:rsidRPr="00506377">
              <w:rPr>
                <w:sz w:val="15"/>
                <w:szCs w:val="15"/>
              </w:rPr>
              <w:t xml:space="preserve">TTM </w:t>
            </w:r>
            <w:r w:rsidR="00E8555E" w:rsidRPr="00506377">
              <w:rPr>
                <w:sz w:val="15"/>
                <w:szCs w:val="15"/>
              </w:rPr>
              <w:t xml:space="preserve">EPS: </w:t>
            </w:r>
            <w:r w:rsidR="0040672B" w:rsidRPr="00506377">
              <w:rPr>
                <w:sz w:val="15"/>
                <w:szCs w:val="15"/>
              </w:rPr>
              <w:t>1.38</w:t>
            </w:r>
          </w:p>
        </w:tc>
        <w:tc>
          <w:tcPr>
            <w:tcW w:w="2340" w:type="dxa"/>
          </w:tcPr>
          <w:p w14:paraId="25238E11" w14:textId="2B346848" w:rsidR="00E8555E" w:rsidRPr="00506377" w:rsidRDefault="00C8063B" w:rsidP="00E8555E">
            <w:pPr>
              <w:rPr>
                <w:sz w:val="15"/>
                <w:szCs w:val="15"/>
              </w:rPr>
            </w:pPr>
            <w:r w:rsidRPr="00506377">
              <w:rPr>
                <w:sz w:val="15"/>
                <w:szCs w:val="15"/>
              </w:rPr>
              <w:t>Beta:</w:t>
            </w:r>
            <w:r w:rsidR="00E94EB1" w:rsidRPr="00506377">
              <w:rPr>
                <w:sz w:val="15"/>
                <w:szCs w:val="15"/>
              </w:rPr>
              <w:t xml:space="preserve"> 0.86</w:t>
            </w:r>
          </w:p>
          <w:p w14:paraId="61C6D51C" w14:textId="6698CDDD" w:rsidR="00A30926" w:rsidRPr="00506377" w:rsidRDefault="00E8555E" w:rsidP="00E8555E">
            <w:pPr>
              <w:rPr>
                <w:sz w:val="15"/>
                <w:szCs w:val="15"/>
              </w:rPr>
            </w:pPr>
            <w:r w:rsidRPr="00506377">
              <w:rPr>
                <w:sz w:val="15"/>
                <w:szCs w:val="15"/>
              </w:rPr>
              <w:t>Credit Rating:</w:t>
            </w:r>
            <w:r w:rsidR="00CD04C7" w:rsidRPr="00506377">
              <w:rPr>
                <w:sz w:val="15"/>
                <w:szCs w:val="15"/>
              </w:rPr>
              <w:t xml:space="preserve"> BBB- (S&amp;P)</w:t>
            </w:r>
          </w:p>
          <w:p w14:paraId="5BFE3D7B" w14:textId="7C11E239" w:rsidR="003073EA" w:rsidRPr="00506377" w:rsidRDefault="00C8063B" w:rsidP="00E8555E">
            <w:pPr>
              <w:rPr>
                <w:sz w:val="15"/>
                <w:szCs w:val="15"/>
              </w:rPr>
            </w:pPr>
            <w:r w:rsidRPr="00506377">
              <w:rPr>
                <w:sz w:val="15"/>
                <w:szCs w:val="15"/>
              </w:rPr>
              <w:t>Rating Outlook:</w:t>
            </w:r>
            <w:r w:rsidR="00932D42" w:rsidRPr="00506377">
              <w:rPr>
                <w:sz w:val="15"/>
                <w:szCs w:val="15"/>
              </w:rPr>
              <w:t xml:space="preserve"> Positive</w:t>
            </w:r>
          </w:p>
        </w:tc>
        <w:tc>
          <w:tcPr>
            <w:tcW w:w="2700" w:type="dxa"/>
          </w:tcPr>
          <w:p w14:paraId="438980BC" w14:textId="55CE2999" w:rsidR="006E44B8" w:rsidRPr="00506377" w:rsidRDefault="0013332F">
            <w:pPr>
              <w:rPr>
                <w:sz w:val="15"/>
                <w:szCs w:val="15"/>
              </w:rPr>
            </w:pPr>
            <w:r w:rsidRPr="00506377">
              <w:rPr>
                <w:sz w:val="15"/>
                <w:szCs w:val="15"/>
              </w:rPr>
              <w:t xml:space="preserve">Market Cap: </w:t>
            </w:r>
            <w:r w:rsidR="0047443F" w:rsidRPr="00506377">
              <w:rPr>
                <w:sz w:val="15"/>
                <w:szCs w:val="15"/>
              </w:rPr>
              <w:t>65.61</w:t>
            </w:r>
            <w:r w:rsidR="00B919B7" w:rsidRPr="00506377">
              <w:rPr>
                <w:sz w:val="15"/>
                <w:szCs w:val="15"/>
              </w:rPr>
              <w:t>B</w:t>
            </w:r>
          </w:p>
          <w:p w14:paraId="37B82920" w14:textId="5B89CF81" w:rsidR="00C441B3" w:rsidRPr="00506377" w:rsidRDefault="00501519">
            <w:pPr>
              <w:rPr>
                <w:sz w:val="15"/>
                <w:szCs w:val="15"/>
              </w:rPr>
            </w:pPr>
            <w:r w:rsidRPr="00506377">
              <w:rPr>
                <w:rFonts w:cs="UniversLTStd-BoldCn"/>
                <w:bCs/>
                <w:sz w:val="15"/>
                <w:szCs w:val="15"/>
              </w:rPr>
              <w:t>Avg</w:t>
            </w:r>
            <w:r w:rsidR="001E7B80" w:rsidRPr="00506377">
              <w:rPr>
                <w:rFonts w:cs="UniversLTStd-BoldCn"/>
                <w:bCs/>
                <w:sz w:val="15"/>
                <w:szCs w:val="15"/>
              </w:rPr>
              <w:t>.</w:t>
            </w:r>
            <w:r w:rsidRPr="00506377">
              <w:rPr>
                <w:rFonts w:cs="UniversLTStd-BoldCn"/>
                <w:bCs/>
                <w:sz w:val="15"/>
                <w:szCs w:val="15"/>
              </w:rPr>
              <w:t xml:space="preserve"> Vol (</w:t>
            </w:r>
            <w:r w:rsidR="001E7B80" w:rsidRPr="00506377">
              <w:rPr>
                <w:rFonts w:cs="UniversLTStd-BoldCn"/>
                <w:bCs/>
                <w:sz w:val="15"/>
                <w:szCs w:val="15"/>
              </w:rPr>
              <w:t>30 Day</w:t>
            </w:r>
            <w:r w:rsidR="00C441B3" w:rsidRPr="00506377">
              <w:rPr>
                <w:rFonts w:cs="UniversLTStd-BoldCn"/>
                <w:bCs/>
                <w:sz w:val="15"/>
                <w:szCs w:val="15"/>
              </w:rPr>
              <w:t>)</w:t>
            </w:r>
            <w:r w:rsidR="00BF2DE5" w:rsidRPr="00506377">
              <w:rPr>
                <w:rFonts w:cs="UniversLTStd-BoldCn"/>
                <w:bCs/>
                <w:sz w:val="15"/>
                <w:szCs w:val="15"/>
              </w:rPr>
              <w:t>:</w:t>
            </w:r>
            <w:r w:rsidR="00704289" w:rsidRPr="00506377">
              <w:rPr>
                <w:rFonts w:cs="UniversLTStd-BoldCn"/>
                <w:bCs/>
                <w:sz w:val="15"/>
                <w:szCs w:val="15"/>
              </w:rPr>
              <w:t xml:space="preserve">  </w:t>
            </w:r>
            <w:r w:rsidR="009A5D3B" w:rsidRPr="00506377">
              <w:rPr>
                <w:rFonts w:cs="UniversLTStd-BoldCn"/>
                <w:bCs/>
                <w:sz w:val="15"/>
                <w:szCs w:val="15"/>
              </w:rPr>
              <w:t>6.7</w:t>
            </w:r>
            <w:r w:rsidR="00B919B7" w:rsidRPr="00506377">
              <w:rPr>
                <w:rFonts w:cs="UniversLTStd-BoldCn"/>
                <w:bCs/>
                <w:sz w:val="15"/>
                <w:szCs w:val="15"/>
              </w:rPr>
              <w:t>M</w:t>
            </w:r>
          </w:p>
          <w:p w14:paraId="0D1C791A" w14:textId="53311D53" w:rsidR="00E5675C" w:rsidRPr="00506377" w:rsidRDefault="00E5675C" w:rsidP="00C8063B">
            <w:pPr>
              <w:rPr>
                <w:sz w:val="15"/>
                <w:szCs w:val="15"/>
              </w:rPr>
            </w:pPr>
            <w:r w:rsidRPr="00506377">
              <w:rPr>
                <w:sz w:val="15"/>
                <w:szCs w:val="15"/>
              </w:rPr>
              <w:t xml:space="preserve">Dividend Yield: </w:t>
            </w:r>
            <w:r w:rsidR="0047443F" w:rsidRPr="00506377">
              <w:rPr>
                <w:sz w:val="15"/>
                <w:szCs w:val="15"/>
              </w:rPr>
              <w:t>3.12</w:t>
            </w:r>
            <w:r w:rsidR="00B919B7" w:rsidRPr="00506377">
              <w:rPr>
                <w:sz w:val="15"/>
                <w:szCs w:val="15"/>
              </w:rPr>
              <w:t>%</w:t>
            </w:r>
          </w:p>
        </w:tc>
      </w:tr>
    </w:tbl>
    <w:p w14:paraId="4F402887" w14:textId="77777777" w:rsidR="00443ED9" w:rsidRPr="00506377" w:rsidRDefault="00443ED9" w:rsidP="005E114B">
      <w:pPr>
        <w:rPr>
          <w:sz w:val="15"/>
          <w:szCs w:val="15"/>
        </w:rPr>
      </w:pPr>
    </w:p>
    <w:tbl>
      <w:tblPr>
        <w:tblStyle w:val="TableGrid"/>
        <w:tblW w:w="11700" w:type="dxa"/>
        <w:tblInd w:w="-1332" w:type="dxa"/>
        <w:tblLook w:val="04A0" w:firstRow="1" w:lastRow="0" w:firstColumn="1" w:lastColumn="0" w:noHBand="0" w:noVBand="1"/>
      </w:tblPr>
      <w:tblGrid>
        <w:gridCol w:w="11700"/>
      </w:tblGrid>
      <w:tr w:rsidR="00DB5A10" w:rsidRPr="00506377" w14:paraId="311194DC" w14:textId="77777777" w:rsidTr="00DB5A10">
        <w:trPr>
          <w:trHeight w:val="197"/>
        </w:trPr>
        <w:tc>
          <w:tcPr>
            <w:tcW w:w="11700" w:type="dxa"/>
            <w:shd w:val="clear" w:color="auto" w:fill="365F91" w:themeFill="accent1" w:themeFillShade="BF"/>
          </w:tcPr>
          <w:p w14:paraId="14342F91" w14:textId="5A8BBA7A" w:rsidR="00DB5A10" w:rsidRPr="00506377" w:rsidRDefault="00DB5A10" w:rsidP="00DB5A10">
            <w:pPr>
              <w:tabs>
                <w:tab w:val="left" w:pos="3690"/>
              </w:tabs>
              <w:jc w:val="both"/>
              <w:rPr>
                <w:color w:val="FFFFFF" w:themeColor="background1"/>
                <w:sz w:val="15"/>
                <w:szCs w:val="15"/>
              </w:rPr>
            </w:pPr>
            <w:r w:rsidRPr="00506377">
              <w:rPr>
                <w:b/>
                <w:color w:val="FFFFFF" w:themeColor="background1"/>
                <w:sz w:val="15"/>
                <w:szCs w:val="15"/>
              </w:rPr>
              <w:t xml:space="preserve">Company Background:  </w:t>
            </w:r>
            <w:r w:rsidRPr="00506377">
              <w:rPr>
                <w:b/>
                <w:color w:val="FFFFFF" w:themeColor="background1"/>
                <w:sz w:val="15"/>
                <w:szCs w:val="15"/>
              </w:rPr>
              <w:tab/>
            </w:r>
          </w:p>
        </w:tc>
      </w:tr>
      <w:tr w:rsidR="00DB5A10" w:rsidRPr="00506377" w14:paraId="325C88BE" w14:textId="77777777" w:rsidTr="00DB5A10">
        <w:tc>
          <w:tcPr>
            <w:tcW w:w="11700" w:type="dxa"/>
          </w:tcPr>
          <w:p w14:paraId="0A8884D5" w14:textId="23E06B35" w:rsidR="00C8063B" w:rsidRPr="00506377" w:rsidRDefault="00011F0B" w:rsidP="00314C3C">
            <w:pPr>
              <w:widowControl w:val="0"/>
              <w:autoSpaceDE w:val="0"/>
              <w:autoSpaceDN w:val="0"/>
              <w:adjustRightInd w:val="0"/>
              <w:rPr>
                <w:rFonts w:ascii="Helvetica" w:hAnsi="Helvetica" w:cs="Helvetica"/>
                <w:color w:val="1C1C1C"/>
                <w:sz w:val="15"/>
                <w:szCs w:val="15"/>
              </w:rPr>
            </w:pPr>
            <w:r w:rsidRPr="00506377">
              <w:rPr>
                <w:rFonts w:ascii="Univers" w:hAnsi="Univers" w:cs="Times New Roman"/>
                <w:sz w:val="15"/>
                <w:szCs w:val="15"/>
              </w:rPr>
              <w:t>Reynolds American, Inc. (</w:t>
            </w:r>
            <w:hyperlink r:id="rId7" w:history="1">
              <w:r w:rsidRPr="00506377">
                <w:rPr>
                  <w:rFonts w:ascii="Univers" w:hAnsi="Univers" w:cs="Times New Roman"/>
                  <w:sz w:val="15"/>
                  <w:szCs w:val="15"/>
                </w:rPr>
                <w:t>NYSE</w:t>
              </w:r>
            </w:hyperlink>
            <w:r w:rsidRPr="00506377">
              <w:rPr>
                <w:rFonts w:ascii="Univers" w:hAnsi="Univers" w:cs="Times New Roman"/>
                <w:sz w:val="15"/>
                <w:szCs w:val="15"/>
              </w:rPr>
              <w:t xml:space="preserve">: RAI) is an American tobacco company and is the second-largest tobacco company in the </w:t>
            </w:r>
            <w:r w:rsidR="00314C3C" w:rsidRPr="00506377">
              <w:rPr>
                <w:rFonts w:ascii="Univers" w:hAnsi="Univers" w:cs="Times New Roman"/>
                <w:sz w:val="15"/>
                <w:szCs w:val="15"/>
              </w:rPr>
              <w:t xml:space="preserve">US. </w:t>
            </w:r>
            <w:r w:rsidRPr="00506377">
              <w:rPr>
                <w:rFonts w:ascii="Univers" w:hAnsi="Univers" w:cs="Times New Roman"/>
                <w:sz w:val="15"/>
                <w:szCs w:val="15"/>
              </w:rPr>
              <w:t xml:space="preserve">Its holdings include R. J. Reynolds Tobacco Company, American Snuff Company (formerly </w:t>
            </w:r>
            <w:proofErr w:type="spellStart"/>
            <w:r w:rsidRPr="00506377">
              <w:rPr>
                <w:rFonts w:ascii="Univers" w:hAnsi="Univers" w:cs="Times New Roman"/>
                <w:sz w:val="15"/>
                <w:szCs w:val="15"/>
              </w:rPr>
              <w:t>Conwood</w:t>
            </w:r>
            <w:proofErr w:type="spellEnd"/>
            <w:r w:rsidRPr="00506377">
              <w:rPr>
                <w:rFonts w:ascii="Univers" w:hAnsi="Univers" w:cs="Times New Roman"/>
                <w:sz w:val="15"/>
                <w:szCs w:val="15"/>
              </w:rPr>
              <w:t xml:space="preserve"> Company), Santa Fe Natural Tobacco Company and </w:t>
            </w:r>
            <w:proofErr w:type="spellStart"/>
            <w:r w:rsidRPr="00506377">
              <w:rPr>
                <w:rFonts w:ascii="Univers" w:hAnsi="Univers" w:cs="Times New Roman"/>
                <w:sz w:val="15"/>
                <w:szCs w:val="15"/>
              </w:rPr>
              <w:t>Niconovum</w:t>
            </w:r>
            <w:proofErr w:type="spellEnd"/>
            <w:r w:rsidRPr="00506377">
              <w:rPr>
                <w:rFonts w:ascii="Univers" w:hAnsi="Univers" w:cs="Times New Roman"/>
                <w:sz w:val="15"/>
                <w:szCs w:val="15"/>
              </w:rPr>
              <w:t xml:space="preserve"> AB.</w:t>
            </w:r>
            <w:r w:rsidR="00314C3C" w:rsidRPr="00506377">
              <w:rPr>
                <w:rFonts w:ascii="Univers" w:hAnsi="Univers" w:cs="Times New Roman"/>
                <w:sz w:val="15"/>
                <w:szCs w:val="15"/>
              </w:rPr>
              <w:t xml:space="preserve"> </w:t>
            </w:r>
            <w:r w:rsidRPr="00506377">
              <w:rPr>
                <w:rFonts w:ascii="Univers" w:hAnsi="Univers" w:cs="Times New Roman"/>
                <w:sz w:val="15"/>
                <w:szCs w:val="15"/>
              </w:rPr>
              <w:t>Reynolds American's subsidiaries manufacture and market a variety of tobacco products, including cigarettes (Newport, Camel, Pall Mall, Kent, Doral, Misty, Capri and Natural American Spirit brands) and moist snuff (Grizzly and Kodiak brands).</w:t>
            </w:r>
            <w:r w:rsidR="00314C3C" w:rsidRPr="00506377">
              <w:rPr>
                <w:rFonts w:ascii="Univers" w:hAnsi="Univers" w:cs="Times New Roman"/>
                <w:sz w:val="15"/>
                <w:szCs w:val="15"/>
              </w:rPr>
              <w:t xml:space="preserve"> </w:t>
            </w:r>
            <w:r w:rsidRPr="00506377">
              <w:rPr>
                <w:rFonts w:ascii="Univers" w:hAnsi="Univers" w:cs="Times New Roman"/>
                <w:sz w:val="15"/>
                <w:szCs w:val="15"/>
              </w:rPr>
              <w:t>In 2010, Reynolds American's operating companies sold about 28% of all cigarettes sold in the U.S.</w:t>
            </w:r>
            <w:r w:rsidR="00314C3C" w:rsidRPr="00506377">
              <w:rPr>
                <w:rFonts w:ascii="Univers" w:hAnsi="Univers" w:cs="Times New Roman"/>
                <w:sz w:val="15"/>
                <w:szCs w:val="15"/>
              </w:rPr>
              <w:t xml:space="preserve"> </w:t>
            </w:r>
            <w:r w:rsidRPr="00506377">
              <w:rPr>
                <w:rFonts w:ascii="Univers" w:hAnsi="Univers" w:cs="Times New Roman"/>
                <w:sz w:val="15"/>
                <w:szCs w:val="15"/>
              </w:rPr>
              <w:t>In July 2014, Reynolds American announced the purchase of Lorillard Tobacco Company in a deal valued at $27 billion.</w:t>
            </w:r>
          </w:p>
        </w:tc>
      </w:tr>
      <w:tr w:rsidR="00274740" w:rsidRPr="00506377" w14:paraId="4EB61633" w14:textId="77777777" w:rsidTr="00274740">
        <w:tc>
          <w:tcPr>
            <w:tcW w:w="11700" w:type="dxa"/>
            <w:shd w:val="clear" w:color="auto" w:fill="365F91" w:themeFill="accent1" w:themeFillShade="BF"/>
          </w:tcPr>
          <w:p w14:paraId="38206B03" w14:textId="7B341966" w:rsidR="00274740" w:rsidRPr="00506377" w:rsidRDefault="00274740" w:rsidP="00BB61F8">
            <w:pPr>
              <w:tabs>
                <w:tab w:val="left" w:pos="3225"/>
              </w:tabs>
              <w:rPr>
                <w:b/>
                <w:color w:val="FFFFFF" w:themeColor="background1"/>
                <w:sz w:val="15"/>
                <w:szCs w:val="15"/>
              </w:rPr>
            </w:pPr>
            <w:r w:rsidRPr="00506377">
              <w:rPr>
                <w:b/>
                <w:color w:val="FFFFFF" w:themeColor="background1"/>
                <w:sz w:val="15"/>
                <w:szCs w:val="15"/>
              </w:rPr>
              <w:t xml:space="preserve">Industry </w:t>
            </w:r>
            <w:r w:rsidR="00BB3908" w:rsidRPr="00506377">
              <w:rPr>
                <w:b/>
                <w:color w:val="FFFFFF" w:themeColor="background1"/>
                <w:sz w:val="15"/>
                <w:szCs w:val="15"/>
              </w:rPr>
              <w:t>Outlook:</w:t>
            </w:r>
            <w:r w:rsidRPr="00506377">
              <w:rPr>
                <w:b/>
                <w:color w:val="FFFFFF" w:themeColor="background1"/>
                <w:sz w:val="15"/>
                <w:szCs w:val="15"/>
              </w:rPr>
              <w:t xml:space="preserve"> </w:t>
            </w:r>
          </w:p>
        </w:tc>
      </w:tr>
      <w:tr w:rsidR="00274740" w:rsidRPr="00506377" w14:paraId="52C52C72" w14:textId="77777777" w:rsidTr="00DB5A10">
        <w:tc>
          <w:tcPr>
            <w:tcW w:w="11700" w:type="dxa"/>
          </w:tcPr>
          <w:p w14:paraId="2219CC73" w14:textId="0BAD1702" w:rsidR="00C8063B" w:rsidRPr="00506377" w:rsidRDefault="00D50900" w:rsidP="00C8063B">
            <w:pPr>
              <w:rPr>
                <w:rFonts w:ascii="Univers" w:hAnsi="Univers" w:cs="Times New Roman" w:hint="eastAsia"/>
                <w:sz w:val="15"/>
                <w:szCs w:val="15"/>
              </w:rPr>
            </w:pPr>
            <w:r w:rsidRPr="00506377">
              <w:rPr>
                <w:rFonts w:ascii="Univers" w:hAnsi="Univers" w:cs="Times New Roman"/>
                <w:sz w:val="15"/>
                <w:szCs w:val="15"/>
              </w:rPr>
              <w:t xml:space="preserve">The fundamental outlook of S&amp;P </w:t>
            </w:r>
            <w:proofErr w:type="spellStart"/>
            <w:r w:rsidRPr="00506377">
              <w:rPr>
                <w:rFonts w:ascii="Univers" w:hAnsi="Univers" w:cs="Times New Roman"/>
                <w:sz w:val="15"/>
                <w:szCs w:val="15"/>
              </w:rPr>
              <w:t>NetAdvantage</w:t>
            </w:r>
            <w:proofErr w:type="spellEnd"/>
            <w:r w:rsidRPr="00506377">
              <w:rPr>
                <w:rFonts w:ascii="Univers" w:hAnsi="Univers" w:cs="Times New Roman"/>
                <w:sz w:val="15"/>
                <w:szCs w:val="15"/>
              </w:rPr>
              <w:t xml:space="preserve"> for the tobacco sub-industry for the next 12 months is positive, reflecting by the favorable pricing trends, healthy free cash flow growth and a relatively benign litigation environment. </w:t>
            </w:r>
            <w:r w:rsidR="000A403D" w:rsidRPr="00506377">
              <w:rPr>
                <w:rFonts w:ascii="Univers" w:hAnsi="Univers" w:cs="Times New Roman"/>
                <w:sz w:val="15"/>
                <w:szCs w:val="15"/>
              </w:rPr>
              <w:t xml:space="preserve">Year to date through August 21st, the S&amp;P Tobacco Index increased 7.4%, versus </w:t>
            </w:r>
            <w:proofErr w:type="gramStart"/>
            <w:r w:rsidR="000A403D" w:rsidRPr="00506377">
              <w:rPr>
                <w:rFonts w:ascii="Univers" w:hAnsi="Univers" w:cs="Times New Roman"/>
                <w:sz w:val="15"/>
                <w:szCs w:val="15"/>
              </w:rPr>
              <w:t>an</w:t>
            </w:r>
            <w:proofErr w:type="gramEnd"/>
            <w:r w:rsidR="000A403D" w:rsidRPr="00506377">
              <w:rPr>
                <w:rFonts w:ascii="Univers" w:hAnsi="Univers" w:cs="Times New Roman"/>
                <w:sz w:val="15"/>
                <w:szCs w:val="15"/>
              </w:rPr>
              <w:t xml:space="preserve"> 4.0% decline for the S&amp;P 1500 Index. In 2014, the Tobacco Index rose 8.5%, compared to the S&amp;P 1500's 10.9% gain. </w:t>
            </w:r>
          </w:p>
        </w:tc>
      </w:tr>
      <w:tr w:rsidR="00DB5A10" w:rsidRPr="00506377" w14:paraId="6A32B295" w14:textId="77777777" w:rsidTr="00DB5A10">
        <w:tc>
          <w:tcPr>
            <w:tcW w:w="11700" w:type="dxa"/>
            <w:shd w:val="clear" w:color="auto" w:fill="365F91" w:themeFill="accent1" w:themeFillShade="BF"/>
          </w:tcPr>
          <w:p w14:paraId="22F69EB1" w14:textId="5B91B2A3" w:rsidR="00DB5A10" w:rsidRPr="00506377" w:rsidRDefault="00DB5A10" w:rsidP="00DB5A10">
            <w:pPr>
              <w:tabs>
                <w:tab w:val="left" w:pos="3225"/>
              </w:tabs>
              <w:rPr>
                <w:b/>
                <w:color w:val="FFFFFF" w:themeColor="background1"/>
                <w:sz w:val="15"/>
                <w:szCs w:val="15"/>
              </w:rPr>
            </w:pPr>
            <w:r w:rsidRPr="00506377">
              <w:rPr>
                <w:b/>
                <w:color w:val="FFFFFF" w:themeColor="background1"/>
                <w:sz w:val="15"/>
                <w:szCs w:val="15"/>
              </w:rPr>
              <w:t>Investment Thesis:</w:t>
            </w:r>
            <w:r w:rsidRPr="00506377">
              <w:rPr>
                <w:b/>
                <w:color w:val="FFFFFF" w:themeColor="background1"/>
                <w:sz w:val="15"/>
                <w:szCs w:val="15"/>
              </w:rPr>
              <w:tab/>
            </w:r>
          </w:p>
        </w:tc>
      </w:tr>
      <w:tr w:rsidR="00DB5A10" w:rsidRPr="00506377" w14:paraId="4F0CBDAD" w14:textId="77777777" w:rsidTr="00425273">
        <w:trPr>
          <w:trHeight w:val="2420"/>
        </w:trPr>
        <w:tc>
          <w:tcPr>
            <w:tcW w:w="11700" w:type="dxa"/>
          </w:tcPr>
          <w:p w14:paraId="315E9012" w14:textId="44C5BEE5" w:rsidR="002643CF" w:rsidRPr="00506377" w:rsidRDefault="002643CF" w:rsidP="00011F0B">
            <w:pPr>
              <w:pStyle w:val="NormalWeb"/>
              <w:numPr>
                <w:ilvl w:val="0"/>
                <w:numId w:val="5"/>
              </w:numPr>
              <w:rPr>
                <w:sz w:val="15"/>
                <w:szCs w:val="15"/>
              </w:rPr>
            </w:pPr>
            <w:r w:rsidRPr="00506377">
              <w:rPr>
                <w:rFonts w:ascii="Univers" w:hAnsi="Univers"/>
                <w:sz w:val="15"/>
                <w:szCs w:val="15"/>
              </w:rPr>
              <w:t>The company raised its earnings outlook for the year, reflecting strong sales from the recently acquired Newport brand and an uptick in preference for menthol cigarettes.</w:t>
            </w:r>
          </w:p>
          <w:p w14:paraId="6B5B4C77" w14:textId="36831EAF" w:rsidR="0040672B" w:rsidRPr="00506377" w:rsidRDefault="002643CF" w:rsidP="00B709C8">
            <w:pPr>
              <w:pStyle w:val="NormalWeb"/>
              <w:numPr>
                <w:ilvl w:val="0"/>
                <w:numId w:val="5"/>
              </w:numPr>
              <w:rPr>
                <w:sz w:val="15"/>
                <w:szCs w:val="15"/>
              </w:rPr>
            </w:pPr>
            <w:r w:rsidRPr="00506377">
              <w:rPr>
                <w:rFonts w:ascii="Univers" w:hAnsi="Univers"/>
                <w:sz w:val="15"/>
                <w:szCs w:val="15"/>
              </w:rPr>
              <w:t>Revenue is expected to rise 25% in 2015, reflecting net benefits from the acquisition of Lorillard in June 2015</w:t>
            </w:r>
            <w:r w:rsidR="00B709C8" w:rsidRPr="00506377">
              <w:rPr>
                <w:rFonts w:ascii="Univers" w:hAnsi="Univers"/>
                <w:sz w:val="15"/>
                <w:szCs w:val="15"/>
              </w:rPr>
              <w:t xml:space="preserve">. </w:t>
            </w:r>
            <w:r w:rsidR="0040672B" w:rsidRPr="00506377">
              <w:rPr>
                <w:rFonts w:ascii="Univers" w:hAnsi="Univers"/>
                <w:sz w:val="15"/>
                <w:szCs w:val="15"/>
              </w:rPr>
              <w:t xml:space="preserve">Operating (EBITDA) margins will likely widen in 2015 to about 44%, up from 38% in 2014, on an improved product mix following the completion of the acquisition of Lorillard. </w:t>
            </w:r>
          </w:p>
          <w:p w14:paraId="66C18945" w14:textId="77777777" w:rsidR="002643CF" w:rsidRPr="00506377" w:rsidRDefault="0040672B" w:rsidP="002643CF">
            <w:pPr>
              <w:pStyle w:val="NormalWeb"/>
              <w:numPr>
                <w:ilvl w:val="0"/>
                <w:numId w:val="5"/>
              </w:numPr>
              <w:rPr>
                <w:sz w:val="15"/>
                <w:szCs w:val="15"/>
              </w:rPr>
            </w:pPr>
            <w:r w:rsidRPr="00506377">
              <w:rPr>
                <w:rFonts w:ascii="Univers" w:hAnsi="Univers"/>
                <w:sz w:val="15"/>
                <w:szCs w:val="15"/>
              </w:rPr>
              <w:t>EPS is estimated of $2.00 in 2015, up 17% from operating EPS o</w:t>
            </w:r>
            <w:r w:rsidR="002643CF" w:rsidRPr="00506377">
              <w:rPr>
                <w:rFonts w:ascii="Univers" w:hAnsi="Univers"/>
                <w:sz w:val="15"/>
                <w:szCs w:val="15"/>
              </w:rPr>
              <w:t>f $1.71 in 2014, excluding one-</w:t>
            </w:r>
            <w:r w:rsidRPr="00506377">
              <w:rPr>
                <w:rFonts w:ascii="Univers" w:hAnsi="Univers"/>
                <w:sz w:val="15"/>
                <w:szCs w:val="15"/>
              </w:rPr>
              <w:t>time items.</w:t>
            </w:r>
          </w:p>
          <w:p w14:paraId="0C21A5AE" w14:textId="77777777" w:rsidR="002643CF" w:rsidRPr="00506377" w:rsidRDefault="002643CF" w:rsidP="002643CF">
            <w:pPr>
              <w:pStyle w:val="NormalWeb"/>
              <w:numPr>
                <w:ilvl w:val="0"/>
                <w:numId w:val="5"/>
              </w:numPr>
              <w:rPr>
                <w:sz w:val="15"/>
                <w:szCs w:val="15"/>
              </w:rPr>
            </w:pPr>
            <w:r w:rsidRPr="00506377">
              <w:rPr>
                <w:rFonts w:ascii="Univers" w:hAnsi="Univers"/>
                <w:sz w:val="15"/>
                <w:szCs w:val="15"/>
              </w:rPr>
              <w:t>Japan Tobacco has agreed to purchase the rights to one of Reynolds' cigarette brands. RAI is selling the international rights to its Natural American Spirit name and associated trademarks to Japan Tobacco Group for $5 billion in cash. The deal, which does not include the rights to the U.S. market, allows Reynolds to retain its share of domestic revenue. The funds received from the transaction will probably go toward paying off debt and/or buying back stock.</w:t>
            </w:r>
          </w:p>
          <w:p w14:paraId="28094054" w14:textId="77777777" w:rsidR="002643CF" w:rsidRPr="00506377" w:rsidRDefault="002643CF" w:rsidP="00B709C8">
            <w:pPr>
              <w:pStyle w:val="NormalWeb"/>
              <w:numPr>
                <w:ilvl w:val="0"/>
                <w:numId w:val="5"/>
              </w:numPr>
              <w:rPr>
                <w:sz w:val="15"/>
                <w:szCs w:val="15"/>
              </w:rPr>
            </w:pPr>
            <w:r w:rsidRPr="00506377">
              <w:rPr>
                <w:rFonts w:ascii="Univers" w:hAnsi="Univers"/>
                <w:sz w:val="15"/>
                <w:szCs w:val="15"/>
              </w:rPr>
              <w:t>A federal assessment that forced cigarette manufacturers to make annual payments of approximately $1 billion to f</w:t>
            </w:r>
            <w:r w:rsidR="00B709C8" w:rsidRPr="00506377">
              <w:rPr>
                <w:rFonts w:ascii="Univers" w:hAnsi="Univers"/>
                <w:sz w:val="15"/>
                <w:szCs w:val="15"/>
              </w:rPr>
              <w:t>armers has ended. Altria, Reynolds American, and Lorillard mostly paid the payments</w:t>
            </w:r>
            <w:r w:rsidRPr="00506377">
              <w:rPr>
                <w:rFonts w:ascii="Univers" w:hAnsi="Univers"/>
                <w:sz w:val="15"/>
                <w:szCs w:val="15"/>
              </w:rPr>
              <w:t xml:space="preserve">. </w:t>
            </w:r>
            <w:r w:rsidR="00B709C8" w:rsidRPr="00506377">
              <w:rPr>
                <w:rFonts w:ascii="Univers" w:hAnsi="Univers"/>
                <w:sz w:val="15"/>
                <w:szCs w:val="15"/>
              </w:rPr>
              <w:t>T</w:t>
            </w:r>
            <w:r w:rsidR="00B709C8" w:rsidRPr="00506377">
              <w:rPr>
                <w:rFonts w:ascii="Univers" w:hAnsi="Univers" w:hint="eastAsia"/>
                <w:sz w:val="15"/>
                <w:szCs w:val="15"/>
              </w:rPr>
              <w:t>h</w:t>
            </w:r>
            <w:r w:rsidR="00B709C8" w:rsidRPr="00506377">
              <w:rPr>
                <w:rFonts w:ascii="Univers" w:hAnsi="Univers"/>
                <w:sz w:val="15"/>
                <w:szCs w:val="15"/>
              </w:rPr>
              <w:t xml:space="preserve">e </w:t>
            </w:r>
            <w:r w:rsidRPr="00506377">
              <w:rPr>
                <w:rFonts w:ascii="Univers" w:hAnsi="Univers"/>
                <w:sz w:val="15"/>
                <w:szCs w:val="15"/>
              </w:rPr>
              <w:t xml:space="preserve">expiration of the </w:t>
            </w:r>
            <w:r w:rsidR="00B709C8" w:rsidRPr="00506377">
              <w:rPr>
                <w:rFonts w:ascii="Univers" w:hAnsi="Univers"/>
                <w:sz w:val="15"/>
                <w:szCs w:val="15"/>
              </w:rPr>
              <w:t xml:space="preserve">payment </w:t>
            </w:r>
            <w:r w:rsidRPr="00506377">
              <w:rPr>
                <w:rFonts w:ascii="Univers" w:hAnsi="Univers"/>
                <w:sz w:val="15"/>
                <w:szCs w:val="15"/>
              </w:rPr>
              <w:t xml:space="preserve">will </w:t>
            </w:r>
            <w:r w:rsidR="00B709C8" w:rsidRPr="00506377">
              <w:rPr>
                <w:rFonts w:ascii="Univers" w:hAnsi="Univers"/>
                <w:sz w:val="15"/>
                <w:szCs w:val="15"/>
              </w:rPr>
              <w:t xml:space="preserve">estimate to </w:t>
            </w:r>
            <w:r w:rsidRPr="00506377">
              <w:rPr>
                <w:rFonts w:ascii="Univers" w:hAnsi="Univers"/>
                <w:sz w:val="15"/>
                <w:szCs w:val="15"/>
              </w:rPr>
              <w:t>provide a 10% boost to Reynolds' 2016 earnings.</w:t>
            </w:r>
          </w:p>
          <w:p w14:paraId="35F9E681" w14:textId="253D5C08" w:rsidR="00B709C8" w:rsidRPr="00506377" w:rsidRDefault="00B709C8" w:rsidP="00B709C8">
            <w:pPr>
              <w:pStyle w:val="NormalWeb"/>
              <w:numPr>
                <w:ilvl w:val="0"/>
                <w:numId w:val="5"/>
              </w:numPr>
              <w:rPr>
                <w:sz w:val="15"/>
                <w:szCs w:val="15"/>
              </w:rPr>
            </w:pPr>
            <w:r w:rsidRPr="00506377">
              <w:rPr>
                <w:rFonts w:ascii="Univers" w:hAnsi="Univers"/>
                <w:sz w:val="15"/>
                <w:szCs w:val="15"/>
              </w:rPr>
              <w:t>Higher disposable incomes due to lower gas prices and e-cigarette customers that have moved back to combustibles will at least benefit the traditional cigarettes industry in the short term.</w:t>
            </w:r>
          </w:p>
        </w:tc>
      </w:tr>
      <w:tr w:rsidR="00DB5A10" w:rsidRPr="00506377" w14:paraId="3604FAC8" w14:textId="77777777" w:rsidTr="00DB5A10">
        <w:tc>
          <w:tcPr>
            <w:tcW w:w="11700" w:type="dxa"/>
            <w:shd w:val="clear" w:color="auto" w:fill="365F91" w:themeFill="accent1" w:themeFillShade="BF"/>
          </w:tcPr>
          <w:p w14:paraId="36D57562" w14:textId="69893D12" w:rsidR="00DB5A10" w:rsidRPr="00506377" w:rsidRDefault="00DB5A10" w:rsidP="00DB5A10">
            <w:pPr>
              <w:tabs>
                <w:tab w:val="left" w:pos="2235"/>
              </w:tabs>
              <w:rPr>
                <w:sz w:val="15"/>
                <w:szCs w:val="15"/>
              </w:rPr>
            </w:pPr>
            <w:r w:rsidRPr="00506377">
              <w:rPr>
                <w:b/>
                <w:color w:val="FFFFFF" w:themeColor="background1"/>
                <w:sz w:val="15"/>
                <w:szCs w:val="15"/>
              </w:rPr>
              <w:t>Investment Risks:</w:t>
            </w:r>
            <w:r w:rsidRPr="00506377">
              <w:rPr>
                <w:b/>
                <w:color w:val="FFFFFF" w:themeColor="background1"/>
                <w:sz w:val="15"/>
                <w:szCs w:val="15"/>
              </w:rPr>
              <w:tab/>
            </w:r>
          </w:p>
        </w:tc>
      </w:tr>
      <w:tr w:rsidR="00DB5A10" w:rsidRPr="00506377" w14:paraId="7051B972" w14:textId="77777777" w:rsidTr="00DB5A10">
        <w:tc>
          <w:tcPr>
            <w:tcW w:w="11700" w:type="dxa"/>
          </w:tcPr>
          <w:p w14:paraId="2E31BA04" w14:textId="3AFE31E8" w:rsidR="00DB5A10" w:rsidRPr="00506377" w:rsidRDefault="00011F0B" w:rsidP="00D50900">
            <w:pPr>
              <w:pStyle w:val="ListParagraph"/>
              <w:numPr>
                <w:ilvl w:val="0"/>
                <w:numId w:val="13"/>
              </w:numPr>
              <w:rPr>
                <w:rFonts w:ascii="Univers" w:hAnsi="Univers" w:cs="Times New Roman" w:hint="eastAsia"/>
                <w:sz w:val="15"/>
                <w:szCs w:val="15"/>
              </w:rPr>
            </w:pPr>
            <w:r w:rsidRPr="00506377">
              <w:rPr>
                <w:rFonts w:ascii="Univers" w:hAnsi="Univers" w:cs="Times New Roman"/>
                <w:sz w:val="15"/>
                <w:szCs w:val="15"/>
              </w:rPr>
              <w:t>Increasing regulation and taxation could have an adverse effect on the results of operations, cash flows and financial position</w:t>
            </w:r>
          </w:p>
          <w:p w14:paraId="78159DC0" w14:textId="692A439E" w:rsidR="00C8063B" w:rsidRPr="00506377" w:rsidRDefault="00011F0B" w:rsidP="00C8063B">
            <w:pPr>
              <w:pStyle w:val="ListParagraph"/>
              <w:numPr>
                <w:ilvl w:val="0"/>
                <w:numId w:val="12"/>
              </w:numPr>
              <w:rPr>
                <w:rFonts w:ascii="Univers" w:hAnsi="Univers" w:cs="Times New Roman" w:hint="eastAsia"/>
                <w:sz w:val="15"/>
                <w:szCs w:val="15"/>
              </w:rPr>
            </w:pPr>
            <w:r w:rsidRPr="00506377">
              <w:rPr>
                <w:rFonts w:ascii="Univers" w:hAnsi="Univers" w:cs="Times New Roman"/>
                <w:sz w:val="15"/>
                <w:szCs w:val="15"/>
              </w:rPr>
              <w:t>RAI’s operating subsidiaries are subject to significant limitations on advertising and marketing of tobacco products, which could harm the value of their existing brands and their ability to launch new brands</w:t>
            </w:r>
          </w:p>
        </w:tc>
      </w:tr>
      <w:tr w:rsidR="00DB5A10" w:rsidRPr="00506377" w14:paraId="76F577E7" w14:textId="77777777" w:rsidTr="00DB5A10">
        <w:tc>
          <w:tcPr>
            <w:tcW w:w="11700" w:type="dxa"/>
            <w:shd w:val="clear" w:color="auto" w:fill="365F91" w:themeFill="accent1" w:themeFillShade="BF"/>
          </w:tcPr>
          <w:p w14:paraId="0A443D6F" w14:textId="08288C8A" w:rsidR="00DB5A10" w:rsidRPr="00506377" w:rsidRDefault="00DB5A10" w:rsidP="00640425">
            <w:pPr>
              <w:ind w:left="72"/>
              <w:jc w:val="both"/>
              <w:rPr>
                <w:color w:val="FFFFFF" w:themeColor="background1"/>
                <w:sz w:val="15"/>
                <w:szCs w:val="15"/>
              </w:rPr>
            </w:pPr>
            <w:r w:rsidRPr="00506377">
              <w:rPr>
                <w:b/>
                <w:color w:val="FFFFFF" w:themeColor="background1"/>
                <w:sz w:val="15"/>
                <w:szCs w:val="15"/>
              </w:rPr>
              <w:t xml:space="preserve">3-5 </w:t>
            </w:r>
            <w:r w:rsidR="00640425" w:rsidRPr="00506377">
              <w:rPr>
                <w:b/>
                <w:color w:val="FFFFFF" w:themeColor="background1"/>
                <w:sz w:val="15"/>
                <w:szCs w:val="15"/>
              </w:rPr>
              <w:t>Takeaways From Last Quarter’s Investor Call Transcripts</w:t>
            </w:r>
            <w:r w:rsidRPr="00506377">
              <w:rPr>
                <w:b/>
                <w:color w:val="FFFFFF" w:themeColor="background1"/>
                <w:sz w:val="15"/>
                <w:szCs w:val="15"/>
              </w:rPr>
              <w:t xml:space="preserve">: </w:t>
            </w:r>
          </w:p>
        </w:tc>
      </w:tr>
      <w:tr w:rsidR="00DB5A10" w:rsidRPr="00506377" w14:paraId="75D76709" w14:textId="77777777" w:rsidTr="00DB5A10">
        <w:trPr>
          <w:trHeight w:val="70"/>
        </w:trPr>
        <w:tc>
          <w:tcPr>
            <w:tcW w:w="11700" w:type="dxa"/>
          </w:tcPr>
          <w:p w14:paraId="11A82212" w14:textId="014A640F" w:rsidR="00DB5A10" w:rsidRPr="00506377" w:rsidRDefault="004A11E3" w:rsidP="00C53996">
            <w:pPr>
              <w:pStyle w:val="ListParagraph"/>
              <w:widowControl w:val="0"/>
              <w:numPr>
                <w:ilvl w:val="0"/>
                <w:numId w:val="12"/>
              </w:numPr>
              <w:autoSpaceDE w:val="0"/>
              <w:autoSpaceDN w:val="0"/>
              <w:adjustRightInd w:val="0"/>
              <w:rPr>
                <w:rFonts w:ascii="Univers" w:hAnsi="Univers" w:cs="Times New Roman" w:hint="eastAsia"/>
                <w:sz w:val="15"/>
                <w:szCs w:val="15"/>
              </w:rPr>
            </w:pPr>
            <w:r w:rsidRPr="00506377">
              <w:rPr>
                <w:rFonts w:ascii="Univers" w:hAnsi="Univers" w:cs="Times New Roman"/>
                <w:sz w:val="15"/>
                <w:szCs w:val="15"/>
              </w:rPr>
              <w:t>Net sales, earnings and margins were all significantly higher in the third quarter driven by excellent performance at the operating companies and the impact of Newport's addition to the R.J. Reynolds portfolio.</w:t>
            </w:r>
          </w:p>
          <w:p w14:paraId="434331D5" w14:textId="71313D25" w:rsidR="00C8063B" w:rsidRPr="00506377" w:rsidRDefault="004A11E3" w:rsidP="00C8063B">
            <w:pPr>
              <w:pStyle w:val="ListParagraph"/>
              <w:widowControl w:val="0"/>
              <w:numPr>
                <w:ilvl w:val="0"/>
                <w:numId w:val="12"/>
              </w:numPr>
              <w:autoSpaceDE w:val="0"/>
              <w:autoSpaceDN w:val="0"/>
              <w:adjustRightInd w:val="0"/>
              <w:rPr>
                <w:rFonts w:ascii="Univers" w:hAnsi="Univers" w:cs="Times New Roman" w:hint="eastAsia"/>
                <w:sz w:val="15"/>
                <w:szCs w:val="15"/>
              </w:rPr>
            </w:pPr>
            <w:r w:rsidRPr="00506377">
              <w:rPr>
                <w:rFonts w:ascii="Univers" w:hAnsi="Univers" w:cs="Times New Roman"/>
                <w:sz w:val="15"/>
                <w:szCs w:val="15"/>
              </w:rPr>
              <w:t>RJR Vapor's VUSE Digital Vapor Cigarette continued to pe</w:t>
            </w:r>
            <w:r w:rsidR="00C53996" w:rsidRPr="00506377">
              <w:rPr>
                <w:rFonts w:ascii="Univers" w:hAnsi="Univers" w:cs="Times New Roman"/>
                <w:sz w:val="15"/>
                <w:szCs w:val="15"/>
              </w:rPr>
              <w:t>rform well in the third quarter.</w:t>
            </w:r>
          </w:p>
          <w:p w14:paraId="5CCE5992" w14:textId="69885149" w:rsidR="00932D42" w:rsidRPr="00506377" w:rsidRDefault="00932D42" w:rsidP="00C8063B">
            <w:pPr>
              <w:pStyle w:val="ListParagraph"/>
              <w:widowControl w:val="0"/>
              <w:numPr>
                <w:ilvl w:val="0"/>
                <w:numId w:val="12"/>
              </w:numPr>
              <w:autoSpaceDE w:val="0"/>
              <w:autoSpaceDN w:val="0"/>
              <w:adjustRightInd w:val="0"/>
              <w:rPr>
                <w:rFonts w:ascii="Univers" w:hAnsi="Univers" w:cs="Times New Roman" w:hint="eastAsia"/>
                <w:sz w:val="15"/>
                <w:szCs w:val="15"/>
              </w:rPr>
            </w:pPr>
            <w:r w:rsidRPr="00506377">
              <w:rPr>
                <w:rFonts w:ascii="Univers" w:hAnsi="Univers" w:cs="Times New Roman"/>
                <w:sz w:val="15"/>
                <w:szCs w:val="15"/>
              </w:rPr>
              <w:t>In September, the company announced the proposed sale of the Natural American Spirit business outside the U.S. to the JT Group for $5 billion.</w:t>
            </w:r>
          </w:p>
          <w:p w14:paraId="4205DC0B" w14:textId="7758F075" w:rsidR="00F62DCD" w:rsidRPr="00506377" w:rsidRDefault="00F62DCD" w:rsidP="00F62DCD">
            <w:pPr>
              <w:pStyle w:val="ListParagraph"/>
              <w:widowControl w:val="0"/>
              <w:numPr>
                <w:ilvl w:val="0"/>
                <w:numId w:val="12"/>
              </w:numPr>
              <w:autoSpaceDE w:val="0"/>
              <w:autoSpaceDN w:val="0"/>
              <w:adjustRightInd w:val="0"/>
              <w:rPr>
                <w:rFonts w:ascii="Univers" w:hAnsi="Univers" w:cs="Times New Roman" w:hint="eastAsia"/>
                <w:sz w:val="15"/>
                <w:szCs w:val="15"/>
              </w:rPr>
            </w:pPr>
            <w:r w:rsidRPr="00506377">
              <w:rPr>
                <w:rFonts w:ascii="Univers" w:hAnsi="Univers" w:cs="Times New Roman"/>
                <w:sz w:val="15"/>
                <w:szCs w:val="15"/>
              </w:rPr>
              <w:t>A signing of a technology sharing term sheet between R.J. Reynolds and British American Tobacco provides a framework for collaboration and mutual cross licensing of vapor product technologies through 2022.</w:t>
            </w:r>
          </w:p>
        </w:tc>
      </w:tr>
    </w:tbl>
    <w:p w14:paraId="5873EF7F" w14:textId="77777777" w:rsidR="00B7642F" w:rsidRPr="00506377" w:rsidRDefault="00B7642F" w:rsidP="005E114B">
      <w:pPr>
        <w:rPr>
          <w:sz w:val="15"/>
          <w:szCs w:val="15"/>
        </w:rPr>
      </w:pPr>
    </w:p>
    <w:tbl>
      <w:tblPr>
        <w:tblStyle w:val="TableGrid"/>
        <w:tblW w:w="11808" w:type="dxa"/>
        <w:tblInd w:w="-1440" w:type="dxa"/>
        <w:tblLook w:val="04A0" w:firstRow="1" w:lastRow="0" w:firstColumn="1" w:lastColumn="0" w:noHBand="0" w:noVBand="1"/>
      </w:tblPr>
      <w:tblGrid>
        <w:gridCol w:w="7465"/>
        <w:gridCol w:w="4343"/>
      </w:tblGrid>
      <w:tr w:rsidR="00830F06" w:rsidRPr="00506377" w14:paraId="730DB2FF" w14:textId="77777777" w:rsidTr="00034A52">
        <w:tc>
          <w:tcPr>
            <w:tcW w:w="7488" w:type="dxa"/>
            <w:shd w:val="clear" w:color="auto" w:fill="365F91" w:themeFill="accent1" w:themeFillShade="BF"/>
          </w:tcPr>
          <w:p w14:paraId="7CF6246B" w14:textId="38A66325" w:rsidR="00830F06" w:rsidRPr="00506377" w:rsidRDefault="00830F06" w:rsidP="00443ED9">
            <w:pPr>
              <w:jc w:val="both"/>
              <w:rPr>
                <w:b/>
                <w:color w:val="FFFFFF" w:themeColor="background1"/>
                <w:sz w:val="15"/>
                <w:szCs w:val="15"/>
              </w:rPr>
            </w:pPr>
            <w:r w:rsidRPr="00506377">
              <w:rPr>
                <w:b/>
                <w:color w:val="FFFFFF" w:themeColor="background1"/>
                <w:sz w:val="15"/>
                <w:szCs w:val="15"/>
              </w:rPr>
              <w:t>Financial Performance:</w:t>
            </w:r>
          </w:p>
        </w:tc>
        <w:tc>
          <w:tcPr>
            <w:tcW w:w="4320" w:type="dxa"/>
            <w:shd w:val="clear" w:color="auto" w:fill="365F91" w:themeFill="accent1" w:themeFillShade="BF"/>
          </w:tcPr>
          <w:p w14:paraId="09E00ADF" w14:textId="62365A7B" w:rsidR="00830F06" w:rsidRPr="00506377" w:rsidRDefault="00830F06" w:rsidP="00443ED9">
            <w:pPr>
              <w:jc w:val="both"/>
              <w:rPr>
                <w:b/>
                <w:color w:val="FFFFFF" w:themeColor="background1"/>
                <w:sz w:val="15"/>
                <w:szCs w:val="15"/>
              </w:rPr>
            </w:pPr>
            <w:r w:rsidRPr="00506377">
              <w:rPr>
                <w:b/>
                <w:color w:val="FFFFFF" w:themeColor="background1"/>
                <w:sz w:val="15"/>
                <w:szCs w:val="15"/>
              </w:rPr>
              <w:t xml:space="preserve">Discounted Cash Flow </w:t>
            </w:r>
          </w:p>
        </w:tc>
      </w:tr>
      <w:tr w:rsidR="00830F06" w:rsidRPr="00506377" w14:paraId="0538015D" w14:textId="77777777" w:rsidTr="00425273">
        <w:trPr>
          <w:trHeight w:val="4166"/>
        </w:trPr>
        <w:tc>
          <w:tcPr>
            <w:tcW w:w="7488" w:type="dxa"/>
          </w:tcPr>
          <w:p w14:paraId="6973B10F" w14:textId="77777777" w:rsidR="00830F06" w:rsidRPr="00506377" w:rsidRDefault="00830F06" w:rsidP="00443ED9">
            <w:pPr>
              <w:jc w:val="both"/>
              <w:rPr>
                <w:b/>
                <w:sz w:val="15"/>
                <w:szCs w:val="15"/>
              </w:rPr>
            </w:pPr>
          </w:p>
          <w:tbl>
            <w:tblPr>
              <w:tblStyle w:val="TableGrid"/>
              <w:tblW w:w="7009" w:type="dxa"/>
              <w:tblLook w:val="04A0" w:firstRow="1" w:lastRow="0" w:firstColumn="1" w:lastColumn="0" w:noHBand="0" w:noVBand="1"/>
            </w:tblPr>
            <w:tblGrid>
              <w:gridCol w:w="1567"/>
              <w:gridCol w:w="998"/>
              <w:gridCol w:w="991"/>
              <w:gridCol w:w="871"/>
              <w:gridCol w:w="871"/>
              <w:gridCol w:w="871"/>
              <w:gridCol w:w="840"/>
            </w:tblGrid>
            <w:tr w:rsidR="00425273" w:rsidRPr="00506377" w14:paraId="23FAEDA0" w14:textId="77777777" w:rsidTr="00425273">
              <w:tc>
                <w:tcPr>
                  <w:tcW w:w="1567" w:type="dxa"/>
                  <w:shd w:val="clear" w:color="auto" w:fill="DBE5F1" w:themeFill="accent1" w:themeFillTint="33"/>
                </w:tcPr>
                <w:p w14:paraId="165C82C4" w14:textId="77777777" w:rsidR="00830F06" w:rsidRPr="00506377" w:rsidRDefault="00830F06" w:rsidP="00830F06">
                  <w:pPr>
                    <w:rPr>
                      <w:sz w:val="15"/>
                      <w:szCs w:val="15"/>
                    </w:rPr>
                  </w:pPr>
                </w:p>
              </w:tc>
              <w:tc>
                <w:tcPr>
                  <w:tcW w:w="998" w:type="dxa"/>
                  <w:shd w:val="clear" w:color="auto" w:fill="DBE5F1" w:themeFill="accent1" w:themeFillTint="33"/>
                </w:tcPr>
                <w:p w14:paraId="76114568" w14:textId="250BC82B" w:rsidR="00830F06" w:rsidRPr="00506377" w:rsidRDefault="00830F06" w:rsidP="00425273">
                  <w:pPr>
                    <w:ind w:left="184"/>
                    <w:jc w:val="center"/>
                    <w:rPr>
                      <w:sz w:val="15"/>
                      <w:szCs w:val="15"/>
                    </w:rPr>
                  </w:pPr>
                  <w:r w:rsidRPr="00506377">
                    <w:rPr>
                      <w:sz w:val="15"/>
                      <w:szCs w:val="15"/>
                    </w:rPr>
                    <w:t>2012</w:t>
                  </w:r>
                </w:p>
              </w:tc>
              <w:tc>
                <w:tcPr>
                  <w:tcW w:w="991" w:type="dxa"/>
                  <w:shd w:val="clear" w:color="auto" w:fill="DBE5F1" w:themeFill="accent1" w:themeFillTint="33"/>
                </w:tcPr>
                <w:p w14:paraId="0FA0AD6E" w14:textId="77777777" w:rsidR="00830F06" w:rsidRPr="00506377" w:rsidRDefault="00830F06" w:rsidP="00830F06">
                  <w:pPr>
                    <w:rPr>
                      <w:sz w:val="15"/>
                      <w:szCs w:val="15"/>
                    </w:rPr>
                  </w:pPr>
                  <w:r w:rsidRPr="00506377">
                    <w:rPr>
                      <w:sz w:val="15"/>
                      <w:szCs w:val="15"/>
                    </w:rPr>
                    <w:t>2013</w:t>
                  </w:r>
                </w:p>
              </w:tc>
              <w:tc>
                <w:tcPr>
                  <w:tcW w:w="871" w:type="dxa"/>
                  <w:shd w:val="clear" w:color="auto" w:fill="DBE5F1" w:themeFill="accent1" w:themeFillTint="33"/>
                </w:tcPr>
                <w:p w14:paraId="222A182C" w14:textId="77777777" w:rsidR="00830F06" w:rsidRPr="00506377" w:rsidRDefault="00830F06" w:rsidP="00830F06">
                  <w:pPr>
                    <w:rPr>
                      <w:sz w:val="15"/>
                      <w:szCs w:val="15"/>
                    </w:rPr>
                  </w:pPr>
                  <w:r w:rsidRPr="00506377">
                    <w:rPr>
                      <w:sz w:val="15"/>
                      <w:szCs w:val="15"/>
                    </w:rPr>
                    <w:t>2014</w:t>
                  </w:r>
                </w:p>
              </w:tc>
              <w:tc>
                <w:tcPr>
                  <w:tcW w:w="871" w:type="dxa"/>
                  <w:shd w:val="clear" w:color="auto" w:fill="DBE5F1" w:themeFill="accent1" w:themeFillTint="33"/>
                </w:tcPr>
                <w:p w14:paraId="43EE2733" w14:textId="77777777" w:rsidR="00830F06" w:rsidRPr="00506377" w:rsidRDefault="00830F06" w:rsidP="00830F06">
                  <w:pPr>
                    <w:rPr>
                      <w:sz w:val="15"/>
                      <w:szCs w:val="15"/>
                    </w:rPr>
                  </w:pPr>
                  <w:r w:rsidRPr="00506377">
                    <w:rPr>
                      <w:sz w:val="15"/>
                      <w:szCs w:val="15"/>
                    </w:rPr>
                    <w:t>Q1-2015</w:t>
                  </w:r>
                </w:p>
              </w:tc>
              <w:tc>
                <w:tcPr>
                  <w:tcW w:w="871" w:type="dxa"/>
                  <w:shd w:val="clear" w:color="auto" w:fill="DBE5F1" w:themeFill="accent1" w:themeFillTint="33"/>
                </w:tcPr>
                <w:p w14:paraId="2262B9DA" w14:textId="77777777" w:rsidR="00830F06" w:rsidRPr="00506377" w:rsidRDefault="00830F06" w:rsidP="00830F06">
                  <w:pPr>
                    <w:rPr>
                      <w:sz w:val="15"/>
                      <w:szCs w:val="15"/>
                    </w:rPr>
                  </w:pPr>
                  <w:r w:rsidRPr="00506377">
                    <w:rPr>
                      <w:sz w:val="15"/>
                      <w:szCs w:val="15"/>
                    </w:rPr>
                    <w:t>Q2-2015</w:t>
                  </w:r>
                </w:p>
              </w:tc>
              <w:tc>
                <w:tcPr>
                  <w:tcW w:w="840" w:type="dxa"/>
                  <w:shd w:val="clear" w:color="auto" w:fill="DBE5F1" w:themeFill="accent1" w:themeFillTint="33"/>
                </w:tcPr>
                <w:p w14:paraId="4080B05E" w14:textId="77777777" w:rsidR="00830F06" w:rsidRPr="00506377" w:rsidRDefault="00830F06" w:rsidP="00830F06">
                  <w:pPr>
                    <w:rPr>
                      <w:sz w:val="15"/>
                      <w:szCs w:val="15"/>
                    </w:rPr>
                  </w:pPr>
                  <w:r w:rsidRPr="00506377">
                    <w:rPr>
                      <w:sz w:val="15"/>
                      <w:szCs w:val="15"/>
                    </w:rPr>
                    <w:t>Q3-2015</w:t>
                  </w:r>
                </w:p>
              </w:tc>
            </w:tr>
            <w:tr w:rsidR="00425273" w:rsidRPr="00506377" w14:paraId="5835BCA6" w14:textId="77777777" w:rsidTr="00425273">
              <w:trPr>
                <w:trHeight w:val="70"/>
              </w:trPr>
              <w:tc>
                <w:tcPr>
                  <w:tcW w:w="1567" w:type="dxa"/>
                </w:tcPr>
                <w:p w14:paraId="6C7AE70B" w14:textId="15012FD9" w:rsidR="00313EEF" w:rsidRPr="00506377" w:rsidRDefault="00313EEF" w:rsidP="00425273">
                  <w:pPr>
                    <w:rPr>
                      <w:sz w:val="15"/>
                      <w:szCs w:val="15"/>
                    </w:rPr>
                  </w:pPr>
                  <w:r w:rsidRPr="00506377">
                    <w:rPr>
                      <w:sz w:val="15"/>
                      <w:szCs w:val="15"/>
                    </w:rPr>
                    <w:t>Revenue</w:t>
                  </w:r>
                </w:p>
              </w:tc>
              <w:tc>
                <w:tcPr>
                  <w:tcW w:w="998" w:type="dxa"/>
                </w:tcPr>
                <w:p w14:paraId="41FE7B9F" w14:textId="23313C70" w:rsidR="00313EEF" w:rsidRPr="00506377" w:rsidRDefault="00313EEF" w:rsidP="00425273">
                  <w:pPr>
                    <w:ind w:left="184"/>
                    <w:rPr>
                      <w:sz w:val="15"/>
                      <w:szCs w:val="15"/>
                    </w:rPr>
                  </w:pPr>
                  <w:r w:rsidRPr="00506377">
                    <w:rPr>
                      <w:sz w:val="15"/>
                      <w:szCs w:val="15"/>
                    </w:rPr>
                    <w:t>8,304.00</w:t>
                  </w:r>
                </w:p>
              </w:tc>
              <w:tc>
                <w:tcPr>
                  <w:tcW w:w="991" w:type="dxa"/>
                </w:tcPr>
                <w:p w14:paraId="5AD94885" w14:textId="16026F77" w:rsidR="00313EEF" w:rsidRPr="00506377" w:rsidRDefault="00313EEF" w:rsidP="00837F0B">
                  <w:pPr>
                    <w:jc w:val="center"/>
                    <w:rPr>
                      <w:sz w:val="15"/>
                      <w:szCs w:val="15"/>
                    </w:rPr>
                  </w:pPr>
                  <w:r w:rsidRPr="00506377">
                    <w:rPr>
                      <w:sz w:val="15"/>
                      <w:szCs w:val="15"/>
                    </w:rPr>
                    <w:t>8,236.00</w:t>
                  </w:r>
                </w:p>
              </w:tc>
              <w:tc>
                <w:tcPr>
                  <w:tcW w:w="871" w:type="dxa"/>
                </w:tcPr>
                <w:p w14:paraId="5CBFF446" w14:textId="63317614" w:rsidR="00313EEF" w:rsidRPr="00506377" w:rsidRDefault="00313EEF" w:rsidP="00837F0B">
                  <w:pPr>
                    <w:jc w:val="center"/>
                    <w:rPr>
                      <w:sz w:val="15"/>
                      <w:szCs w:val="15"/>
                    </w:rPr>
                  </w:pPr>
                  <w:r w:rsidRPr="00506377">
                    <w:rPr>
                      <w:sz w:val="15"/>
                      <w:szCs w:val="15"/>
                    </w:rPr>
                    <w:t>8,471.00</w:t>
                  </w:r>
                </w:p>
              </w:tc>
              <w:tc>
                <w:tcPr>
                  <w:tcW w:w="871" w:type="dxa"/>
                </w:tcPr>
                <w:p w14:paraId="4B0B1917" w14:textId="3C46BE19" w:rsidR="00313EEF" w:rsidRPr="00506377" w:rsidRDefault="00313EEF" w:rsidP="00837F0B">
                  <w:pPr>
                    <w:jc w:val="center"/>
                    <w:rPr>
                      <w:sz w:val="15"/>
                      <w:szCs w:val="15"/>
                    </w:rPr>
                  </w:pPr>
                  <w:r w:rsidRPr="00506377">
                    <w:rPr>
                      <w:sz w:val="15"/>
                      <w:szCs w:val="15"/>
                    </w:rPr>
                    <w:t>2,057.00</w:t>
                  </w:r>
                </w:p>
              </w:tc>
              <w:tc>
                <w:tcPr>
                  <w:tcW w:w="871" w:type="dxa"/>
                </w:tcPr>
                <w:p w14:paraId="03CE6445" w14:textId="370B903C" w:rsidR="00313EEF" w:rsidRPr="00506377" w:rsidRDefault="00313EEF" w:rsidP="00837F0B">
                  <w:pPr>
                    <w:jc w:val="center"/>
                    <w:rPr>
                      <w:sz w:val="15"/>
                      <w:szCs w:val="15"/>
                    </w:rPr>
                  </w:pPr>
                  <w:r w:rsidRPr="00506377">
                    <w:rPr>
                      <w:sz w:val="15"/>
                      <w:szCs w:val="15"/>
                    </w:rPr>
                    <w:t>2,403.00</w:t>
                  </w:r>
                </w:p>
              </w:tc>
              <w:tc>
                <w:tcPr>
                  <w:tcW w:w="840" w:type="dxa"/>
                </w:tcPr>
                <w:p w14:paraId="1FE96789" w14:textId="5F9C49C8" w:rsidR="00313EEF" w:rsidRPr="00506377" w:rsidRDefault="00313EEF" w:rsidP="00837F0B">
                  <w:pPr>
                    <w:jc w:val="center"/>
                    <w:rPr>
                      <w:sz w:val="15"/>
                      <w:szCs w:val="15"/>
                    </w:rPr>
                  </w:pPr>
                  <w:r w:rsidRPr="00506377">
                    <w:rPr>
                      <w:sz w:val="15"/>
                      <w:szCs w:val="15"/>
                    </w:rPr>
                    <w:t>3,161.00</w:t>
                  </w:r>
                </w:p>
              </w:tc>
            </w:tr>
            <w:tr w:rsidR="00425273" w:rsidRPr="00506377" w14:paraId="0D74DF99" w14:textId="77777777" w:rsidTr="00425273">
              <w:tc>
                <w:tcPr>
                  <w:tcW w:w="1567" w:type="dxa"/>
                </w:tcPr>
                <w:p w14:paraId="209309E4" w14:textId="77777777" w:rsidR="00313EEF" w:rsidRPr="00506377" w:rsidRDefault="00313EEF" w:rsidP="00425273">
                  <w:pPr>
                    <w:rPr>
                      <w:sz w:val="15"/>
                      <w:szCs w:val="15"/>
                    </w:rPr>
                  </w:pPr>
                  <w:r w:rsidRPr="00506377">
                    <w:rPr>
                      <w:sz w:val="15"/>
                      <w:szCs w:val="15"/>
                    </w:rPr>
                    <w:t>Operating Profit</w:t>
                  </w:r>
                </w:p>
              </w:tc>
              <w:tc>
                <w:tcPr>
                  <w:tcW w:w="998" w:type="dxa"/>
                </w:tcPr>
                <w:p w14:paraId="43EF44A6" w14:textId="43C72305" w:rsidR="00313EEF" w:rsidRPr="00506377" w:rsidRDefault="00313EEF" w:rsidP="00425273">
                  <w:pPr>
                    <w:ind w:left="184"/>
                    <w:rPr>
                      <w:sz w:val="15"/>
                      <w:szCs w:val="15"/>
                    </w:rPr>
                  </w:pPr>
                  <w:r w:rsidRPr="00506377">
                    <w:rPr>
                      <w:sz w:val="15"/>
                      <w:szCs w:val="15"/>
                    </w:rPr>
                    <w:t>2,214.00</w:t>
                  </w:r>
                </w:p>
              </w:tc>
              <w:tc>
                <w:tcPr>
                  <w:tcW w:w="991" w:type="dxa"/>
                </w:tcPr>
                <w:p w14:paraId="4D295F75" w14:textId="4ADEC725" w:rsidR="00313EEF" w:rsidRPr="00506377" w:rsidRDefault="00313EEF" w:rsidP="00837F0B">
                  <w:pPr>
                    <w:jc w:val="center"/>
                    <w:rPr>
                      <w:sz w:val="15"/>
                      <w:szCs w:val="15"/>
                    </w:rPr>
                  </w:pPr>
                  <w:r w:rsidRPr="00506377">
                    <w:rPr>
                      <w:sz w:val="15"/>
                      <w:szCs w:val="15"/>
                    </w:rPr>
                    <w:t>3,132.00</w:t>
                  </w:r>
                </w:p>
              </w:tc>
              <w:tc>
                <w:tcPr>
                  <w:tcW w:w="871" w:type="dxa"/>
                </w:tcPr>
                <w:p w14:paraId="473FEC76" w14:textId="6845D88E" w:rsidR="00313EEF" w:rsidRPr="00506377" w:rsidRDefault="00313EEF" w:rsidP="00837F0B">
                  <w:pPr>
                    <w:jc w:val="center"/>
                    <w:rPr>
                      <w:sz w:val="15"/>
                      <w:szCs w:val="15"/>
                    </w:rPr>
                  </w:pPr>
                  <w:r w:rsidRPr="00506377">
                    <w:rPr>
                      <w:sz w:val="15"/>
                      <w:szCs w:val="15"/>
                    </w:rPr>
                    <w:t>2,531.00</w:t>
                  </w:r>
                </w:p>
              </w:tc>
              <w:tc>
                <w:tcPr>
                  <w:tcW w:w="871" w:type="dxa"/>
                </w:tcPr>
                <w:p w14:paraId="7A5F465A" w14:textId="245D9B38" w:rsidR="00313EEF" w:rsidRPr="00506377" w:rsidRDefault="00313EEF" w:rsidP="00837F0B">
                  <w:pPr>
                    <w:jc w:val="center"/>
                    <w:rPr>
                      <w:sz w:val="15"/>
                      <w:szCs w:val="15"/>
                    </w:rPr>
                  </w:pPr>
                  <w:r w:rsidRPr="00506377">
                    <w:rPr>
                      <w:sz w:val="15"/>
                      <w:szCs w:val="15"/>
                    </w:rPr>
                    <w:t>693.00</w:t>
                  </w:r>
                </w:p>
              </w:tc>
              <w:tc>
                <w:tcPr>
                  <w:tcW w:w="871" w:type="dxa"/>
                </w:tcPr>
                <w:p w14:paraId="341AE295" w14:textId="66AAF8B8" w:rsidR="00313EEF" w:rsidRPr="00506377" w:rsidRDefault="00313EEF" w:rsidP="00837F0B">
                  <w:pPr>
                    <w:jc w:val="center"/>
                    <w:rPr>
                      <w:sz w:val="15"/>
                      <w:szCs w:val="15"/>
                    </w:rPr>
                  </w:pPr>
                  <w:r w:rsidRPr="00506377">
                    <w:rPr>
                      <w:sz w:val="15"/>
                      <w:szCs w:val="15"/>
                    </w:rPr>
                    <w:t>4,364.00</w:t>
                  </w:r>
                </w:p>
              </w:tc>
              <w:tc>
                <w:tcPr>
                  <w:tcW w:w="840" w:type="dxa"/>
                </w:tcPr>
                <w:p w14:paraId="06733996" w14:textId="58D680DA" w:rsidR="00313EEF" w:rsidRPr="00506377" w:rsidRDefault="00313EEF" w:rsidP="00837F0B">
                  <w:pPr>
                    <w:jc w:val="center"/>
                    <w:rPr>
                      <w:sz w:val="15"/>
                      <w:szCs w:val="15"/>
                    </w:rPr>
                  </w:pPr>
                  <w:r w:rsidRPr="00506377">
                    <w:rPr>
                      <w:sz w:val="15"/>
                      <w:szCs w:val="15"/>
                    </w:rPr>
                    <w:t>1,206.00</w:t>
                  </w:r>
                </w:p>
              </w:tc>
            </w:tr>
            <w:tr w:rsidR="00425273" w:rsidRPr="00506377" w14:paraId="329334DC" w14:textId="77777777" w:rsidTr="00425273">
              <w:tc>
                <w:tcPr>
                  <w:tcW w:w="1567" w:type="dxa"/>
                </w:tcPr>
                <w:p w14:paraId="57B2BB96" w14:textId="381A2195" w:rsidR="00313EEF" w:rsidRPr="00506377" w:rsidRDefault="00313EEF" w:rsidP="00425273">
                  <w:pPr>
                    <w:rPr>
                      <w:sz w:val="15"/>
                      <w:szCs w:val="15"/>
                    </w:rPr>
                  </w:pPr>
                  <w:r w:rsidRPr="00506377">
                    <w:rPr>
                      <w:sz w:val="15"/>
                      <w:szCs w:val="15"/>
                    </w:rPr>
                    <w:t>Net Income</w:t>
                  </w:r>
                </w:p>
              </w:tc>
              <w:tc>
                <w:tcPr>
                  <w:tcW w:w="998" w:type="dxa"/>
                </w:tcPr>
                <w:p w14:paraId="7ED33C82" w14:textId="257CBE49" w:rsidR="00313EEF" w:rsidRPr="00506377" w:rsidRDefault="00313EEF" w:rsidP="00425273">
                  <w:pPr>
                    <w:ind w:left="184"/>
                    <w:rPr>
                      <w:sz w:val="15"/>
                      <w:szCs w:val="15"/>
                    </w:rPr>
                  </w:pPr>
                  <w:r w:rsidRPr="00506377">
                    <w:rPr>
                      <w:sz w:val="15"/>
                      <w:szCs w:val="15"/>
                    </w:rPr>
                    <w:t>1,272.00</w:t>
                  </w:r>
                </w:p>
              </w:tc>
              <w:tc>
                <w:tcPr>
                  <w:tcW w:w="991" w:type="dxa"/>
                </w:tcPr>
                <w:p w14:paraId="08C55153" w14:textId="409991A2" w:rsidR="00313EEF" w:rsidRPr="00506377" w:rsidRDefault="00313EEF" w:rsidP="00837F0B">
                  <w:pPr>
                    <w:jc w:val="center"/>
                    <w:rPr>
                      <w:sz w:val="15"/>
                      <w:szCs w:val="15"/>
                    </w:rPr>
                  </w:pPr>
                  <w:r w:rsidRPr="00506377">
                    <w:rPr>
                      <w:sz w:val="15"/>
                      <w:szCs w:val="15"/>
                    </w:rPr>
                    <w:t>1,718.00</w:t>
                  </w:r>
                </w:p>
              </w:tc>
              <w:tc>
                <w:tcPr>
                  <w:tcW w:w="871" w:type="dxa"/>
                </w:tcPr>
                <w:p w14:paraId="14CD87A4" w14:textId="4203D0F9" w:rsidR="00313EEF" w:rsidRPr="00506377" w:rsidRDefault="00313EEF" w:rsidP="00837F0B">
                  <w:pPr>
                    <w:jc w:val="center"/>
                    <w:rPr>
                      <w:sz w:val="15"/>
                      <w:szCs w:val="15"/>
                    </w:rPr>
                  </w:pPr>
                  <w:r w:rsidRPr="00506377">
                    <w:rPr>
                      <w:sz w:val="15"/>
                      <w:szCs w:val="15"/>
                    </w:rPr>
                    <w:t>1,470.00</w:t>
                  </w:r>
                </w:p>
              </w:tc>
              <w:tc>
                <w:tcPr>
                  <w:tcW w:w="871" w:type="dxa"/>
                </w:tcPr>
                <w:p w14:paraId="2BD951AE" w14:textId="440A880F" w:rsidR="00313EEF" w:rsidRPr="00506377" w:rsidRDefault="00313EEF" w:rsidP="00837F0B">
                  <w:pPr>
                    <w:jc w:val="center"/>
                    <w:rPr>
                      <w:sz w:val="15"/>
                      <w:szCs w:val="15"/>
                    </w:rPr>
                  </w:pPr>
                  <w:r w:rsidRPr="00506377">
                    <w:rPr>
                      <w:sz w:val="15"/>
                      <w:szCs w:val="15"/>
                    </w:rPr>
                    <w:t>389.00</w:t>
                  </w:r>
                </w:p>
              </w:tc>
              <w:tc>
                <w:tcPr>
                  <w:tcW w:w="871" w:type="dxa"/>
                </w:tcPr>
                <w:p w14:paraId="4B1F5567" w14:textId="55DA5DDE" w:rsidR="00313EEF" w:rsidRPr="00506377" w:rsidRDefault="00313EEF" w:rsidP="00837F0B">
                  <w:pPr>
                    <w:jc w:val="center"/>
                    <w:rPr>
                      <w:sz w:val="15"/>
                      <w:szCs w:val="15"/>
                    </w:rPr>
                  </w:pPr>
                  <w:r w:rsidRPr="00506377">
                    <w:rPr>
                      <w:sz w:val="15"/>
                      <w:szCs w:val="15"/>
                    </w:rPr>
                    <w:t>1,928.00</w:t>
                  </w:r>
                </w:p>
              </w:tc>
              <w:tc>
                <w:tcPr>
                  <w:tcW w:w="840" w:type="dxa"/>
                </w:tcPr>
                <w:p w14:paraId="0C1C3E6B" w14:textId="567EABED" w:rsidR="00313EEF" w:rsidRPr="00506377" w:rsidRDefault="00313EEF" w:rsidP="00837F0B">
                  <w:pPr>
                    <w:jc w:val="center"/>
                    <w:rPr>
                      <w:sz w:val="15"/>
                      <w:szCs w:val="15"/>
                    </w:rPr>
                  </w:pPr>
                  <w:r w:rsidRPr="00506377">
                    <w:rPr>
                      <w:sz w:val="15"/>
                      <w:szCs w:val="15"/>
                    </w:rPr>
                    <w:t>657.00</w:t>
                  </w:r>
                </w:p>
              </w:tc>
            </w:tr>
            <w:tr w:rsidR="00425273" w:rsidRPr="00506377" w14:paraId="334202CA" w14:textId="77777777" w:rsidTr="00425273">
              <w:tc>
                <w:tcPr>
                  <w:tcW w:w="1567" w:type="dxa"/>
                </w:tcPr>
                <w:p w14:paraId="545FB948" w14:textId="77777777" w:rsidR="00313EEF" w:rsidRPr="00506377" w:rsidRDefault="00313EEF" w:rsidP="00425273">
                  <w:pPr>
                    <w:rPr>
                      <w:sz w:val="15"/>
                      <w:szCs w:val="15"/>
                    </w:rPr>
                  </w:pPr>
                  <w:r w:rsidRPr="00506377">
                    <w:rPr>
                      <w:sz w:val="15"/>
                      <w:szCs w:val="15"/>
                    </w:rPr>
                    <w:t>Revenue Growth %</w:t>
                  </w:r>
                </w:p>
              </w:tc>
              <w:tc>
                <w:tcPr>
                  <w:tcW w:w="998" w:type="dxa"/>
                </w:tcPr>
                <w:p w14:paraId="7753E56E" w14:textId="549678BD" w:rsidR="00313EEF" w:rsidRPr="00506377" w:rsidRDefault="00313EEF" w:rsidP="00425273">
                  <w:pPr>
                    <w:ind w:left="184"/>
                    <w:rPr>
                      <w:sz w:val="15"/>
                      <w:szCs w:val="15"/>
                    </w:rPr>
                  </w:pPr>
                  <w:r w:rsidRPr="00506377">
                    <w:rPr>
                      <w:sz w:val="15"/>
                      <w:szCs w:val="15"/>
                    </w:rPr>
                    <w:t>(2.77)</w:t>
                  </w:r>
                </w:p>
              </w:tc>
              <w:tc>
                <w:tcPr>
                  <w:tcW w:w="991" w:type="dxa"/>
                </w:tcPr>
                <w:p w14:paraId="6895AAD7" w14:textId="2BA2DC1A" w:rsidR="00313EEF" w:rsidRPr="00506377" w:rsidRDefault="00313EEF" w:rsidP="00837F0B">
                  <w:pPr>
                    <w:jc w:val="center"/>
                    <w:rPr>
                      <w:sz w:val="15"/>
                      <w:szCs w:val="15"/>
                    </w:rPr>
                  </w:pPr>
                  <w:r w:rsidRPr="00506377">
                    <w:rPr>
                      <w:sz w:val="15"/>
                      <w:szCs w:val="15"/>
                    </w:rPr>
                    <w:t>(0.82)</w:t>
                  </w:r>
                </w:p>
              </w:tc>
              <w:tc>
                <w:tcPr>
                  <w:tcW w:w="871" w:type="dxa"/>
                </w:tcPr>
                <w:p w14:paraId="50C7D9F0" w14:textId="0FD7A0F0" w:rsidR="00313EEF" w:rsidRPr="00506377" w:rsidRDefault="00313EEF" w:rsidP="00837F0B">
                  <w:pPr>
                    <w:jc w:val="center"/>
                    <w:rPr>
                      <w:sz w:val="15"/>
                      <w:szCs w:val="15"/>
                    </w:rPr>
                  </w:pPr>
                  <w:r w:rsidRPr="00506377">
                    <w:rPr>
                      <w:sz w:val="15"/>
                      <w:szCs w:val="15"/>
                    </w:rPr>
                    <w:t>2.85</w:t>
                  </w:r>
                </w:p>
              </w:tc>
              <w:tc>
                <w:tcPr>
                  <w:tcW w:w="871" w:type="dxa"/>
                </w:tcPr>
                <w:p w14:paraId="1E00B23E" w14:textId="352F3C6F" w:rsidR="00313EEF" w:rsidRPr="00506377" w:rsidRDefault="00313EEF" w:rsidP="00837F0B">
                  <w:pPr>
                    <w:jc w:val="center"/>
                    <w:rPr>
                      <w:sz w:val="15"/>
                      <w:szCs w:val="15"/>
                    </w:rPr>
                  </w:pPr>
                  <w:r w:rsidRPr="00506377">
                    <w:rPr>
                      <w:sz w:val="15"/>
                      <w:szCs w:val="15"/>
                    </w:rPr>
                    <w:t>6.30</w:t>
                  </w:r>
                </w:p>
              </w:tc>
              <w:tc>
                <w:tcPr>
                  <w:tcW w:w="871" w:type="dxa"/>
                </w:tcPr>
                <w:p w14:paraId="1BC2B723" w14:textId="3768A967" w:rsidR="00313EEF" w:rsidRPr="00506377" w:rsidRDefault="00313EEF" w:rsidP="00837F0B">
                  <w:pPr>
                    <w:jc w:val="center"/>
                    <w:rPr>
                      <w:sz w:val="15"/>
                      <w:szCs w:val="15"/>
                    </w:rPr>
                  </w:pPr>
                  <w:r w:rsidRPr="00506377">
                    <w:rPr>
                      <w:sz w:val="15"/>
                      <w:szCs w:val="15"/>
                    </w:rPr>
                    <w:t>11.15</w:t>
                  </w:r>
                </w:p>
              </w:tc>
              <w:tc>
                <w:tcPr>
                  <w:tcW w:w="840" w:type="dxa"/>
                </w:tcPr>
                <w:p w14:paraId="17F87F8D" w14:textId="00031B3F" w:rsidR="00313EEF" w:rsidRPr="00506377" w:rsidRDefault="00313EEF" w:rsidP="00837F0B">
                  <w:pPr>
                    <w:jc w:val="center"/>
                    <w:rPr>
                      <w:sz w:val="15"/>
                      <w:szCs w:val="15"/>
                    </w:rPr>
                  </w:pPr>
                  <w:r w:rsidRPr="00506377">
                    <w:rPr>
                      <w:sz w:val="15"/>
                      <w:szCs w:val="15"/>
                    </w:rPr>
                    <w:t>41.12</w:t>
                  </w:r>
                </w:p>
              </w:tc>
            </w:tr>
            <w:tr w:rsidR="00425273" w:rsidRPr="00506377" w14:paraId="100621BB" w14:textId="77777777" w:rsidTr="008D3AB3">
              <w:tc>
                <w:tcPr>
                  <w:tcW w:w="1567" w:type="dxa"/>
                </w:tcPr>
                <w:p w14:paraId="0671CC90" w14:textId="77777777" w:rsidR="00425273" w:rsidRPr="00506377" w:rsidRDefault="00425273" w:rsidP="00425273">
                  <w:pPr>
                    <w:rPr>
                      <w:sz w:val="15"/>
                      <w:szCs w:val="15"/>
                    </w:rPr>
                  </w:pPr>
                  <w:r w:rsidRPr="00506377">
                    <w:rPr>
                      <w:sz w:val="15"/>
                      <w:szCs w:val="15"/>
                    </w:rPr>
                    <w:t>EBITDA%</w:t>
                  </w:r>
                </w:p>
              </w:tc>
              <w:tc>
                <w:tcPr>
                  <w:tcW w:w="998" w:type="dxa"/>
                  <w:vAlign w:val="bottom"/>
                </w:tcPr>
                <w:p w14:paraId="56C1673C" w14:textId="497C27B4" w:rsidR="00425273" w:rsidRPr="00506377" w:rsidRDefault="00425273" w:rsidP="00425273">
                  <w:pPr>
                    <w:ind w:left="184"/>
                    <w:rPr>
                      <w:sz w:val="15"/>
                      <w:szCs w:val="15"/>
                    </w:rPr>
                  </w:pPr>
                  <w:r w:rsidRPr="00506377">
                    <w:rPr>
                      <w:sz w:val="15"/>
                      <w:szCs w:val="15"/>
                    </w:rPr>
                    <w:t>28.24%</w:t>
                  </w:r>
                </w:p>
              </w:tc>
              <w:tc>
                <w:tcPr>
                  <w:tcW w:w="991" w:type="dxa"/>
                  <w:vAlign w:val="bottom"/>
                </w:tcPr>
                <w:p w14:paraId="54A2481B" w14:textId="5769C07E" w:rsidR="00425273" w:rsidRPr="00506377" w:rsidRDefault="00425273" w:rsidP="00837F0B">
                  <w:pPr>
                    <w:jc w:val="center"/>
                    <w:rPr>
                      <w:sz w:val="15"/>
                      <w:szCs w:val="15"/>
                    </w:rPr>
                  </w:pPr>
                  <w:r w:rsidRPr="00506377">
                    <w:rPr>
                      <w:sz w:val="15"/>
                      <w:szCs w:val="15"/>
                    </w:rPr>
                    <w:t>39.28%</w:t>
                  </w:r>
                </w:p>
              </w:tc>
              <w:tc>
                <w:tcPr>
                  <w:tcW w:w="871" w:type="dxa"/>
                  <w:vAlign w:val="bottom"/>
                </w:tcPr>
                <w:p w14:paraId="70B50F71" w14:textId="1F57B1AB" w:rsidR="00425273" w:rsidRPr="00506377" w:rsidRDefault="00425273" w:rsidP="00837F0B">
                  <w:pPr>
                    <w:jc w:val="center"/>
                    <w:rPr>
                      <w:sz w:val="15"/>
                      <w:szCs w:val="15"/>
                    </w:rPr>
                  </w:pPr>
                  <w:r w:rsidRPr="00506377">
                    <w:rPr>
                      <w:sz w:val="15"/>
                      <w:szCs w:val="15"/>
                    </w:rPr>
                    <w:t>31.13%</w:t>
                  </w:r>
                </w:p>
              </w:tc>
              <w:tc>
                <w:tcPr>
                  <w:tcW w:w="871" w:type="dxa"/>
                  <w:vAlign w:val="bottom"/>
                </w:tcPr>
                <w:p w14:paraId="6D1E67DF" w14:textId="12672E0E" w:rsidR="00425273" w:rsidRPr="00506377" w:rsidRDefault="00425273" w:rsidP="00837F0B">
                  <w:pPr>
                    <w:jc w:val="center"/>
                    <w:rPr>
                      <w:sz w:val="15"/>
                      <w:szCs w:val="15"/>
                    </w:rPr>
                  </w:pPr>
                  <w:r w:rsidRPr="00506377">
                    <w:rPr>
                      <w:sz w:val="15"/>
                      <w:szCs w:val="15"/>
                    </w:rPr>
                    <w:t>35.05%</w:t>
                  </w:r>
                </w:p>
              </w:tc>
              <w:tc>
                <w:tcPr>
                  <w:tcW w:w="871" w:type="dxa"/>
                  <w:vAlign w:val="bottom"/>
                </w:tcPr>
                <w:p w14:paraId="4283BFBC" w14:textId="17CBA890" w:rsidR="00425273" w:rsidRPr="00506377" w:rsidRDefault="00425273" w:rsidP="00837F0B">
                  <w:pPr>
                    <w:jc w:val="center"/>
                    <w:rPr>
                      <w:sz w:val="15"/>
                      <w:szCs w:val="15"/>
                    </w:rPr>
                  </w:pPr>
                  <w:r w:rsidRPr="00506377">
                    <w:rPr>
                      <w:sz w:val="15"/>
                      <w:szCs w:val="15"/>
                    </w:rPr>
                    <w:t>182.77%</w:t>
                  </w:r>
                </w:p>
              </w:tc>
              <w:tc>
                <w:tcPr>
                  <w:tcW w:w="840" w:type="dxa"/>
                  <w:vAlign w:val="bottom"/>
                </w:tcPr>
                <w:p w14:paraId="535F7486" w14:textId="702BBDA3" w:rsidR="00425273" w:rsidRPr="00506377" w:rsidRDefault="00425273" w:rsidP="00837F0B">
                  <w:pPr>
                    <w:jc w:val="center"/>
                    <w:rPr>
                      <w:sz w:val="15"/>
                      <w:szCs w:val="15"/>
                    </w:rPr>
                  </w:pPr>
                  <w:r w:rsidRPr="00506377">
                    <w:rPr>
                      <w:sz w:val="15"/>
                      <w:szCs w:val="15"/>
                    </w:rPr>
                    <w:t>39.26%</w:t>
                  </w:r>
                </w:p>
              </w:tc>
            </w:tr>
            <w:tr w:rsidR="00425273" w:rsidRPr="00506377" w14:paraId="3CD7B755" w14:textId="77777777" w:rsidTr="00425273">
              <w:tc>
                <w:tcPr>
                  <w:tcW w:w="1567" w:type="dxa"/>
                </w:tcPr>
                <w:p w14:paraId="5648CFBC" w14:textId="6D713C76" w:rsidR="00313EEF" w:rsidRPr="00506377" w:rsidRDefault="00314C3C" w:rsidP="00425273">
                  <w:pPr>
                    <w:rPr>
                      <w:sz w:val="15"/>
                      <w:szCs w:val="15"/>
                    </w:rPr>
                  </w:pPr>
                  <w:r w:rsidRPr="00506377">
                    <w:rPr>
                      <w:sz w:val="15"/>
                      <w:szCs w:val="15"/>
                    </w:rPr>
                    <w:t xml:space="preserve">Operating Profit </w:t>
                  </w:r>
                  <w:r w:rsidR="00313EEF" w:rsidRPr="00506377">
                    <w:rPr>
                      <w:sz w:val="15"/>
                      <w:szCs w:val="15"/>
                    </w:rPr>
                    <w:t>%</w:t>
                  </w:r>
                </w:p>
              </w:tc>
              <w:tc>
                <w:tcPr>
                  <w:tcW w:w="998" w:type="dxa"/>
                </w:tcPr>
                <w:p w14:paraId="4256401B" w14:textId="59DDDDDC" w:rsidR="00313EEF" w:rsidRPr="00506377" w:rsidRDefault="00313EEF" w:rsidP="00425273">
                  <w:pPr>
                    <w:ind w:left="184"/>
                    <w:rPr>
                      <w:sz w:val="15"/>
                      <w:szCs w:val="15"/>
                    </w:rPr>
                  </w:pPr>
                  <w:r w:rsidRPr="00506377">
                    <w:rPr>
                      <w:sz w:val="15"/>
                      <w:szCs w:val="15"/>
                    </w:rPr>
                    <w:t>26.66</w:t>
                  </w:r>
                </w:p>
              </w:tc>
              <w:tc>
                <w:tcPr>
                  <w:tcW w:w="991" w:type="dxa"/>
                </w:tcPr>
                <w:p w14:paraId="01E6195D" w14:textId="05C0618F" w:rsidR="00313EEF" w:rsidRPr="00506377" w:rsidRDefault="00313EEF" w:rsidP="00837F0B">
                  <w:pPr>
                    <w:jc w:val="center"/>
                    <w:rPr>
                      <w:sz w:val="15"/>
                      <w:szCs w:val="15"/>
                    </w:rPr>
                  </w:pPr>
                  <w:r w:rsidRPr="00506377">
                    <w:rPr>
                      <w:sz w:val="15"/>
                      <w:szCs w:val="15"/>
                    </w:rPr>
                    <w:t>38.03</w:t>
                  </w:r>
                </w:p>
              </w:tc>
              <w:tc>
                <w:tcPr>
                  <w:tcW w:w="871" w:type="dxa"/>
                </w:tcPr>
                <w:p w14:paraId="7367B82F" w14:textId="7317E180" w:rsidR="00313EEF" w:rsidRPr="00506377" w:rsidRDefault="00313EEF" w:rsidP="00837F0B">
                  <w:pPr>
                    <w:jc w:val="center"/>
                    <w:rPr>
                      <w:sz w:val="15"/>
                      <w:szCs w:val="15"/>
                    </w:rPr>
                  </w:pPr>
                  <w:r w:rsidRPr="00506377">
                    <w:rPr>
                      <w:sz w:val="15"/>
                      <w:szCs w:val="15"/>
                    </w:rPr>
                    <w:t>29.88</w:t>
                  </w:r>
                </w:p>
              </w:tc>
              <w:tc>
                <w:tcPr>
                  <w:tcW w:w="871" w:type="dxa"/>
                </w:tcPr>
                <w:p w14:paraId="6D11D424" w14:textId="1602BE2F" w:rsidR="00313EEF" w:rsidRPr="00506377" w:rsidRDefault="00313EEF" w:rsidP="00837F0B">
                  <w:pPr>
                    <w:jc w:val="center"/>
                    <w:rPr>
                      <w:sz w:val="15"/>
                      <w:szCs w:val="15"/>
                    </w:rPr>
                  </w:pPr>
                  <w:r w:rsidRPr="00506377">
                    <w:rPr>
                      <w:sz w:val="15"/>
                      <w:szCs w:val="15"/>
                    </w:rPr>
                    <w:t>33.69</w:t>
                  </w:r>
                </w:p>
              </w:tc>
              <w:tc>
                <w:tcPr>
                  <w:tcW w:w="871" w:type="dxa"/>
                </w:tcPr>
                <w:p w14:paraId="60045D97" w14:textId="718D1445" w:rsidR="00313EEF" w:rsidRPr="00506377" w:rsidRDefault="00313EEF" w:rsidP="00837F0B">
                  <w:pPr>
                    <w:jc w:val="center"/>
                    <w:rPr>
                      <w:sz w:val="15"/>
                      <w:szCs w:val="15"/>
                    </w:rPr>
                  </w:pPr>
                  <w:r w:rsidRPr="00506377">
                    <w:rPr>
                      <w:sz w:val="15"/>
                      <w:szCs w:val="15"/>
                    </w:rPr>
                    <w:t>181.61</w:t>
                  </w:r>
                </w:p>
              </w:tc>
              <w:tc>
                <w:tcPr>
                  <w:tcW w:w="840" w:type="dxa"/>
                </w:tcPr>
                <w:p w14:paraId="22875514" w14:textId="22416E8F" w:rsidR="00313EEF" w:rsidRPr="00506377" w:rsidRDefault="00313EEF" w:rsidP="00837F0B">
                  <w:pPr>
                    <w:jc w:val="center"/>
                    <w:rPr>
                      <w:sz w:val="15"/>
                      <w:szCs w:val="15"/>
                    </w:rPr>
                  </w:pPr>
                  <w:r w:rsidRPr="00506377">
                    <w:rPr>
                      <w:sz w:val="15"/>
                      <w:szCs w:val="15"/>
                    </w:rPr>
                    <w:t>38.15</w:t>
                  </w:r>
                </w:p>
              </w:tc>
            </w:tr>
            <w:tr w:rsidR="00425273" w:rsidRPr="00506377" w14:paraId="17F9D92A" w14:textId="77777777" w:rsidTr="00425273">
              <w:tc>
                <w:tcPr>
                  <w:tcW w:w="1567" w:type="dxa"/>
                </w:tcPr>
                <w:p w14:paraId="3AA11444" w14:textId="544617B1" w:rsidR="00313EEF" w:rsidRPr="00506377" w:rsidRDefault="00425273" w:rsidP="00425273">
                  <w:pPr>
                    <w:rPr>
                      <w:sz w:val="15"/>
                      <w:szCs w:val="15"/>
                    </w:rPr>
                  </w:pPr>
                  <w:r w:rsidRPr="00506377">
                    <w:rPr>
                      <w:sz w:val="15"/>
                      <w:szCs w:val="15"/>
                    </w:rPr>
                    <w:t xml:space="preserve">Net Income </w:t>
                  </w:r>
                  <w:r w:rsidR="00313EEF" w:rsidRPr="00506377">
                    <w:rPr>
                      <w:sz w:val="15"/>
                      <w:szCs w:val="15"/>
                    </w:rPr>
                    <w:t>Margin</w:t>
                  </w:r>
                </w:p>
              </w:tc>
              <w:tc>
                <w:tcPr>
                  <w:tcW w:w="998" w:type="dxa"/>
                </w:tcPr>
                <w:p w14:paraId="50934D1E" w14:textId="4E041680" w:rsidR="00313EEF" w:rsidRPr="00506377" w:rsidRDefault="00313EEF" w:rsidP="00425273">
                  <w:pPr>
                    <w:ind w:left="184"/>
                    <w:rPr>
                      <w:sz w:val="15"/>
                      <w:szCs w:val="15"/>
                    </w:rPr>
                  </w:pPr>
                  <w:r w:rsidRPr="00506377">
                    <w:rPr>
                      <w:sz w:val="15"/>
                      <w:szCs w:val="15"/>
                    </w:rPr>
                    <w:t>15.32</w:t>
                  </w:r>
                </w:p>
              </w:tc>
              <w:tc>
                <w:tcPr>
                  <w:tcW w:w="991" w:type="dxa"/>
                </w:tcPr>
                <w:p w14:paraId="3E025EA0" w14:textId="67995B2E" w:rsidR="00313EEF" w:rsidRPr="00506377" w:rsidRDefault="00313EEF" w:rsidP="00837F0B">
                  <w:pPr>
                    <w:jc w:val="center"/>
                    <w:rPr>
                      <w:sz w:val="15"/>
                      <w:szCs w:val="15"/>
                    </w:rPr>
                  </w:pPr>
                  <w:r w:rsidRPr="00506377">
                    <w:rPr>
                      <w:sz w:val="15"/>
                      <w:szCs w:val="15"/>
                    </w:rPr>
                    <w:t>20.86</w:t>
                  </w:r>
                </w:p>
              </w:tc>
              <w:tc>
                <w:tcPr>
                  <w:tcW w:w="871" w:type="dxa"/>
                </w:tcPr>
                <w:p w14:paraId="7BF4FB16" w14:textId="55B47966" w:rsidR="00313EEF" w:rsidRPr="00506377" w:rsidRDefault="00313EEF" w:rsidP="00837F0B">
                  <w:pPr>
                    <w:jc w:val="center"/>
                    <w:rPr>
                      <w:sz w:val="15"/>
                      <w:szCs w:val="15"/>
                    </w:rPr>
                  </w:pPr>
                  <w:r w:rsidRPr="00506377">
                    <w:rPr>
                      <w:sz w:val="15"/>
                      <w:szCs w:val="15"/>
                    </w:rPr>
                    <w:t>17.35</w:t>
                  </w:r>
                </w:p>
              </w:tc>
              <w:tc>
                <w:tcPr>
                  <w:tcW w:w="871" w:type="dxa"/>
                </w:tcPr>
                <w:p w14:paraId="00516877" w14:textId="74163FD0" w:rsidR="00313EEF" w:rsidRPr="00506377" w:rsidRDefault="00313EEF" w:rsidP="00837F0B">
                  <w:pPr>
                    <w:jc w:val="center"/>
                    <w:rPr>
                      <w:sz w:val="15"/>
                      <w:szCs w:val="15"/>
                    </w:rPr>
                  </w:pPr>
                  <w:r w:rsidRPr="00506377">
                    <w:rPr>
                      <w:sz w:val="15"/>
                      <w:szCs w:val="15"/>
                    </w:rPr>
                    <w:t>18.91</w:t>
                  </w:r>
                </w:p>
              </w:tc>
              <w:tc>
                <w:tcPr>
                  <w:tcW w:w="871" w:type="dxa"/>
                </w:tcPr>
                <w:p w14:paraId="4E215F3E" w14:textId="17877583" w:rsidR="00313EEF" w:rsidRPr="00506377" w:rsidRDefault="00313EEF" w:rsidP="00837F0B">
                  <w:pPr>
                    <w:jc w:val="center"/>
                    <w:rPr>
                      <w:sz w:val="15"/>
                      <w:szCs w:val="15"/>
                    </w:rPr>
                  </w:pPr>
                  <w:r w:rsidRPr="00506377">
                    <w:rPr>
                      <w:sz w:val="15"/>
                      <w:szCs w:val="15"/>
                    </w:rPr>
                    <w:t>80.23</w:t>
                  </w:r>
                </w:p>
              </w:tc>
              <w:tc>
                <w:tcPr>
                  <w:tcW w:w="840" w:type="dxa"/>
                </w:tcPr>
                <w:p w14:paraId="714FA856" w14:textId="073F4654" w:rsidR="00313EEF" w:rsidRPr="00506377" w:rsidRDefault="00313EEF" w:rsidP="00837F0B">
                  <w:pPr>
                    <w:jc w:val="center"/>
                    <w:rPr>
                      <w:sz w:val="15"/>
                      <w:szCs w:val="15"/>
                    </w:rPr>
                  </w:pPr>
                  <w:r w:rsidRPr="00506377">
                    <w:rPr>
                      <w:sz w:val="15"/>
                      <w:szCs w:val="15"/>
                    </w:rPr>
                    <w:t>20.78</w:t>
                  </w:r>
                </w:p>
              </w:tc>
            </w:tr>
            <w:tr w:rsidR="00425273" w:rsidRPr="00506377" w14:paraId="22A784BE" w14:textId="77777777" w:rsidTr="00425273">
              <w:trPr>
                <w:trHeight w:val="70"/>
              </w:trPr>
              <w:tc>
                <w:tcPr>
                  <w:tcW w:w="1567" w:type="dxa"/>
                </w:tcPr>
                <w:p w14:paraId="670CE5B7" w14:textId="6816DBCD" w:rsidR="00313EEF" w:rsidRPr="00506377" w:rsidRDefault="00313EEF" w:rsidP="00425273">
                  <w:pPr>
                    <w:rPr>
                      <w:sz w:val="15"/>
                      <w:szCs w:val="15"/>
                    </w:rPr>
                  </w:pPr>
                  <w:r w:rsidRPr="00506377">
                    <w:rPr>
                      <w:sz w:val="15"/>
                      <w:szCs w:val="15"/>
                    </w:rPr>
                    <w:t>D/E</w:t>
                  </w:r>
                </w:p>
              </w:tc>
              <w:tc>
                <w:tcPr>
                  <w:tcW w:w="998" w:type="dxa"/>
                </w:tcPr>
                <w:p w14:paraId="74D585ED" w14:textId="53CB5182" w:rsidR="00313EEF" w:rsidRPr="00506377" w:rsidRDefault="00313EEF" w:rsidP="00425273">
                  <w:pPr>
                    <w:ind w:left="184"/>
                    <w:rPr>
                      <w:sz w:val="15"/>
                      <w:szCs w:val="15"/>
                    </w:rPr>
                  </w:pPr>
                  <w:r w:rsidRPr="00506377">
                    <w:rPr>
                      <w:sz w:val="15"/>
                      <w:szCs w:val="15"/>
                    </w:rPr>
                    <w:t>96.92</w:t>
                  </w:r>
                </w:p>
              </w:tc>
              <w:tc>
                <w:tcPr>
                  <w:tcW w:w="991" w:type="dxa"/>
                </w:tcPr>
                <w:p w14:paraId="3E7FDD3E" w14:textId="17407353" w:rsidR="00313EEF" w:rsidRPr="00506377" w:rsidRDefault="00313EEF" w:rsidP="00837F0B">
                  <w:pPr>
                    <w:jc w:val="center"/>
                    <w:rPr>
                      <w:sz w:val="15"/>
                      <w:szCs w:val="15"/>
                    </w:rPr>
                  </w:pPr>
                  <w:r w:rsidRPr="00506377">
                    <w:rPr>
                      <w:sz w:val="15"/>
                      <w:szCs w:val="15"/>
                    </w:rPr>
                    <w:t>98.68</w:t>
                  </w:r>
                </w:p>
              </w:tc>
              <w:tc>
                <w:tcPr>
                  <w:tcW w:w="871" w:type="dxa"/>
                </w:tcPr>
                <w:p w14:paraId="4A576F03" w14:textId="534A4507" w:rsidR="00313EEF" w:rsidRPr="00506377" w:rsidRDefault="00313EEF" w:rsidP="00837F0B">
                  <w:pPr>
                    <w:jc w:val="center"/>
                    <w:rPr>
                      <w:sz w:val="15"/>
                      <w:szCs w:val="15"/>
                    </w:rPr>
                  </w:pPr>
                  <w:r w:rsidRPr="00506377">
                    <w:rPr>
                      <w:sz w:val="15"/>
                      <w:szCs w:val="15"/>
                    </w:rPr>
                    <w:t>112.41</w:t>
                  </w:r>
                </w:p>
              </w:tc>
              <w:tc>
                <w:tcPr>
                  <w:tcW w:w="871" w:type="dxa"/>
                </w:tcPr>
                <w:p w14:paraId="174A979D" w14:textId="36F74078" w:rsidR="00313EEF" w:rsidRPr="00506377" w:rsidRDefault="00313EEF" w:rsidP="00837F0B">
                  <w:pPr>
                    <w:jc w:val="center"/>
                    <w:rPr>
                      <w:sz w:val="15"/>
                      <w:szCs w:val="15"/>
                    </w:rPr>
                  </w:pPr>
                  <w:r w:rsidRPr="00506377">
                    <w:rPr>
                      <w:sz w:val="15"/>
                      <w:szCs w:val="15"/>
                    </w:rPr>
                    <w:t>112.39</w:t>
                  </w:r>
                </w:p>
              </w:tc>
              <w:tc>
                <w:tcPr>
                  <w:tcW w:w="871" w:type="dxa"/>
                </w:tcPr>
                <w:p w14:paraId="23A72D7D" w14:textId="7AB1FC1B" w:rsidR="00313EEF" w:rsidRPr="00506377" w:rsidRDefault="00313EEF" w:rsidP="00837F0B">
                  <w:pPr>
                    <w:jc w:val="center"/>
                    <w:rPr>
                      <w:sz w:val="15"/>
                      <w:szCs w:val="15"/>
                    </w:rPr>
                  </w:pPr>
                  <w:r w:rsidRPr="00506377">
                    <w:rPr>
                      <w:sz w:val="15"/>
                      <w:szCs w:val="15"/>
                    </w:rPr>
                    <w:t>98.22</w:t>
                  </w:r>
                </w:p>
              </w:tc>
              <w:tc>
                <w:tcPr>
                  <w:tcW w:w="840" w:type="dxa"/>
                </w:tcPr>
                <w:p w14:paraId="5F88EAE0" w14:textId="383923C4" w:rsidR="00313EEF" w:rsidRPr="00506377" w:rsidRDefault="00313EEF" w:rsidP="00837F0B">
                  <w:pPr>
                    <w:jc w:val="center"/>
                    <w:rPr>
                      <w:sz w:val="15"/>
                      <w:szCs w:val="15"/>
                    </w:rPr>
                  </w:pPr>
                  <w:r w:rsidRPr="00506377">
                    <w:rPr>
                      <w:sz w:val="15"/>
                      <w:szCs w:val="15"/>
                    </w:rPr>
                    <w:t>97.04</w:t>
                  </w:r>
                </w:p>
              </w:tc>
            </w:tr>
            <w:tr w:rsidR="00425273" w:rsidRPr="00506377" w14:paraId="111BB78D" w14:textId="77777777" w:rsidTr="00425273">
              <w:trPr>
                <w:trHeight w:val="63"/>
              </w:trPr>
              <w:tc>
                <w:tcPr>
                  <w:tcW w:w="1567" w:type="dxa"/>
                </w:tcPr>
                <w:p w14:paraId="0F9C400C" w14:textId="031DF1C5" w:rsidR="00313EEF" w:rsidRPr="00506377" w:rsidRDefault="00313EEF" w:rsidP="00425273">
                  <w:pPr>
                    <w:rPr>
                      <w:sz w:val="15"/>
                      <w:szCs w:val="15"/>
                    </w:rPr>
                  </w:pPr>
                  <w:r w:rsidRPr="00506377">
                    <w:rPr>
                      <w:sz w:val="15"/>
                      <w:szCs w:val="15"/>
                    </w:rPr>
                    <w:t>Interest Coverage</w:t>
                  </w:r>
                </w:p>
              </w:tc>
              <w:tc>
                <w:tcPr>
                  <w:tcW w:w="998" w:type="dxa"/>
                </w:tcPr>
                <w:p w14:paraId="7851C9B9" w14:textId="1A16A800" w:rsidR="00313EEF" w:rsidRPr="00506377" w:rsidRDefault="00313EEF" w:rsidP="00425273">
                  <w:pPr>
                    <w:ind w:left="184"/>
                    <w:rPr>
                      <w:sz w:val="15"/>
                      <w:szCs w:val="15"/>
                    </w:rPr>
                  </w:pPr>
                  <w:r w:rsidRPr="00506377">
                    <w:rPr>
                      <w:sz w:val="15"/>
                      <w:szCs w:val="15"/>
                    </w:rPr>
                    <w:t>9.60</w:t>
                  </w:r>
                </w:p>
              </w:tc>
              <w:tc>
                <w:tcPr>
                  <w:tcW w:w="991" w:type="dxa"/>
                </w:tcPr>
                <w:p w14:paraId="74B4B557" w14:textId="621F8676" w:rsidR="00313EEF" w:rsidRPr="00506377" w:rsidRDefault="00313EEF" w:rsidP="00837F0B">
                  <w:pPr>
                    <w:jc w:val="center"/>
                    <w:rPr>
                      <w:sz w:val="15"/>
                      <w:szCs w:val="15"/>
                    </w:rPr>
                  </w:pPr>
                  <w:r w:rsidRPr="00506377">
                    <w:rPr>
                      <w:sz w:val="15"/>
                      <w:szCs w:val="15"/>
                    </w:rPr>
                    <w:t>11.79</w:t>
                  </w:r>
                </w:p>
              </w:tc>
              <w:tc>
                <w:tcPr>
                  <w:tcW w:w="871" w:type="dxa"/>
                </w:tcPr>
                <w:p w14:paraId="539DC39D" w14:textId="49E3BAFE" w:rsidR="00313EEF" w:rsidRPr="00506377" w:rsidRDefault="00313EEF" w:rsidP="00837F0B">
                  <w:pPr>
                    <w:jc w:val="center"/>
                    <w:rPr>
                      <w:sz w:val="15"/>
                      <w:szCs w:val="15"/>
                    </w:rPr>
                  </w:pPr>
                  <w:r w:rsidRPr="00506377">
                    <w:rPr>
                      <w:sz w:val="15"/>
                      <w:szCs w:val="15"/>
                    </w:rPr>
                    <w:t>9.13</w:t>
                  </w:r>
                </w:p>
              </w:tc>
              <w:tc>
                <w:tcPr>
                  <w:tcW w:w="871" w:type="dxa"/>
                </w:tcPr>
                <w:p w14:paraId="6666455C" w14:textId="7582352B" w:rsidR="00313EEF" w:rsidRPr="00506377" w:rsidRDefault="00313EEF" w:rsidP="00837F0B">
                  <w:pPr>
                    <w:jc w:val="center"/>
                    <w:rPr>
                      <w:sz w:val="15"/>
                      <w:szCs w:val="15"/>
                    </w:rPr>
                  </w:pPr>
                  <w:r w:rsidRPr="00506377">
                    <w:rPr>
                      <w:sz w:val="15"/>
                      <w:szCs w:val="15"/>
                    </w:rPr>
                    <w:t>7.89</w:t>
                  </w:r>
                </w:p>
              </w:tc>
              <w:tc>
                <w:tcPr>
                  <w:tcW w:w="871" w:type="dxa"/>
                </w:tcPr>
                <w:p w14:paraId="7C7FC6C4" w14:textId="441CD1DD" w:rsidR="00313EEF" w:rsidRPr="00506377" w:rsidRDefault="00313EEF" w:rsidP="00837F0B">
                  <w:pPr>
                    <w:jc w:val="center"/>
                    <w:rPr>
                      <w:sz w:val="15"/>
                      <w:szCs w:val="15"/>
                    </w:rPr>
                  </w:pPr>
                  <w:r w:rsidRPr="00506377">
                    <w:rPr>
                      <w:sz w:val="15"/>
                      <w:szCs w:val="15"/>
                    </w:rPr>
                    <w:t>41.37</w:t>
                  </w:r>
                </w:p>
              </w:tc>
              <w:tc>
                <w:tcPr>
                  <w:tcW w:w="840" w:type="dxa"/>
                </w:tcPr>
                <w:p w14:paraId="4CF94011" w14:textId="7DF7A8FE" w:rsidR="00313EEF" w:rsidRPr="00506377" w:rsidRDefault="00313EEF" w:rsidP="00837F0B">
                  <w:pPr>
                    <w:jc w:val="center"/>
                    <w:rPr>
                      <w:sz w:val="15"/>
                      <w:szCs w:val="15"/>
                    </w:rPr>
                  </w:pPr>
                  <w:r w:rsidRPr="00506377">
                    <w:rPr>
                      <w:sz w:val="15"/>
                      <w:szCs w:val="15"/>
                    </w:rPr>
                    <w:t>6.46</w:t>
                  </w:r>
                </w:p>
              </w:tc>
            </w:tr>
            <w:tr w:rsidR="00425273" w:rsidRPr="00506377" w14:paraId="4BD993C7" w14:textId="77777777" w:rsidTr="00425273">
              <w:trPr>
                <w:trHeight w:val="71"/>
              </w:trPr>
              <w:tc>
                <w:tcPr>
                  <w:tcW w:w="1567" w:type="dxa"/>
                </w:tcPr>
                <w:p w14:paraId="6F5D5ADC" w14:textId="09479BC7" w:rsidR="00313EEF" w:rsidRPr="00506377" w:rsidRDefault="00313EEF" w:rsidP="00425273">
                  <w:pPr>
                    <w:rPr>
                      <w:sz w:val="15"/>
                      <w:szCs w:val="15"/>
                    </w:rPr>
                  </w:pPr>
                  <w:r w:rsidRPr="00506377">
                    <w:rPr>
                      <w:sz w:val="15"/>
                      <w:szCs w:val="15"/>
                    </w:rPr>
                    <w:t>EPS</w:t>
                  </w:r>
                </w:p>
              </w:tc>
              <w:tc>
                <w:tcPr>
                  <w:tcW w:w="998" w:type="dxa"/>
                </w:tcPr>
                <w:p w14:paraId="6B73A46D" w14:textId="25228DB1" w:rsidR="00313EEF" w:rsidRPr="00506377" w:rsidRDefault="00313EEF" w:rsidP="00425273">
                  <w:pPr>
                    <w:ind w:left="184"/>
                    <w:rPr>
                      <w:sz w:val="15"/>
                      <w:szCs w:val="15"/>
                    </w:rPr>
                  </w:pPr>
                  <w:r w:rsidRPr="00506377">
                    <w:rPr>
                      <w:sz w:val="15"/>
                      <w:szCs w:val="15"/>
                    </w:rPr>
                    <w:t>1.13</w:t>
                  </w:r>
                </w:p>
              </w:tc>
              <w:tc>
                <w:tcPr>
                  <w:tcW w:w="991" w:type="dxa"/>
                </w:tcPr>
                <w:p w14:paraId="4E77E933" w14:textId="29701E94" w:rsidR="00313EEF" w:rsidRPr="00506377" w:rsidRDefault="00313EEF" w:rsidP="00837F0B">
                  <w:pPr>
                    <w:jc w:val="center"/>
                    <w:rPr>
                      <w:sz w:val="15"/>
                      <w:szCs w:val="15"/>
                    </w:rPr>
                  </w:pPr>
                  <w:r w:rsidRPr="00506377">
                    <w:rPr>
                      <w:sz w:val="15"/>
                      <w:szCs w:val="15"/>
                    </w:rPr>
                    <w:t>1.58</w:t>
                  </w:r>
                </w:p>
              </w:tc>
              <w:tc>
                <w:tcPr>
                  <w:tcW w:w="871" w:type="dxa"/>
                </w:tcPr>
                <w:p w14:paraId="693A3040" w14:textId="5683399D" w:rsidR="00313EEF" w:rsidRPr="00506377" w:rsidRDefault="00313EEF" w:rsidP="00837F0B">
                  <w:pPr>
                    <w:jc w:val="center"/>
                    <w:rPr>
                      <w:sz w:val="15"/>
                      <w:szCs w:val="15"/>
                    </w:rPr>
                  </w:pPr>
                  <w:r w:rsidRPr="00506377">
                    <w:rPr>
                      <w:sz w:val="15"/>
                      <w:szCs w:val="15"/>
                    </w:rPr>
                    <w:t>1.38</w:t>
                  </w:r>
                </w:p>
              </w:tc>
              <w:tc>
                <w:tcPr>
                  <w:tcW w:w="871" w:type="dxa"/>
                </w:tcPr>
                <w:p w14:paraId="785A0893" w14:textId="36D5751A" w:rsidR="00313EEF" w:rsidRPr="00506377" w:rsidRDefault="00313EEF" w:rsidP="00837F0B">
                  <w:pPr>
                    <w:jc w:val="center"/>
                    <w:rPr>
                      <w:sz w:val="15"/>
                      <w:szCs w:val="15"/>
                    </w:rPr>
                  </w:pPr>
                  <w:r w:rsidRPr="00506377">
                    <w:rPr>
                      <w:sz w:val="15"/>
                      <w:szCs w:val="15"/>
                    </w:rPr>
                    <w:t>0.37</w:t>
                  </w:r>
                </w:p>
              </w:tc>
              <w:tc>
                <w:tcPr>
                  <w:tcW w:w="871" w:type="dxa"/>
                </w:tcPr>
                <w:p w14:paraId="3107DCE0" w14:textId="5C787995" w:rsidR="00313EEF" w:rsidRPr="00506377" w:rsidRDefault="00313EEF" w:rsidP="00837F0B">
                  <w:pPr>
                    <w:jc w:val="center"/>
                    <w:rPr>
                      <w:sz w:val="15"/>
                      <w:szCs w:val="15"/>
                    </w:rPr>
                  </w:pPr>
                  <w:r w:rsidRPr="00506377">
                    <w:rPr>
                      <w:sz w:val="15"/>
                      <w:szCs w:val="15"/>
                    </w:rPr>
                    <w:t>1.70</w:t>
                  </w:r>
                </w:p>
              </w:tc>
              <w:tc>
                <w:tcPr>
                  <w:tcW w:w="840" w:type="dxa"/>
                </w:tcPr>
                <w:p w14:paraId="15B13F64" w14:textId="030090DB" w:rsidR="00313EEF" w:rsidRPr="00506377" w:rsidRDefault="00313EEF" w:rsidP="00837F0B">
                  <w:pPr>
                    <w:jc w:val="center"/>
                    <w:rPr>
                      <w:sz w:val="15"/>
                      <w:szCs w:val="15"/>
                    </w:rPr>
                  </w:pPr>
                  <w:r w:rsidRPr="00506377">
                    <w:rPr>
                      <w:sz w:val="15"/>
                      <w:szCs w:val="15"/>
                    </w:rPr>
                    <w:t>0.46</w:t>
                  </w:r>
                </w:p>
              </w:tc>
            </w:tr>
            <w:tr w:rsidR="00425273" w:rsidRPr="00506377" w14:paraId="3EBC0A0A" w14:textId="77777777" w:rsidTr="00425273">
              <w:trPr>
                <w:trHeight w:val="70"/>
              </w:trPr>
              <w:tc>
                <w:tcPr>
                  <w:tcW w:w="1567" w:type="dxa"/>
                </w:tcPr>
                <w:p w14:paraId="61AE1051" w14:textId="47C1D170" w:rsidR="00313EEF" w:rsidRPr="00506377" w:rsidRDefault="00313EEF" w:rsidP="00425273">
                  <w:pPr>
                    <w:rPr>
                      <w:sz w:val="15"/>
                      <w:szCs w:val="15"/>
                    </w:rPr>
                  </w:pPr>
                  <w:r w:rsidRPr="00506377">
                    <w:rPr>
                      <w:sz w:val="15"/>
                      <w:szCs w:val="15"/>
                    </w:rPr>
                    <w:t>PE Ratio</w:t>
                  </w:r>
                </w:p>
              </w:tc>
              <w:tc>
                <w:tcPr>
                  <w:tcW w:w="998" w:type="dxa"/>
                </w:tcPr>
                <w:p w14:paraId="6DB4D0DC" w14:textId="38CFB231" w:rsidR="00313EEF" w:rsidRPr="00506377" w:rsidRDefault="00313EEF" w:rsidP="00425273">
                  <w:pPr>
                    <w:ind w:left="184"/>
                    <w:rPr>
                      <w:sz w:val="15"/>
                      <w:szCs w:val="15"/>
                    </w:rPr>
                  </w:pPr>
                  <w:r w:rsidRPr="00506377">
                    <w:rPr>
                      <w:sz w:val="15"/>
                      <w:szCs w:val="15"/>
                    </w:rPr>
                    <w:t>7.29</w:t>
                  </w:r>
                </w:p>
              </w:tc>
              <w:tc>
                <w:tcPr>
                  <w:tcW w:w="991" w:type="dxa"/>
                </w:tcPr>
                <w:p w14:paraId="4CBD752B" w14:textId="303274C5" w:rsidR="00313EEF" w:rsidRPr="00506377" w:rsidRDefault="00313EEF" w:rsidP="00837F0B">
                  <w:pPr>
                    <w:jc w:val="center"/>
                    <w:rPr>
                      <w:sz w:val="15"/>
                      <w:szCs w:val="15"/>
                    </w:rPr>
                  </w:pPr>
                  <w:r w:rsidRPr="00506377">
                    <w:rPr>
                      <w:sz w:val="15"/>
                      <w:szCs w:val="15"/>
                    </w:rPr>
                    <w:t>9.35</w:t>
                  </w:r>
                </w:p>
              </w:tc>
              <w:tc>
                <w:tcPr>
                  <w:tcW w:w="871" w:type="dxa"/>
                </w:tcPr>
                <w:p w14:paraId="1B44C62B" w14:textId="638364FE" w:rsidR="00313EEF" w:rsidRPr="00506377" w:rsidRDefault="00313EEF" w:rsidP="00837F0B">
                  <w:pPr>
                    <w:jc w:val="center"/>
                    <w:rPr>
                      <w:sz w:val="15"/>
                      <w:szCs w:val="15"/>
                    </w:rPr>
                  </w:pPr>
                  <w:r w:rsidRPr="00506377">
                    <w:rPr>
                      <w:sz w:val="15"/>
                      <w:szCs w:val="15"/>
                    </w:rPr>
                    <w:t>22.41</w:t>
                  </w:r>
                </w:p>
              </w:tc>
              <w:tc>
                <w:tcPr>
                  <w:tcW w:w="871" w:type="dxa"/>
                </w:tcPr>
                <w:p w14:paraId="38732767" w14:textId="4A49B035" w:rsidR="00313EEF" w:rsidRPr="00506377" w:rsidRDefault="00313EEF" w:rsidP="00837F0B">
                  <w:pPr>
                    <w:jc w:val="center"/>
                    <w:rPr>
                      <w:sz w:val="15"/>
                      <w:szCs w:val="15"/>
                    </w:rPr>
                  </w:pPr>
                  <w:r w:rsidRPr="00506377">
                    <w:rPr>
                      <w:sz w:val="15"/>
                      <w:szCs w:val="15"/>
                    </w:rPr>
                    <w:t>12.04</w:t>
                  </w:r>
                </w:p>
              </w:tc>
              <w:tc>
                <w:tcPr>
                  <w:tcW w:w="871" w:type="dxa"/>
                </w:tcPr>
                <w:p w14:paraId="34BB74B5" w14:textId="127A1A2B" w:rsidR="00313EEF" w:rsidRPr="00506377" w:rsidRDefault="00313EEF" w:rsidP="00837F0B">
                  <w:pPr>
                    <w:jc w:val="center"/>
                    <w:rPr>
                      <w:sz w:val="15"/>
                      <w:szCs w:val="15"/>
                    </w:rPr>
                  </w:pPr>
                  <w:r w:rsidRPr="00506377">
                    <w:rPr>
                      <w:sz w:val="15"/>
                      <w:szCs w:val="15"/>
                    </w:rPr>
                    <w:t>12.55</w:t>
                  </w:r>
                </w:p>
              </w:tc>
              <w:tc>
                <w:tcPr>
                  <w:tcW w:w="840" w:type="dxa"/>
                </w:tcPr>
                <w:p w14:paraId="167918E0" w14:textId="5936C1DA" w:rsidR="00313EEF" w:rsidRPr="00506377" w:rsidRDefault="00313EEF" w:rsidP="00837F0B">
                  <w:pPr>
                    <w:jc w:val="center"/>
                    <w:rPr>
                      <w:sz w:val="15"/>
                      <w:szCs w:val="15"/>
                    </w:rPr>
                  </w:pPr>
                  <w:r w:rsidRPr="00506377">
                    <w:rPr>
                      <w:sz w:val="15"/>
                      <w:szCs w:val="15"/>
                    </w:rPr>
                    <w:t>14.39</w:t>
                  </w:r>
                </w:p>
              </w:tc>
            </w:tr>
            <w:tr w:rsidR="00425273" w:rsidRPr="00506377" w14:paraId="235E2086" w14:textId="77777777" w:rsidTr="00425273">
              <w:tc>
                <w:tcPr>
                  <w:tcW w:w="1567" w:type="dxa"/>
                </w:tcPr>
                <w:p w14:paraId="64A6EBFE" w14:textId="3747C462" w:rsidR="00313EEF" w:rsidRPr="00506377" w:rsidRDefault="00313EEF" w:rsidP="00425273">
                  <w:pPr>
                    <w:rPr>
                      <w:sz w:val="15"/>
                      <w:szCs w:val="15"/>
                    </w:rPr>
                  </w:pPr>
                  <w:r w:rsidRPr="00506377">
                    <w:rPr>
                      <w:sz w:val="15"/>
                      <w:szCs w:val="15"/>
                    </w:rPr>
                    <w:t>Current Ratio</w:t>
                  </w:r>
                </w:p>
              </w:tc>
              <w:tc>
                <w:tcPr>
                  <w:tcW w:w="998" w:type="dxa"/>
                </w:tcPr>
                <w:p w14:paraId="72B86E80" w14:textId="34E3F887" w:rsidR="00313EEF" w:rsidRPr="00506377" w:rsidRDefault="00313EEF" w:rsidP="00425273">
                  <w:pPr>
                    <w:ind w:left="184"/>
                    <w:rPr>
                      <w:sz w:val="15"/>
                      <w:szCs w:val="15"/>
                    </w:rPr>
                  </w:pPr>
                  <w:r w:rsidRPr="00506377">
                    <w:rPr>
                      <w:sz w:val="15"/>
                      <w:szCs w:val="15"/>
                    </w:rPr>
                    <w:t>1.28</w:t>
                  </w:r>
                </w:p>
              </w:tc>
              <w:tc>
                <w:tcPr>
                  <w:tcW w:w="991" w:type="dxa"/>
                </w:tcPr>
                <w:p w14:paraId="28740EAD" w14:textId="3A63813E" w:rsidR="00313EEF" w:rsidRPr="00506377" w:rsidRDefault="00313EEF" w:rsidP="00837F0B">
                  <w:pPr>
                    <w:jc w:val="center"/>
                    <w:rPr>
                      <w:sz w:val="15"/>
                      <w:szCs w:val="15"/>
                    </w:rPr>
                  </w:pPr>
                  <w:r w:rsidRPr="00506377">
                    <w:rPr>
                      <w:sz w:val="15"/>
                      <w:szCs w:val="15"/>
                    </w:rPr>
                    <w:t>1.19</w:t>
                  </w:r>
                </w:p>
              </w:tc>
              <w:tc>
                <w:tcPr>
                  <w:tcW w:w="871" w:type="dxa"/>
                </w:tcPr>
                <w:p w14:paraId="0763C52A" w14:textId="47D2AA5B" w:rsidR="00313EEF" w:rsidRPr="00506377" w:rsidRDefault="00313EEF" w:rsidP="00837F0B">
                  <w:pPr>
                    <w:jc w:val="center"/>
                    <w:rPr>
                      <w:sz w:val="15"/>
                      <w:szCs w:val="15"/>
                    </w:rPr>
                  </w:pPr>
                  <w:r w:rsidRPr="00506377">
                    <w:rPr>
                      <w:sz w:val="15"/>
                      <w:szCs w:val="15"/>
                    </w:rPr>
                    <w:t>0.94</w:t>
                  </w:r>
                </w:p>
              </w:tc>
              <w:tc>
                <w:tcPr>
                  <w:tcW w:w="871" w:type="dxa"/>
                </w:tcPr>
                <w:p w14:paraId="198F8638" w14:textId="236217C4" w:rsidR="00313EEF" w:rsidRPr="00506377" w:rsidRDefault="00313EEF" w:rsidP="00837F0B">
                  <w:pPr>
                    <w:jc w:val="center"/>
                    <w:rPr>
                      <w:sz w:val="15"/>
                      <w:szCs w:val="15"/>
                    </w:rPr>
                  </w:pPr>
                  <w:r w:rsidRPr="00506377">
                    <w:rPr>
                      <w:sz w:val="15"/>
                      <w:szCs w:val="15"/>
                    </w:rPr>
                    <w:t>0.94</w:t>
                  </w:r>
                </w:p>
              </w:tc>
              <w:tc>
                <w:tcPr>
                  <w:tcW w:w="871" w:type="dxa"/>
                </w:tcPr>
                <w:p w14:paraId="321CE165" w14:textId="148D78B6" w:rsidR="00313EEF" w:rsidRPr="00506377" w:rsidRDefault="00313EEF" w:rsidP="00837F0B">
                  <w:pPr>
                    <w:jc w:val="center"/>
                    <w:rPr>
                      <w:sz w:val="15"/>
                      <w:szCs w:val="15"/>
                    </w:rPr>
                  </w:pPr>
                  <w:r w:rsidRPr="00506377">
                    <w:rPr>
                      <w:sz w:val="15"/>
                      <w:szCs w:val="15"/>
                    </w:rPr>
                    <w:t>1.16</w:t>
                  </w:r>
                </w:p>
              </w:tc>
              <w:tc>
                <w:tcPr>
                  <w:tcW w:w="840" w:type="dxa"/>
                </w:tcPr>
                <w:p w14:paraId="18FFAB5F" w14:textId="0843D81D" w:rsidR="00313EEF" w:rsidRPr="00506377" w:rsidRDefault="00313EEF" w:rsidP="00837F0B">
                  <w:pPr>
                    <w:jc w:val="center"/>
                    <w:rPr>
                      <w:sz w:val="15"/>
                      <w:szCs w:val="15"/>
                    </w:rPr>
                  </w:pPr>
                  <w:r w:rsidRPr="00506377">
                    <w:rPr>
                      <w:sz w:val="15"/>
                      <w:szCs w:val="15"/>
                    </w:rPr>
                    <w:t>1.13</w:t>
                  </w:r>
                </w:p>
              </w:tc>
            </w:tr>
            <w:tr w:rsidR="00425273" w:rsidRPr="00506377" w14:paraId="6A512B42" w14:textId="77777777" w:rsidTr="00425273">
              <w:tc>
                <w:tcPr>
                  <w:tcW w:w="1567" w:type="dxa"/>
                </w:tcPr>
                <w:p w14:paraId="30EB3D41" w14:textId="4D4E57F8" w:rsidR="00313EEF" w:rsidRPr="00506377" w:rsidRDefault="00313EEF" w:rsidP="00425273">
                  <w:pPr>
                    <w:rPr>
                      <w:sz w:val="15"/>
                      <w:szCs w:val="15"/>
                    </w:rPr>
                  </w:pPr>
                  <w:r w:rsidRPr="00506377">
                    <w:rPr>
                      <w:sz w:val="15"/>
                      <w:szCs w:val="15"/>
                    </w:rPr>
                    <w:t>ROE</w:t>
                  </w:r>
                </w:p>
              </w:tc>
              <w:tc>
                <w:tcPr>
                  <w:tcW w:w="998" w:type="dxa"/>
                </w:tcPr>
                <w:p w14:paraId="4B99ACE5" w14:textId="3389BB59" w:rsidR="00313EEF" w:rsidRPr="00506377" w:rsidRDefault="00313EEF" w:rsidP="00425273">
                  <w:pPr>
                    <w:ind w:left="184"/>
                    <w:rPr>
                      <w:sz w:val="15"/>
                      <w:szCs w:val="15"/>
                    </w:rPr>
                  </w:pPr>
                  <w:r w:rsidRPr="00506377">
                    <w:rPr>
                      <w:sz w:val="15"/>
                      <w:szCs w:val="15"/>
                    </w:rPr>
                    <w:t>22.11</w:t>
                  </w:r>
                </w:p>
              </w:tc>
              <w:tc>
                <w:tcPr>
                  <w:tcW w:w="991" w:type="dxa"/>
                </w:tcPr>
                <w:p w14:paraId="618AB591" w14:textId="02B2E39C" w:rsidR="00313EEF" w:rsidRPr="00506377" w:rsidRDefault="00313EEF" w:rsidP="00837F0B">
                  <w:pPr>
                    <w:jc w:val="center"/>
                    <w:rPr>
                      <w:sz w:val="15"/>
                      <w:szCs w:val="15"/>
                    </w:rPr>
                  </w:pPr>
                  <w:r w:rsidRPr="00506377">
                    <w:rPr>
                      <w:sz w:val="15"/>
                      <w:szCs w:val="15"/>
                    </w:rPr>
                    <w:t>32.96</w:t>
                  </w:r>
                </w:p>
              </w:tc>
              <w:tc>
                <w:tcPr>
                  <w:tcW w:w="871" w:type="dxa"/>
                </w:tcPr>
                <w:p w14:paraId="2164567E" w14:textId="5C2325A7" w:rsidR="00313EEF" w:rsidRPr="00506377" w:rsidRDefault="00313EEF" w:rsidP="00837F0B">
                  <w:pPr>
                    <w:jc w:val="center"/>
                    <w:rPr>
                      <w:sz w:val="15"/>
                      <w:szCs w:val="15"/>
                    </w:rPr>
                  </w:pPr>
                  <w:r w:rsidRPr="00506377">
                    <w:rPr>
                      <w:sz w:val="15"/>
                      <w:szCs w:val="15"/>
                    </w:rPr>
                    <w:t>30.34</w:t>
                  </w:r>
                </w:p>
              </w:tc>
              <w:tc>
                <w:tcPr>
                  <w:tcW w:w="871" w:type="dxa"/>
                </w:tcPr>
                <w:p w14:paraId="2156D8F2" w14:textId="00AEE47E" w:rsidR="00313EEF" w:rsidRPr="00506377" w:rsidRDefault="00313EEF" w:rsidP="00837F0B">
                  <w:pPr>
                    <w:jc w:val="center"/>
                    <w:rPr>
                      <w:sz w:val="15"/>
                      <w:szCs w:val="15"/>
                    </w:rPr>
                  </w:pPr>
                  <w:r w:rsidRPr="00506377">
                    <w:rPr>
                      <w:sz w:val="15"/>
                      <w:szCs w:val="15"/>
                    </w:rPr>
                    <w:t>31.39</w:t>
                  </w:r>
                </w:p>
              </w:tc>
              <w:tc>
                <w:tcPr>
                  <w:tcW w:w="871" w:type="dxa"/>
                </w:tcPr>
                <w:p w14:paraId="1BCD8618" w14:textId="6727C6E1" w:rsidR="00313EEF" w:rsidRPr="00506377" w:rsidRDefault="00313EEF" w:rsidP="00837F0B">
                  <w:pPr>
                    <w:jc w:val="center"/>
                    <w:rPr>
                      <w:sz w:val="15"/>
                      <w:szCs w:val="15"/>
                    </w:rPr>
                  </w:pPr>
                  <w:r w:rsidRPr="00506377">
                    <w:rPr>
                      <w:sz w:val="15"/>
                      <w:szCs w:val="15"/>
                    </w:rPr>
                    <w:t>25.25</w:t>
                  </w:r>
                </w:p>
              </w:tc>
              <w:tc>
                <w:tcPr>
                  <w:tcW w:w="840" w:type="dxa"/>
                </w:tcPr>
                <w:p w14:paraId="369E19D1" w14:textId="7FD89EED" w:rsidR="00313EEF" w:rsidRPr="00506377" w:rsidRDefault="00313EEF" w:rsidP="00837F0B">
                  <w:pPr>
                    <w:jc w:val="center"/>
                    <w:rPr>
                      <w:sz w:val="15"/>
                      <w:szCs w:val="15"/>
                    </w:rPr>
                  </w:pPr>
                  <w:r w:rsidRPr="00506377">
                    <w:rPr>
                      <w:sz w:val="15"/>
                      <w:szCs w:val="15"/>
                    </w:rPr>
                    <w:t>26.60</w:t>
                  </w:r>
                </w:p>
              </w:tc>
            </w:tr>
            <w:tr w:rsidR="00425273" w:rsidRPr="00506377" w14:paraId="059E3A59" w14:textId="77777777" w:rsidTr="00425273">
              <w:trPr>
                <w:trHeight w:val="98"/>
              </w:trPr>
              <w:tc>
                <w:tcPr>
                  <w:tcW w:w="1567" w:type="dxa"/>
                </w:tcPr>
                <w:p w14:paraId="49C83FCA" w14:textId="51919CFC" w:rsidR="00313EEF" w:rsidRPr="00506377" w:rsidRDefault="00313EEF" w:rsidP="00425273">
                  <w:pPr>
                    <w:rPr>
                      <w:sz w:val="15"/>
                      <w:szCs w:val="15"/>
                    </w:rPr>
                  </w:pPr>
                  <w:r w:rsidRPr="00506377">
                    <w:rPr>
                      <w:sz w:val="15"/>
                      <w:szCs w:val="15"/>
                    </w:rPr>
                    <w:t>ROA</w:t>
                  </w:r>
                </w:p>
              </w:tc>
              <w:tc>
                <w:tcPr>
                  <w:tcW w:w="998" w:type="dxa"/>
                </w:tcPr>
                <w:p w14:paraId="2243F7CF" w14:textId="5E8BE369" w:rsidR="00313EEF" w:rsidRPr="00506377" w:rsidRDefault="00313EEF" w:rsidP="00425273">
                  <w:pPr>
                    <w:ind w:left="184"/>
                    <w:rPr>
                      <w:sz w:val="15"/>
                      <w:szCs w:val="15"/>
                    </w:rPr>
                  </w:pPr>
                  <w:r w:rsidRPr="00506377">
                    <w:rPr>
                      <w:sz w:val="15"/>
                      <w:szCs w:val="15"/>
                    </w:rPr>
                    <w:t>7.75</w:t>
                  </w:r>
                </w:p>
              </w:tc>
              <w:tc>
                <w:tcPr>
                  <w:tcW w:w="991" w:type="dxa"/>
                </w:tcPr>
                <w:p w14:paraId="2486885B" w14:textId="11869813" w:rsidR="00313EEF" w:rsidRPr="00506377" w:rsidRDefault="00313EEF" w:rsidP="00837F0B">
                  <w:pPr>
                    <w:jc w:val="center"/>
                    <w:rPr>
                      <w:sz w:val="15"/>
                      <w:szCs w:val="15"/>
                    </w:rPr>
                  </w:pPr>
                  <w:r w:rsidRPr="00506377">
                    <w:rPr>
                      <w:sz w:val="15"/>
                      <w:szCs w:val="15"/>
                    </w:rPr>
                    <w:t>10.75</w:t>
                  </w:r>
                </w:p>
              </w:tc>
              <w:tc>
                <w:tcPr>
                  <w:tcW w:w="871" w:type="dxa"/>
                </w:tcPr>
                <w:p w14:paraId="5829E1D3" w14:textId="4B59C1C6" w:rsidR="00313EEF" w:rsidRPr="00506377" w:rsidRDefault="00313EEF" w:rsidP="00837F0B">
                  <w:pPr>
                    <w:jc w:val="center"/>
                    <w:rPr>
                      <w:sz w:val="15"/>
                      <w:szCs w:val="15"/>
                    </w:rPr>
                  </w:pPr>
                  <w:r w:rsidRPr="00506377">
                    <w:rPr>
                      <w:sz w:val="15"/>
                      <w:szCs w:val="15"/>
                    </w:rPr>
                    <w:t>9.61</w:t>
                  </w:r>
                </w:p>
              </w:tc>
              <w:tc>
                <w:tcPr>
                  <w:tcW w:w="871" w:type="dxa"/>
                </w:tcPr>
                <w:p w14:paraId="59C94287" w14:textId="38301022" w:rsidR="00313EEF" w:rsidRPr="00506377" w:rsidRDefault="00313EEF" w:rsidP="00837F0B">
                  <w:pPr>
                    <w:jc w:val="center"/>
                    <w:rPr>
                      <w:sz w:val="15"/>
                      <w:szCs w:val="15"/>
                    </w:rPr>
                  </w:pPr>
                  <w:r w:rsidRPr="00506377">
                    <w:rPr>
                      <w:sz w:val="15"/>
                      <w:szCs w:val="15"/>
                    </w:rPr>
                    <w:t>9.45</w:t>
                  </w:r>
                </w:p>
              </w:tc>
              <w:tc>
                <w:tcPr>
                  <w:tcW w:w="871" w:type="dxa"/>
                </w:tcPr>
                <w:p w14:paraId="190A1DF2" w14:textId="2120855C" w:rsidR="00313EEF" w:rsidRPr="00506377" w:rsidRDefault="00313EEF" w:rsidP="00837F0B">
                  <w:pPr>
                    <w:jc w:val="center"/>
                    <w:rPr>
                      <w:sz w:val="15"/>
                      <w:szCs w:val="15"/>
                    </w:rPr>
                  </w:pPr>
                  <w:r w:rsidRPr="00506377">
                    <w:rPr>
                      <w:sz w:val="15"/>
                      <w:szCs w:val="15"/>
                    </w:rPr>
                    <w:t>8.39</w:t>
                  </w:r>
                </w:p>
              </w:tc>
              <w:tc>
                <w:tcPr>
                  <w:tcW w:w="840" w:type="dxa"/>
                </w:tcPr>
                <w:p w14:paraId="342B8BC8" w14:textId="22B3396F" w:rsidR="00313EEF" w:rsidRPr="00506377" w:rsidRDefault="00313EEF" w:rsidP="00837F0B">
                  <w:pPr>
                    <w:jc w:val="center"/>
                    <w:rPr>
                      <w:sz w:val="15"/>
                      <w:szCs w:val="15"/>
                    </w:rPr>
                  </w:pPr>
                  <w:r w:rsidRPr="00506377">
                    <w:rPr>
                      <w:sz w:val="15"/>
                      <w:szCs w:val="15"/>
                    </w:rPr>
                    <w:t>9.04</w:t>
                  </w:r>
                </w:p>
              </w:tc>
            </w:tr>
            <w:tr w:rsidR="00425273" w:rsidRPr="00506377" w14:paraId="3DD5E939" w14:textId="77777777" w:rsidTr="00425273">
              <w:trPr>
                <w:trHeight w:val="70"/>
              </w:trPr>
              <w:tc>
                <w:tcPr>
                  <w:tcW w:w="1567" w:type="dxa"/>
                </w:tcPr>
                <w:p w14:paraId="5964CDC4" w14:textId="50AF252D" w:rsidR="00313EEF" w:rsidRPr="00506377" w:rsidRDefault="00313EEF" w:rsidP="00425273">
                  <w:pPr>
                    <w:rPr>
                      <w:sz w:val="15"/>
                      <w:szCs w:val="15"/>
                    </w:rPr>
                  </w:pPr>
                  <w:r w:rsidRPr="00506377">
                    <w:rPr>
                      <w:sz w:val="15"/>
                      <w:szCs w:val="15"/>
                    </w:rPr>
                    <w:t>Dividend Per share</w:t>
                  </w:r>
                </w:p>
              </w:tc>
              <w:tc>
                <w:tcPr>
                  <w:tcW w:w="998" w:type="dxa"/>
                </w:tcPr>
                <w:p w14:paraId="0B36B8CA" w14:textId="1B01FA59" w:rsidR="00313EEF" w:rsidRPr="00506377" w:rsidRDefault="00313EEF" w:rsidP="00425273">
                  <w:pPr>
                    <w:ind w:left="184"/>
                    <w:rPr>
                      <w:sz w:val="15"/>
                      <w:szCs w:val="15"/>
                    </w:rPr>
                  </w:pPr>
                  <w:r w:rsidRPr="00506377">
                    <w:rPr>
                      <w:sz w:val="15"/>
                      <w:szCs w:val="15"/>
                    </w:rPr>
                    <w:t>1.17</w:t>
                  </w:r>
                </w:p>
              </w:tc>
              <w:tc>
                <w:tcPr>
                  <w:tcW w:w="991" w:type="dxa"/>
                </w:tcPr>
                <w:p w14:paraId="4D5BD607" w14:textId="01DCBCF4" w:rsidR="00313EEF" w:rsidRPr="00506377" w:rsidRDefault="00313EEF" w:rsidP="00837F0B">
                  <w:pPr>
                    <w:jc w:val="center"/>
                    <w:rPr>
                      <w:sz w:val="15"/>
                      <w:szCs w:val="15"/>
                    </w:rPr>
                  </w:pPr>
                  <w:r w:rsidRPr="00506377">
                    <w:rPr>
                      <w:sz w:val="15"/>
                      <w:szCs w:val="15"/>
                    </w:rPr>
                    <w:t>1.24</w:t>
                  </w:r>
                </w:p>
              </w:tc>
              <w:tc>
                <w:tcPr>
                  <w:tcW w:w="871" w:type="dxa"/>
                </w:tcPr>
                <w:p w14:paraId="572EB0AB" w14:textId="7ABADCA2" w:rsidR="00313EEF" w:rsidRPr="00506377" w:rsidRDefault="00313EEF" w:rsidP="00837F0B">
                  <w:pPr>
                    <w:jc w:val="center"/>
                    <w:rPr>
                      <w:sz w:val="15"/>
                      <w:szCs w:val="15"/>
                    </w:rPr>
                  </w:pPr>
                  <w:r w:rsidRPr="00506377">
                    <w:rPr>
                      <w:sz w:val="15"/>
                      <w:szCs w:val="15"/>
                    </w:rPr>
                    <w:t>1.34</w:t>
                  </w:r>
                </w:p>
              </w:tc>
              <w:tc>
                <w:tcPr>
                  <w:tcW w:w="871" w:type="dxa"/>
                </w:tcPr>
                <w:p w14:paraId="353C8011" w14:textId="74B09C8B" w:rsidR="00313EEF" w:rsidRPr="00506377" w:rsidRDefault="00313EEF" w:rsidP="00837F0B">
                  <w:pPr>
                    <w:jc w:val="center"/>
                    <w:rPr>
                      <w:sz w:val="15"/>
                      <w:szCs w:val="15"/>
                    </w:rPr>
                  </w:pPr>
                  <w:r w:rsidRPr="00506377">
                    <w:rPr>
                      <w:sz w:val="15"/>
                      <w:szCs w:val="15"/>
                    </w:rPr>
                    <w:t>0.34</w:t>
                  </w:r>
                </w:p>
              </w:tc>
              <w:tc>
                <w:tcPr>
                  <w:tcW w:w="871" w:type="dxa"/>
                </w:tcPr>
                <w:p w14:paraId="6D09CDE3" w14:textId="600B386E" w:rsidR="00313EEF" w:rsidRPr="00506377" w:rsidRDefault="00313EEF" w:rsidP="00837F0B">
                  <w:pPr>
                    <w:jc w:val="center"/>
                    <w:rPr>
                      <w:sz w:val="15"/>
                      <w:szCs w:val="15"/>
                    </w:rPr>
                  </w:pPr>
                  <w:r w:rsidRPr="00506377">
                    <w:rPr>
                      <w:sz w:val="15"/>
                      <w:szCs w:val="15"/>
                    </w:rPr>
                    <w:t>0.34</w:t>
                  </w:r>
                </w:p>
              </w:tc>
              <w:tc>
                <w:tcPr>
                  <w:tcW w:w="840" w:type="dxa"/>
                </w:tcPr>
                <w:p w14:paraId="2C2C62C5" w14:textId="4B75622B" w:rsidR="00313EEF" w:rsidRPr="00506377" w:rsidRDefault="00313EEF" w:rsidP="00837F0B">
                  <w:pPr>
                    <w:jc w:val="center"/>
                    <w:rPr>
                      <w:sz w:val="15"/>
                      <w:szCs w:val="15"/>
                    </w:rPr>
                  </w:pPr>
                  <w:r w:rsidRPr="00506377">
                    <w:rPr>
                      <w:sz w:val="15"/>
                      <w:szCs w:val="15"/>
                    </w:rPr>
                    <w:t>0.36</w:t>
                  </w:r>
                </w:p>
              </w:tc>
            </w:tr>
          </w:tbl>
          <w:p w14:paraId="6F98E45C" w14:textId="77777777" w:rsidR="00830F06" w:rsidRPr="00506377" w:rsidRDefault="00830F06" w:rsidP="00443ED9">
            <w:pPr>
              <w:jc w:val="both"/>
              <w:rPr>
                <w:b/>
                <w:sz w:val="15"/>
                <w:szCs w:val="15"/>
              </w:rPr>
            </w:pPr>
          </w:p>
        </w:tc>
        <w:tc>
          <w:tcPr>
            <w:tcW w:w="4320" w:type="dxa"/>
          </w:tcPr>
          <w:p w14:paraId="3276E349" w14:textId="77777777" w:rsidR="00830F06" w:rsidRPr="00506377" w:rsidRDefault="00830F06" w:rsidP="00443ED9">
            <w:pPr>
              <w:jc w:val="both"/>
              <w:rPr>
                <w:b/>
                <w:sz w:val="15"/>
                <w:szCs w:val="15"/>
              </w:rPr>
            </w:pPr>
          </w:p>
          <w:tbl>
            <w:tblPr>
              <w:tblStyle w:val="TableGrid"/>
              <w:tblW w:w="0" w:type="auto"/>
              <w:tblLook w:val="04A0" w:firstRow="1" w:lastRow="0" w:firstColumn="1" w:lastColumn="0" w:noHBand="0" w:noVBand="1"/>
            </w:tblPr>
            <w:tblGrid>
              <w:gridCol w:w="1908"/>
              <w:gridCol w:w="882"/>
              <w:gridCol w:w="1327"/>
            </w:tblGrid>
            <w:tr w:rsidR="0060598F" w:rsidRPr="00506377" w14:paraId="4C54BF94" w14:textId="77777777" w:rsidTr="00B17D67">
              <w:tc>
                <w:tcPr>
                  <w:tcW w:w="1908" w:type="dxa"/>
                  <w:shd w:val="clear" w:color="auto" w:fill="DBE5F1" w:themeFill="accent1" w:themeFillTint="33"/>
                </w:tcPr>
                <w:p w14:paraId="15FA463B" w14:textId="77777777" w:rsidR="00830F06" w:rsidRPr="00506377" w:rsidRDefault="00830F06" w:rsidP="00830F06">
                  <w:pPr>
                    <w:rPr>
                      <w:sz w:val="15"/>
                      <w:szCs w:val="15"/>
                    </w:rPr>
                  </w:pPr>
                </w:p>
              </w:tc>
              <w:tc>
                <w:tcPr>
                  <w:tcW w:w="882" w:type="dxa"/>
                  <w:shd w:val="clear" w:color="auto" w:fill="DBE5F1" w:themeFill="accent1" w:themeFillTint="33"/>
                </w:tcPr>
                <w:p w14:paraId="3D650FB0" w14:textId="77777777" w:rsidR="00830F06" w:rsidRPr="00506377" w:rsidRDefault="00830F06" w:rsidP="00830F06">
                  <w:pPr>
                    <w:rPr>
                      <w:sz w:val="15"/>
                      <w:szCs w:val="15"/>
                    </w:rPr>
                  </w:pPr>
                  <w:r w:rsidRPr="00506377">
                    <w:rPr>
                      <w:sz w:val="15"/>
                      <w:szCs w:val="15"/>
                    </w:rPr>
                    <w:t>2001-14</w:t>
                  </w:r>
                </w:p>
              </w:tc>
              <w:tc>
                <w:tcPr>
                  <w:tcW w:w="1327" w:type="dxa"/>
                  <w:shd w:val="clear" w:color="auto" w:fill="DBE5F1" w:themeFill="accent1" w:themeFillTint="33"/>
                </w:tcPr>
                <w:p w14:paraId="6917AD00" w14:textId="03E9B159" w:rsidR="00830F06" w:rsidRPr="00506377" w:rsidRDefault="00830F06" w:rsidP="009F74C2">
                  <w:pPr>
                    <w:rPr>
                      <w:sz w:val="15"/>
                      <w:szCs w:val="15"/>
                    </w:rPr>
                  </w:pPr>
                  <w:r w:rsidRPr="00506377">
                    <w:rPr>
                      <w:sz w:val="15"/>
                      <w:szCs w:val="15"/>
                    </w:rPr>
                    <w:t>2015-</w:t>
                  </w:r>
                  <w:r w:rsidR="009F74C2" w:rsidRPr="00506377">
                    <w:rPr>
                      <w:sz w:val="15"/>
                      <w:szCs w:val="15"/>
                    </w:rPr>
                    <w:t>20</w:t>
                  </w:r>
                </w:p>
              </w:tc>
            </w:tr>
            <w:tr w:rsidR="0060598F" w:rsidRPr="00506377" w14:paraId="5A9DD5F4" w14:textId="77777777" w:rsidTr="00B17D67">
              <w:tc>
                <w:tcPr>
                  <w:tcW w:w="1908" w:type="dxa"/>
                </w:tcPr>
                <w:p w14:paraId="6A465DCA" w14:textId="72272EAA" w:rsidR="00830F06" w:rsidRPr="00506377" w:rsidRDefault="002F3CA6" w:rsidP="00830F06">
                  <w:pPr>
                    <w:rPr>
                      <w:sz w:val="15"/>
                      <w:szCs w:val="15"/>
                    </w:rPr>
                  </w:pPr>
                  <w:r w:rsidRPr="00506377">
                    <w:rPr>
                      <w:sz w:val="15"/>
                      <w:szCs w:val="15"/>
                    </w:rPr>
                    <w:t>Avg.  Revenue G</w:t>
                  </w:r>
                  <w:r w:rsidR="00830F06" w:rsidRPr="00506377">
                    <w:rPr>
                      <w:sz w:val="15"/>
                      <w:szCs w:val="15"/>
                    </w:rPr>
                    <w:t xml:space="preserve">rowth </w:t>
                  </w:r>
                </w:p>
              </w:tc>
              <w:tc>
                <w:tcPr>
                  <w:tcW w:w="882" w:type="dxa"/>
                </w:tcPr>
                <w:p w14:paraId="28890419" w14:textId="05770D11" w:rsidR="00830F06" w:rsidRPr="00506377" w:rsidRDefault="00C167A6" w:rsidP="00830F06">
                  <w:pPr>
                    <w:rPr>
                      <w:sz w:val="15"/>
                      <w:szCs w:val="15"/>
                    </w:rPr>
                  </w:pPr>
                  <w:r w:rsidRPr="00506377">
                    <w:rPr>
                      <w:sz w:val="15"/>
                      <w:szCs w:val="15"/>
                    </w:rPr>
                    <w:t>-0.19%</w:t>
                  </w:r>
                </w:p>
              </w:tc>
              <w:tc>
                <w:tcPr>
                  <w:tcW w:w="1327" w:type="dxa"/>
                </w:tcPr>
                <w:p w14:paraId="2B6EF445" w14:textId="433D07F0" w:rsidR="00830F06" w:rsidRPr="00506377" w:rsidRDefault="00C167A6" w:rsidP="00830F06">
                  <w:pPr>
                    <w:rPr>
                      <w:sz w:val="15"/>
                      <w:szCs w:val="15"/>
                    </w:rPr>
                  </w:pPr>
                  <w:r w:rsidRPr="00506377">
                    <w:rPr>
                      <w:sz w:val="15"/>
                      <w:szCs w:val="15"/>
                    </w:rPr>
                    <w:t>8.29%</w:t>
                  </w:r>
                </w:p>
              </w:tc>
            </w:tr>
            <w:tr w:rsidR="0060598F" w:rsidRPr="00506377" w14:paraId="49A71F37" w14:textId="77777777" w:rsidTr="00B17D67">
              <w:tc>
                <w:tcPr>
                  <w:tcW w:w="1908" w:type="dxa"/>
                </w:tcPr>
                <w:p w14:paraId="7425D824" w14:textId="64361ECD" w:rsidR="00830F06" w:rsidRPr="00506377" w:rsidRDefault="00830F06" w:rsidP="00830F06">
                  <w:pPr>
                    <w:rPr>
                      <w:sz w:val="15"/>
                      <w:szCs w:val="15"/>
                    </w:rPr>
                  </w:pPr>
                  <w:r w:rsidRPr="00506377">
                    <w:rPr>
                      <w:sz w:val="15"/>
                      <w:szCs w:val="15"/>
                    </w:rPr>
                    <w:t>Avg</w:t>
                  </w:r>
                  <w:r w:rsidR="002F3CA6" w:rsidRPr="00506377">
                    <w:rPr>
                      <w:sz w:val="15"/>
                      <w:szCs w:val="15"/>
                    </w:rPr>
                    <w:t>.</w:t>
                  </w:r>
                  <w:r w:rsidRPr="00506377">
                    <w:rPr>
                      <w:sz w:val="15"/>
                      <w:szCs w:val="15"/>
                    </w:rPr>
                    <w:t xml:space="preserve">  EBITDA Margin </w:t>
                  </w:r>
                </w:p>
              </w:tc>
              <w:tc>
                <w:tcPr>
                  <w:tcW w:w="882" w:type="dxa"/>
                </w:tcPr>
                <w:p w14:paraId="6AE1C97F" w14:textId="5A76377E" w:rsidR="00830F06" w:rsidRPr="00506377" w:rsidRDefault="00C167A6" w:rsidP="00830F06">
                  <w:pPr>
                    <w:rPr>
                      <w:sz w:val="15"/>
                      <w:szCs w:val="15"/>
                    </w:rPr>
                  </w:pPr>
                  <w:r w:rsidRPr="00506377">
                    <w:rPr>
                      <w:sz w:val="15"/>
                      <w:szCs w:val="15"/>
                    </w:rPr>
                    <w:t>60.72%</w:t>
                  </w:r>
                </w:p>
              </w:tc>
              <w:tc>
                <w:tcPr>
                  <w:tcW w:w="1327" w:type="dxa"/>
                </w:tcPr>
                <w:p w14:paraId="72FC070B" w14:textId="043BCEBE" w:rsidR="00830F06" w:rsidRPr="00506377" w:rsidRDefault="00C167A6" w:rsidP="00830F06">
                  <w:pPr>
                    <w:rPr>
                      <w:sz w:val="15"/>
                      <w:szCs w:val="15"/>
                    </w:rPr>
                  </w:pPr>
                  <w:r w:rsidRPr="00506377">
                    <w:rPr>
                      <w:sz w:val="15"/>
                      <w:szCs w:val="15"/>
                    </w:rPr>
                    <w:t>50.19%</w:t>
                  </w:r>
                </w:p>
              </w:tc>
            </w:tr>
            <w:tr w:rsidR="0060598F" w:rsidRPr="00506377" w14:paraId="5B01660D" w14:textId="77777777" w:rsidTr="00B17D67">
              <w:tc>
                <w:tcPr>
                  <w:tcW w:w="1908" w:type="dxa"/>
                </w:tcPr>
                <w:p w14:paraId="2B656250" w14:textId="38CF8CA6" w:rsidR="00830F06" w:rsidRPr="00506377" w:rsidRDefault="00830F06" w:rsidP="00B73900">
                  <w:pPr>
                    <w:rPr>
                      <w:sz w:val="15"/>
                      <w:szCs w:val="15"/>
                    </w:rPr>
                  </w:pPr>
                  <w:r w:rsidRPr="00506377">
                    <w:rPr>
                      <w:sz w:val="15"/>
                      <w:szCs w:val="15"/>
                    </w:rPr>
                    <w:t>Avg</w:t>
                  </w:r>
                  <w:r w:rsidR="002F3CA6" w:rsidRPr="00506377">
                    <w:rPr>
                      <w:sz w:val="15"/>
                      <w:szCs w:val="15"/>
                    </w:rPr>
                    <w:t>.</w:t>
                  </w:r>
                  <w:r w:rsidRPr="00506377">
                    <w:rPr>
                      <w:sz w:val="15"/>
                      <w:szCs w:val="15"/>
                    </w:rPr>
                    <w:t xml:space="preserve">  </w:t>
                  </w:r>
                  <w:r w:rsidR="00B73900" w:rsidRPr="00506377">
                    <w:rPr>
                      <w:sz w:val="15"/>
                      <w:szCs w:val="15"/>
                    </w:rPr>
                    <w:t>NOPAT</w:t>
                  </w:r>
                  <w:r w:rsidRPr="00506377">
                    <w:rPr>
                      <w:sz w:val="15"/>
                      <w:szCs w:val="15"/>
                    </w:rPr>
                    <w:t xml:space="preserve"> </w:t>
                  </w:r>
                  <w:r w:rsidR="00B73900" w:rsidRPr="00506377">
                    <w:rPr>
                      <w:sz w:val="15"/>
                      <w:szCs w:val="15"/>
                    </w:rPr>
                    <w:t>Margin</w:t>
                  </w:r>
                </w:p>
              </w:tc>
              <w:tc>
                <w:tcPr>
                  <w:tcW w:w="882" w:type="dxa"/>
                </w:tcPr>
                <w:p w14:paraId="6B796F07" w14:textId="176655F6" w:rsidR="00830F06" w:rsidRPr="00506377" w:rsidRDefault="00C167A6" w:rsidP="00830F06">
                  <w:pPr>
                    <w:rPr>
                      <w:sz w:val="15"/>
                      <w:szCs w:val="15"/>
                    </w:rPr>
                  </w:pPr>
                  <w:r w:rsidRPr="00506377">
                    <w:rPr>
                      <w:sz w:val="15"/>
                      <w:szCs w:val="15"/>
                    </w:rPr>
                    <w:t>34.75%</w:t>
                  </w:r>
                </w:p>
              </w:tc>
              <w:tc>
                <w:tcPr>
                  <w:tcW w:w="1327" w:type="dxa"/>
                </w:tcPr>
                <w:p w14:paraId="2CA542D3" w14:textId="1E1B2011" w:rsidR="00830F06" w:rsidRPr="00506377" w:rsidRDefault="00B17D67" w:rsidP="00830F06">
                  <w:pPr>
                    <w:rPr>
                      <w:sz w:val="15"/>
                      <w:szCs w:val="15"/>
                    </w:rPr>
                  </w:pPr>
                  <w:r w:rsidRPr="00506377">
                    <w:rPr>
                      <w:sz w:val="15"/>
                      <w:szCs w:val="15"/>
                    </w:rPr>
                    <w:t>24.99%</w:t>
                  </w:r>
                </w:p>
              </w:tc>
            </w:tr>
            <w:tr w:rsidR="00830F06" w:rsidRPr="00506377" w14:paraId="42F79EE5" w14:textId="77777777" w:rsidTr="00B17D67">
              <w:tc>
                <w:tcPr>
                  <w:tcW w:w="2790" w:type="dxa"/>
                  <w:gridSpan w:val="2"/>
                </w:tcPr>
                <w:p w14:paraId="11317549" w14:textId="77777777" w:rsidR="00830F06" w:rsidRPr="00506377" w:rsidRDefault="00830F06" w:rsidP="00830F06">
                  <w:pPr>
                    <w:rPr>
                      <w:sz w:val="15"/>
                      <w:szCs w:val="15"/>
                    </w:rPr>
                  </w:pPr>
                  <w:r w:rsidRPr="00506377">
                    <w:rPr>
                      <w:sz w:val="15"/>
                      <w:szCs w:val="15"/>
                    </w:rPr>
                    <w:t>Cost of Debt</w:t>
                  </w:r>
                </w:p>
              </w:tc>
              <w:tc>
                <w:tcPr>
                  <w:tcW w:w="1327" w:type="dxa"/>
                </w:tcPr>
                <w:p w14:paraId="316D237F" w14:textId="13614119" w:rsidR="00830F06" w:rsidRPr="00506377" w:rsidRDefault="00B17D67" w:rsidP="00A008CA">
                  <w:pPr>
                    <w:rPr>
                      <w:sz w:val="15"/>
                      <w:szCs w:val="15"/>
                    </w:rPr>
                  </w:pPr>
                  <w:r w:rsidRPr="00506377">
                    <w:rPr>
                      <w:sz w:val="15"/>
                      <w:szCs w:val="15"/>
                    </w:rPr>
                    <w:t>1.66% (after tax)</w:t>
                  </w:r>
                </w:p>
              </w:tc>
            </w:tr>
            <w:tr w:rsidR="00830F06" w:rsidRPr="00506377" w14:paraId="67214880" w14:textId="77777777" w:rsidTr="00B17D67">
              <w:tc>
                <w:tcPr>
                  <w:tcW w:w="2790" w:type="dxa"/>
                  <w:gridSpan w:val="2"/>
                </w:tcPr>
                <w:p w14:paraId="30979647" w14:textId="77777777" w:rsidR="00830F06" w:rsidRPr="00506377" w:rsidRDefault="00830F06" w:rsidP="00830F06">
                  <w:pPr>
                    <w:rPr>
                      <w:sz w:val="15"/>
                      <w:szCs w:val="15"/>
                    </w:rPr>
                  </w:pPr>
                  <w:r w:rsidRPr="00506377">
                    <w:rPr>
                      <w:sz w:val="15"/>
                      <w:szCs w:val="15"/>
                    </w:rPr>
                    <w:t>Tax Rate</w:t>
                  </w:r>
                </w:p>
              </w:tc>
              <w:tc>
                <w:tcPr>
                  <w:tcW w:w="1327" w:type="dxa"/>
                </w:tcPr>
                <w:p w14:paraId="426CE887" w14:textId="11A9E87F" w:rsidR="00830F06" w:rsidRPr="00506377" w:rsidRDefault="00B17D67" w:rsidP="00830F06">
                  <w:pPr>
                    <w:rPr>
                      <w:sz w:val="15"/>
                      <w:szCs w:val="15"/>
                    </w:rPr>
                  </w:pPr>
                  <w:r w:rsidRPr="00506377">
                    <w:rPr>
                      <w:sz w:val="15"/>
                      <w:szCs w:val="15"/>
                    </w:rPr>
                    <w:t>42%</w:t>
                  </w:r>
                </w:p>
              </w:tc>
            </w:tr>
            <w:tr w:rsidR="00830F06" w:rsidRPr="00506377" w14:paraId="0F9564DE" w14:textId="77777777" w:rsidTr="00B17D67">
              <w:tc>
                <w:tcPr>
                  <w:tcW w:w="2790" w:type="dxa"/>
                  <w:gridSpan w:val="2"/>
                </w:tcPr>
                <w:p w14:paraId="02E73EF4" w14:textId="77777777" w:rsidR="00830F06" w:rsidRPr="00506377" w:rsidRDefault="00830F06" w:rsidP="00830F06">
                  <w:pPr>
                    <w:rPr>
                      <w:sz w:val="15"/>
                      <w:szCs w:val="15"/>
                    </w:rPr>
                  </w:pPr>
                  <w:r w:rsidRPr="00506377">
                    <w:rPr>
                      <w:sz w:val="15"/>
                      <w:szCs w:val="15"/>
                    </w:rPr>
                    <w:t xml:space="preserve">Cost of Equity </w:t>
                  </w:r>
                </w:p>
              </w:tc>
              <w:tc>
                <w:tcPr>
                  <w:tcW w:w="1327" w:type="dxa"/>
                </w:tcPr>
                <w:p w14:paraId="7C66D20E" w14:textId="3E490C14" w:rsidR="00830F06" w:rsidRPr="00506377" w:rsidRDefault="00B17D67" w:rsidP="00830F06">
                  <w:pPr>
                    <w:rPr>
                      <w:sz w:val="15"/>
                      <w:szCs w:val="15"/>
                    </w:rPr>
                  </w:pPr>
                  <w:r w:rsidRPr="00506377">
                    <w:rPr>
                      <w:sz w:val="15"/>
                      <w:szCs w:val="15"/>
                    </w:rPr>
                    <w:t>7.47%</w:t>
                  </w:r>
                </w:p>
              </w:tc>
            </w:tr>
            <w:tr w:rsidR="00830F06" w:rsidRPr="00506377" w14:paraId="19A1F6C8" w14:textId="77777777" w:rsidTr="00B17D67">
              <w:tc>
                <w:tcPr>
                  <w:tcW w:w="2790" w:type="dxa"/>
                  <w:gridSpan w:val="2"/>
                </w:tcPr>
                <w:p w14:paraId="714B53EA" w14:textId="77777777" w:rsidR="00830F06" w:rsidRPr="00506377" w:rsidRDefault="00830F06" w:rsidP="00830F06">
                  <w:pPr>
                    <w:rPr>
                      <w:sz w:val="15"/>
                      <w:szCs w:val="15"/>
                    </w:rPr>
                  </w:pPr>
                  <w:r w:rsidRPr="00506377">
                    <w:rPr>
                      <w:sz w:val="15"/>
                      <w:szCs w:val="15"/>
                    </w:rPr>
                    <w:t>WACC</w:t>
                  </w:r>
                </w:p>
              </w:tc>
              <w:tc>
                <w:tcPr>
                  <w:tcW w:w="1327" w:type="dxa"/>
                </w:tcPr>
                <w:p w14:paraId="71DF2BD8" w14:textId="4E136E2B" w:rsidR="00830F06" w:rsidRPr="00506377" w:rsidRDefault="00C167A6" w:rsidP="00A008CA">
                  <w:pPr>
                    <w:rPr>
                      <w:sz w:val="15"/>
                      <w:szCs w:val="15"/>
                    </w:rPr>
                  </w:pPr>
                  <w:r w:rsidRPr="00506377">
                    <w:rPr>
                      <w:sz w:val="15"/>
                      <w:szCs w:val="15"/>
                    </w:rPr>
                    <w:t>6.2%</w:t>
                  </w:r>
                </w:p>
              </w:tc>
            </w:tr>
            <w:tr w:rsidR="00830F06" w:rsidRPr="00506377" w14:paraId="48232758" w14:textId="77777777" w:rsidTr="00B17D67">
              <w:trPr>
                <w:trHeight w:val="197"/>
              </w:trPr>
              <w:tc>
                <w:tcPr>
                  <w:tcW w:w="2790" w:type="dxa"/>
                  <w:gridSpan w:val="2"/>
                </w:tcPr>
                <w:p w14:paraId="75850D20" w14:textId="0C27CA3A" w:rsidR="00830F06" w:rsidRPr="00506377" w:rsidRDefault="0012425D" w:rsidP="0012425D">
                  <w:pPr>
                    <w:rPr>
                      <w:sz w:val="15"/>
                      <w:szCs w:val="15"/>
                    </w:rPr>
                  </w:pPr>
                  <w:r w:rsidRPr="00506377">
                    <w:rPr>
                      <w:sz w:val="15"/>
                      <w:szCs w:val="15"/>
                    </w:rPr>
                    <w:t>Perpetuity Growth Rate (Terminal)</w:t>
                  </w:r>
                </w:p>
              </w:tc>
              <w:tc>
                <w:tcPr>
                  <w:tcW w:w="1327" w:type="dxa"/>
                </w:tcPr>
                <w:p w14:paraId="0C5586DB" w14:textId="5E4C0751" w:rsidR="00830F06" w:rsidRPr="00506377" w:rsidRDefault="00313EEF" w:rsidP="00830F06">
                  <w:pPr>
                    <w:rPr>
                      <w:sz w:val="15"/>
                      <w:szCs w:val="15"/>
                    </w:rPr>
                  </w:pPr>
                  <w:r w:rsidRPr="00506377">
                    <w:rPr>
                      <w:sz w:val="15"/>
                      <w:szCs w:val="15"/>
                    </w:rPr>
                    <w:t>4.4%</w:t>
                  </w:r>
                </w:p>
              </w:tc>
            </w:tr>
          </w:tbl>
          <w:p w14:paraId="4363BD08" w14:textId="681172B1" w:rsidR="009F0D12" w:rsidRPr="00506377" w:rsidRDefault="009F0D12" w:rsidP="009F0D12">
            <w:pPr>
              <w:jc w:val="both"/>
              <w:rPr>
                <w:b/>
                <w:sz w:val="15"/>
                <w:szCs w:val="15"/>
              </w:rPr>
            </w:pPr>
            <w:r w:rsidRPr="00506377">
              <w:rPr>
                <w:b/>
                <w:sz w:val="15"/>
                <w:szCs w:val="15"/>
              </w:rPr>
              <w:t xml:space="preserve">Analyst Opinion </w:t>
            </w:r>
          </w:p>
          <w:tbl>
            <w:tblPr>
              <w:tblStyle w:val="TableGrid"/>
              <w:tblW w:w="0" w:type="auto"/>
              <w:tblLook w:val="04A0" w:firstRow="1" w:lastRow="0" w:firstColumn="1" w:lastColumn="0" w:noHBand="0" w:noVBand="1"/>
            </w:tblPr>
            <w:tblGrid>
              <w:gridCol w:w="1363"/>
              <w:gridCol w:w="1363"/>
              <w:gridCol w:w="1363"/>
            </w:tblGrid>
            <w:tr w:rsidR="009F0D12" w:rsidRPr="00506377" w14:paraId="2502AA66" w14:textId="77777777" w:rsidTr="009A5D3B">
              <w:tc>
                <w:tcPr>
                  <w:tcW w:w="1363" w:type="dxa"/>
                  <w:shd w:val="clear" w:color="auto" w:fill="DBE5F1" w:themeFill="accent1" w:themeFillTint="33"/>
                </w:tcPr>
                <w:p w14:paraId="6457A1D0" w14:textId="508E65A5" w:rsidR="009F0D12" w:rsidRPr="00506377" w:rsidRDefault="009F0D12" w:rsidP="009F0D12">
                  <w:pPr>
                    <w:jc w:val="both"/>
                    <w:rPr>
                      <w:sz w:val="15"/>
                      <w:szCs w:val="15"/>
                    </w:rPr>
                  </w:pPr>
                  <w:r w:rsidRPr="00506377">
                    <w:rPr>
                      <w:sz w:val="15"/>
                      <w:szCs w:val="15"/>
                    </w:rPr>
                    <w:t xml:space="preserve">Buy: </w:t>
                  </w:r>
                  <w:r w:rsidR="009A5D3B" w:rsidRPr="00506377">
                    <w:rPr>
                      <w:sz w:val="15"/>
                      <w:szCs w:val="15"/>
                    </w:rPr>
                    <w:t>8</w:t>
                  </w:r>
                </w:p>
              </w:tc>
              <w:tc>
                <w:tcPr>
                  <w:tcW w:w="1363" w:type="dxa"/>
                  <w:shd w:val="clear" w:color="auto" w:fill="DBE5F1" w:themeFill="accent1" w:themeFillTint="33"/>
                </w:tcPr>
                <w:p w14:paraId="10E79476" w14:textId="01DE5891" w:rsidR="009F0D12" w:rsidRPr="00506377" w:rsidRDefault="009F0D12" w:rsidP="009F0D12">
                  <w:pPr>
                    <w:jc w:val="both"/>
                    <w:rPr>
                      <w:sz w:val="15"/>
                      <w:szCs w:val="15"/>
                    </w:rPr>
                  </w:pPr>
                  <w:r w:rsidRPr="00506377">
                    <w:rPr>
                      <w:sz w:val="15"/>
                      <w:szCs w:val="15"/>
                    </w:rPr>
                    <w:t xml:space="preserve">Hold: </w:t>
                  </w:r>
                  <w:r w:rsidR="009A5D3B" w:rsidRPr="00506377">
                    <w:rPr>
                      <w:sz w:val="15"/>
                      <w:szCs w:val="15"/>
                    </w:rPr>
                    <w:t>2</w:t>
                  </w:r>
                </w:p>
              </w:tc>
              <w:tc>
                <w:tcPr>
                  <w:tcW w:w="1363" w:type="dxa"/>
                  <w:shd w:val="clear" w:color="auto" w:fill="DBE5F1" w:themeFill="accent1" w:themeFillTint="33"/>
                </w:tcPr>
                <w:p w14:paraId="1F373BED" w14:textId="49F85C30" w:rsidR="009F0D12" w:rsidRPr="00506377" w:rsidRDefault="009F0D12" w:rsidP="009F0D12">
                  <w:pPr>
                    <w:jc w:val="both"/>
                    <w:rPr>
                      <w:sz w:val="15"/>
                      <w:szCs w:val="15"/>
                    </w:rPr>
                  </w:pPr>
                  <w:r w:rsidRPr="00506377">
                    <w:rPr>
                      <w:sz w:val="15"/>
                      <w:szCs w:val="15"/>
                    </w:rPr>
                    <w:t xml:space="preserve">Sell: </w:t>
                  </w:r>
                  <w:r w:rsidR="009A5D3B" w:rsidRPr="00506377">
                    <w:rPr>
                      <w:sz w:val="15"/>
                      <w:szCs w:val="15"/>
                    </w:rPr>
                    <w:t>0</w:t>
                  </w:r>
                </w:p>
              </w:tc>
            </w:tr>
          </w:tbl>
          <w:p w14:paraId="724FC07A" w14:textId="77777777" w:rsidR="009F0D12" w:rsidRPr="00506377" w:rsidRDefault="009F0D12" w:rsidP="009F0D12">
            <w:pPr>
              <w:jc w:val="both"/>
              <w:rPr>
                <w:b/>
                <w:sz w:val="15"/>
                <w:szCs w:val="15"/>
              </w:rPr>
            </w:pPr>
          </w:p>
          <w:tbl>
            <w:tblPr>
              <w:tblStyle w:val="TableGrid"/>
              <w:tblW w:w="4117" w:type="dxa"/>
              <w:tblLook w:val="04A0" w:firstRow="1" w:lastRow="0" w:firstColumn="1" w:lastColumn="0" w:noHBand="0" w:noVBand="1"/>
            </w:tblPr>
            <w:tblGrid>
              <w:gridCol w:w="1350"/>
              <w:gridCol w:w="1620"/>
              <w:gridCol w:w="1147"/>
            </w:tblGrid>
            <w:tr w:rsidR="009F0D12" w:rsidRPr="00506377" w14:paraId="0A705346" w14:textId="77777777" w:rsidTr="00425273">
              <w:tc>
                <w:tcPr>
                  <w:tcW w:w="1350" w:type="dxa"/>
                  <w:shd w:val="clear" w:color="auto" w:fill="DBE5F1" w:themeFill="accent1" w:themeFillTint="33"/>
                </w:tcPr>
                <w:p w14:paraId="7897F5B6" w14:textId="77777777" w:rsidR="009F0D12" w:rsidRPr="00506377" w:rsidRDefault="009F0D12" w:rsidP="009F0D12">
                  <w:pPr>
                    <w:jc w:val="both"/>
                    <w:rPr>
                      <w:sz w:val="15"/>
                      <w:szCs w:val="15"/>
                    </w:rPr>
                  </w:pPr>
                </w:p>
              </w:tc>
              <w:tc>
                <w:tcPr>
                  <w:tcW w:w="1620" w:type="dxa"/>
                  <w:shd w:val="clear" w:color="auto" w:fill="DBE5F1" w:themeFill="accent1" w:themeFillTint="33"/>
                </w:tcPr>
                <w:p w14:paraId="78BA4ECF" w14:textId="77777777" w:rsidR="009F0D12" w:rsidRPr="00506377" w:rsidRDefault="009F0D12" w:rsidP="009F0D12">
                  <w:pPr>
                    <w:jc w:val="both"/>
                    <w:rPr>
                      <w:sz w:val="15"/>
                      <w:szCs w:val="15"/>
                    </w:rPr>
                  </w:pPr>
                  <w:r w:rsidRPr="00506377">
                    <w:rPr>
                      <w:sz w:val="15"/>
                      <w:szCs w:val="15"/>
                    </w:rPr>
                    <w:t xml:space="preserve">Rating </w:t>
                  </w:r>
                </w:p>
              </w:tc>
              <w:tc>
                <w:tcPr>
                  <w:tcW w:w="1147" w:type="dxa"/>
                  <w:shd w:val="clear" w:color="auto" w:fill="DBE5F1" w:themeFill="accent1" w:themeFillTint="33"/>
                </w:tcPr>
                <w:p w14:paraId="1E6E599B" w14:textId="69E23BCF" w:rsidR="009F0D12" w:rsidRPr="00506377" w:rsidRDefault="00E40BA9" w:rsidP="009F0D12">
                  <w:pPr>
                    <w:jc w:val="both"/>
                    <w:rPr>
                      <w:sz w:val="15"/>
                      <w:szCs w:val="15"/>
                    </w:rPr>
                  </w:pPr>
                  <w:r w:rsidRPr="00506377">
                    <w:rPr>
                      <w:sz w:val="15"/>
                      <w:szCs w:val="15"/>
                    </w:rPr>
                    <w:t>Target</w:t>
                  </w:r>
                </w:p>
              </w:tc>
            </w:tr>
            <w:tr w:rsidR="009F0D12" w:rsidRPr="00506377" w14:paraId="18B2C8FA" w14:textId="77777777" w:rsidTr="00425273">
              <w:tc>
                <w:tcPr>
                  <w:tcW w:w="1350" w:type="dxa"/>
                </w:tcPr>
                <w:p w14:paraId="12374E3E" w14:textId="4C4A02B5" w:rsidR="009F0D12" w:rsidRPr="00506377" w:rsidRDefault="00F042AA" w:rsidP="009F0D12">
                  <w:pPr>
                    <w:jc w:val="both"/>
                    <w:rPr>
                      <w:sz w:val="15"/>
                      <w:szCs w:val="15"/>
                    </w:rPr>
                  </w:pPr>
                  <w:r w:rsidRPr="00506377">
                    <w:rPr>
                      <w:sz w:val="15"/>
                      <w:szCs w:val="15"/>
                    </w:rPr>
                    <w:t>S&amp;P Net</w:t>
                  </w:r>
                  <w:r w:rsidR="009F0D12" w:rsidRPr="00506377">
                    <w:rPr>
                      <w:sz w:val="15"/>
                      <w:szCs w:val="15"/>
                    </w:rPr>
                    <w:t xml:space="preserve">Advantage </w:t>
                  </w:r>
                </w:p>
              </w:tc>
              <w:tc>
                <w:tcPr>
                  <w:tcW w:w="1620" w:type="dxa"/>
                </w:tcPr>
                <w:p w14:paraId="6EC161A2" w14:textId="10389820" w:rsidR="009F0D12" w:rsidRPr="00506377" w:rsidRDefault="00313EEF" w:rsidP="009F0D12">
                  <w:pPr>
                    <w:jc w:val="both"/>
                    <w:rPr>
                      <w:sz w:val="15"/>
                      <w:szCs w:val="15"/>
                    </w:rPr>
                  </w:pPr>
                  <w:r w:rsidRPr="00506377">
                    <w:rPr>
                      <w:sz w:val="15"/>
                      <w:szCs w:val="15"/>
                    </w:rPr>
                    <w:t>Strong Buy (5 Star)</w:t>
                  </w:r>
                </w:p>
              </w:tc>
              <w:tc>
                <w:tcPr>
                  <w:tcW w:w="1147" w:type="dxa"/>
                </w:tcPr>
                <w:p w14:paraId="0BCB7E23" w14:textId="57F5690B" w:rsidR="009F0D12" w:rsidRPr="00506377" w:rsidRDefault="009A5D3B" w:rsidP="00E40BA9">
                  <w:pPr>
                    <w:jc w:val="both"/>
                    <w:rPr>
                      <w:sz w:val="15"/>
                      <w:szCs w:val="15"/>
                    </w:rPr>
                  </w:pPr>
                  <w:r w:rsidRPr="00506377">
                    <w:rPr>
                      <w:sz w:val="15"/>
                      <w:szCs w:val="15"/>
                    </w:rPr>
                    <w:t>$55.00</w:t>
                  </w:r>
                </w:p>
              </w:tc>
            </w:tr>
            <w:tr w:rsidR="009F0D12" w:rsidRPr="00506377" w14:paraId="35B4D85C" w14:textId="77777777" w:rsidTr="00425273">
              <w:trPr>
                <w:trHeight w:val="215"/>
              </w:trPr>
              <w:tc>
                <w:tcPr>
                  <w:tcW w:w="1350" w:type="dxa"/>
                </w:tcPr>
                <w:p w14:paraId="1DD4E482" w14:textId="3CAABB83" w:rsidR="009F0D12" w:rsidRPr="00506377" w:rsidRDefault="00F042AA" w:rsidP="00F042AA">
                  <w:pPr>
                    <w:jc w:val="both"/>
                    <w:rPr>
                      <w:sz w:val="15"/>
                      <w:szCs w:val="15"/>
                    </w:rPr>
                  </w:pPr>
                  <w:r w:rsidRPr="00506377">
                    <w:rPr>
                      <w:sz w:val="15"/>
                      <w:szCs w:val="15"/>
                    </w:rPr>
                    <w:t>Mornings</w:t>
                  </w:r>
                  <w:r w:rsidR="0029559F" w:rsidRPr="00506377">
                    <w:rPr>
                      <w:sz w:val="15"/>
                      <w:szCs w:val="15"/>
                    </w:rPr>
                    <w:t>tar</w:t>
                  </w:r>
                </w:p>
              </w:tc>
              <w:tc>
                <w:tcPr>
                  <w:tcW w:w="1620" w:type="dxa"/>
                </w:tcPr>
                <w:p w14:paraId="0B4EFFDC" w14:textId="08EBF3F6" w:rsidR="009F0D12" w:rsidRPr="00506377" w:rsidRDefault="009A5D3B" w:rsidP="009F0D12">
                  <w:pPr>
                    <w:jc w:val="both"/>
                    <w:rPr>
                      <w:sz w:val="15"/>
                      <w:szCs w:val="15"/>
                    </w:rPr>
                  </w:pPr>
                  <w:r w:rsidRPr="00506377">
                    <w:rPr>
                      <w:sz w:val="15"/>
                      <w:szCs w:val="15"/>
                    </w:rPr>
                    <w:t>3 star</w:t>
                  </w:r>
                </w:p>
              </w:tc>
              <w:tc>
                <w:tcPr>
                  <w:tcW w:w="1147" w:type="dxa"/>
                </w:tcPr>
                <w:p w14:paraId="70BA49F9" w14:textId="4C3D8512" w:rsidR="009F0D12" w:rsidRPr="00506377" w:rsidRDefault="00967984" w:rsidP="009F0D12">
                  <w:pPr>
                    <w:jc w:val="both"/>
                    <w:rPr>
                      <w:sz w:val="15"/>
                      <w:szCs w:val="15"/>
                    </w:rPr>
                  </w:pPr>
                  <w:r w:rsidRPr="00506377">
                    <w:rPr>
                      <w:sz w:val="15"/>
                      <w:szCs w:val="15"/>
                    </w:rPr>
                    <w:t>N/A</w:t>
                  </w:r>
                </w:p>
              </w:tc>
            </w:tr>
            <w:tr w:rsidR="009F0D12" w:rsidRPr="00506377" w14:paraId="0BBF9B66" w14:textId="77777777" w:rsidTr="00425273">
              <w:trPr>
                <w:trHeight w:val="215"/>
              </w:trPr>
              <w:tc>
                <w:tcPr>
                  <w:tcW w:w="1350" w:type="dxa"/>
                </w:tcPr>
                <w:p w14:paraId="0E7E15E7" w14:textId="50B93F2B" w:rsidR="009F0D12" w:rsidRPr="00506377" w:rsidRDefault="009F0D12" w:rsidP="009F0D12">
                  <w:pPr>
                    <w:jc w:val="both"/>
                    <w:rPr>
                      <w:sz w:val="15"/>
                      <w:szCs w:val="15"/>
                    </w:rPr>
                  </w:pPr>
                  <w:r w:rsidRPr="00506377">
                    <w:rPr>
                      <w:sz w:val="15"/>
                      <w:szCs w:val="15"/>
                    </w:rPr>
                    <w:t xml:space="preserve">Value Line </w:t>
                  </w:r>
                </w:p>
              </w:tc>
              <w:tc>
                <w:tcPr>
                  <w:tcW w:w="1620" w:type="dxa"/>
                </w:tcPr>
                <w:p w14:paraId="7CCBA009" w14:textId="77777777" w:rsidR="0001176B" w:rsidRPr="00506377" w:rsidRDefault="009A5D3B" w:rsidP="009F0D12">
                  <w:pPr>
                    <w:jc w:val="both"/>
                    <w:rPr>
                      <w:sz w:val="15"/>
                      <w:szCs w:val="15"/>
                    </w:rPr>
                  </w:pPr>
                  <w:r w:rsidRPr="00506377">
                    <w:rPr>
                      <w:sz w:val="15"/>
                      <w:szCs w:val="15"/>
                    </w:rPr>
                    <w:t>Timeliness 1</w:t>
                  </w:r>
                </w:p>
                <w:p w14:paraId="427A7E0B" w14:textId="3F6C9D97" w:rsidR="009A5D3B" w:rsidRPr="00506377" w:rsidRDefault="009A5D3B" w:rsidP="009F0D12">
                  <w:pPr>
                    <w:jc w:val="both"/>
                    <w:rPr>
                      <w:sz w:val="15"/>
                      <w:szCs w:val="15"/>
                    </w:rPr>
                  </w:pPr>
                  <w:r w:rsidRPr="00506377">
                    <w:rPr>
                      <w:sz w:val="15"/>
                      <w:szCs w:val="15"/>
                    </w:rPr>
                    <w:t>Safety 2</w:t>
                  </w:r>
                </w:p>
                <w:p w14:paraId="161AF23F" w14:textId="44E685DE" w:rsidR="009A5D3B" w:rsidRPr="00506377" w:rsidRDefault="009A5D3B" w:rsidP="009F0D12">
                  <w:pPr>
                    <w:jc w:val="both"/>
                    <w:rPr>
                      <w:sz w:val="15"/>
                      <w:szCs w:val="15"/>
                    </w:rPr>
                  </w:pPr>
                  <w:r w:rsidRPr="00506377">
                    <w:rPr>
                      <w:sz w:val="15"/>
                      <w:szCs w:val="15"/>
                    </w:rPr>
                    <w:t>Financial Strength A</w:t>
                  </w:r>
                </w:p>
              </w:tc>
              <w:tc>
                <w:tcPr>
                  <w:tcW w:w="1147" w:type="dxa"/>
                </w:tcPr>
                <w:p w14:paraId="22CC1EA0" w14:textId="5AAA7196" w:rsidR="009F0D12" w:rsidRPr="00506377" w:rsidRDefault="009A5D3B" w:rsidP="009F0D12">
                  <w:pPr>
                    <w:jc w:val="both"/>
                    <w:rPr>
                      <w:sz w:val="15"/>
                      <w:szCs w:val="15"/>
                    </w:rPr>
                  </w:pPr>
                  <w:r w:rsidRPr="00506377">
                    <w:rPr>
                      <w:sz w:val="15"/>
                      <w:szCs w:val="15"/>
                    </w:rPr>
                    <w:t>$40-$55</w:t>
                  </w:r>
                </w:p>
              </w:tc>
            </w:tr>
          </w:tbl>
          <w:p w14:paraId="577D83D9" w14:textId="7042568B" w:rsidR="002D3CFC" w:rsidRPr="00506377" w:rsidRDefault="002D3CFC" w:rsidP="00443ED9">
            <w:pPr>
              <w:jc w:val="both"/>
              <w:rPr>
                <w:b/>
                <w:sz w:val="15"/>
                <w:szCs w:val="15"/>
              </w:rPr>
            </w:pPr>
          </w:p>
        </w:tc>
      </w:tr>
    </w:tbl>
    <w:p w14:paraId="2B589A9D" w14:textId="77777777" w:rsidR="00830F06" w:rsidRPr="00506377" w:rsidRDefault="00830F06" w:rsidP="00443ED9">
      <w:pPr>
        <w:ind w:left="-1440"/>
        <w:jc w:val="both"/>
        <w:rPr>
          <w:b/>
          <w:sz w:val="15"/>
          <w:szCs w:val="15"/>
        </w:rPr>
      </w:pPr>
    </w:p>
    <w:tbl>
      <w:tblPr>
        <w:tblStyle w:val="TableGrid"/>
        <w:tblW w:w="11808" w:type="dxa"/>
        <w:tblInd w:w="-1440" w:type="dxa"/>
        <w:tblLook w:val="04A0" w:firstRow="1" w:lastRow="0" w:firstColumn="1" w:lastColumn="0" w:noHBand="0" w:noVBand="1"/>
      </w:tblPr>
      <w:tblGrid>
        <w:gridCol w:w="7483"/>
        <w:gridCol w:w="4392"/>
      </w:tblGrid>
      <w:tr w:rsidR="004F2EAA" w:rsidRPr="00506377" w14:paraId="660DEC2C" w14:textId="77777777" w:rsidTr="00034A52">
        <w:tc>
          <w:tcPr>
            <w:tcW w:w="7488" w:type="dxa"/>
            <w:shd w:val="clear" w:color="auto" w:fill="365F91" w:themeFill="accent1" w:themeFillShade="BF"/>
          </w:tcPr>
          <w:p w14:paraId="1BAF6900" w14:textId="27A2E398" w:rsidR="004F2EAA" w:rsidRPr="00506377" w:rsidRDefault="004F2EAA" w:rsidP="004F2EAA">
            <w:pPr>
              <w:rPr>
                <w:b/>
                <w:color w:val="FFFFFF" w:themeColor="background1"/>
                <w:sz w:val="15"/>
                <w:szCs w:val="15"/>
              </w:rPr>
            </w:pPr>
            <w:r w:rsidRPr="00506377">
              <w:rPr>
                <w:b/>
                <w:color w:val="FFFFFF" w:themeColor="background1"/>
                <w:sz w:val="15"/>
                <w:szCs w:val="15"/>
              </w:rPr>
              <w:t>Relative Valuation</w:t>
            </w:r>
          </w:p>
        </w:tc>
        <w:tc>
          <w:tcPr>
            <w:tcW w:w="4320" w:type="dxa"/>
            <w:shd w:val="clear" w:color="auto" w:fill="365F91" w:themeFill="accent1" w:themeFillShade="BF"/>
          </w:tcPr>
          <w:p w14:paraId="335BDBD9" w14:textId="160EB620" w:rsidR="004F2EAA" w:rsidRPr="00506377" w:rsidRDefault="000E0407" w:rsidP="009A5D3B">
            <w:pPr>
              <w:jc w:val="both"/>
              <w:rPr>
                <w:b/>
                <w:color w:val="FFFFFF" w:themeColor="background1"/>
                <w:sz w:val="15"/>
                <w:szCs w:val="15"/>
              </w:rPr>
            </w:pPr>
            <w:r w:rsidRPr="00506377">
              <w:rPr>
                <w:b/>
                <w:color w:val="FFFFFF" w:themeColor="background1"/>
                <w:sz w:val="15"/>
                <w:szCs w:val="15"/>
              </w:rPr>
              <w:t>Total Return</w:t>
            </w:r>
          </w:p>
        </w:tc>
      </w:tr>
      <w:tr w:rsidR="004F2EAA" w:rsidRPr="00506377" w14:paraId="2AA141CB" w14:textId="77777777" w:rsidTr="009A5D3B">
        <w:tc>
          <w:tcPr>
            <w:tcW w:w="7488" w:type="dxa"/>
          </w:tcPr>
          <w:p w14:paraId="3F2A33BE" w14:textId="77777777" w:rsidR="004F2EAA" w:rsidRPr="00506377" w:rsidRDefault="004F2EAA" w:rsidP="009A5D3B">
            <w:pPr>
              <w:jc w:val="both"/>
              <w:rPr>
                <w:b/>
                <w:sz w:val="15"/>
                <w:szCs w:val="15"/>
              </w:rPr>
            </w:pPr>
          </w:p>
          <w:tbl>
            <w:tblPr>
              <w:tblStyle w:val="TableGrid"/>
              <w:tblW w:w="7257" w:type="dxa"/>
              <w:tblLook w:val="04A0" w:firstRow="1" w:lastRow="0" w:firstColumn="1" w:lastColumn="0" w:noHBand="0" w:noVBand="1"/>
            </w:tblPr>
            <w:tblGrid>
              <w:gridCol w:w="1795"/>
              <w:gridCol w:w="990"/>
              <w:gridCol w:w="810"/>
              <w:gridCol w:w="810"/>
              <w:gridCol w:w="990"/>
              <w:gridCol w:w="1116"/>
              <w:gridCol w:w="746"/>
            </w:tblGrid>
            <w:tr w:rsidR="00314C3C" w:rsidRPr="00506377" w14:paraId="03A7F5D8" w14:textId="77777777" w:rsidTr="00314C3C">
              <w:tc>
                <w:tcPr>
                  <w:tcW w:w="1795" w:type="dxa"/>
                  <w:shd w:val="clear" w:color="auto" w:fill="DBE5F1" w:themeFill="accent1" w:themeFillTint="33"/>
                </w:tcPr>
                <w:p w14:paraId="18F981FE" w14:textId="6A48FFE7" w:rsidR="004F2EAA" w:rsidRPr="00506377" w:rsidRDefault="004F2EAA" w:rsidP="004F2EAA">
                  <w:pPr>
                    <w:rPr>
                      <w:sz w:val="15"/>
                      <w:szCs w:val="15"/>
                    </w:rPr>
                  </w:pPr>
                </w:p>
              </w:tc>
              <w:tc>
                <w:tcPr>
                  <w:tcW w:w="990" w:type="dxa"/>
                  <w:shd w:val="clear" w:color="auto" w:fill="DBE5F1" w:themeFill="accent1" w:themeFillTint="33"/>
                </w:tcPr>
                <w:p w14:paraId="36FCBD39" w14:textId="204E8300" w:rsidR="004F2EAA" w:rsidRPr="00506377" w:rsidRDefault="00C96757" w:rsidP="004F2EAA">
                  <w:pPr>
                    <w:rPr>
                      <w:sz w:val="15"/>
                      <w:szCs w:val="15"/>
                    </w:rPr>
                  </w:pPr>
                  <w:r w:rsidRPr="00506377">
                    <w:rPr>
                      <w:sz w:val="15"/>
                      <w:szCs w:val="15"/>
                    </w:rPr>
                    <w:t>BATS</w:t>
                  </w:r>
                </w:p>
              </w:tc>
              <w:tc>
                <w:tcPr>
                  <w:tcW w:w="810" w:type="dxa"/>
                  <w:shd w:val="clear" w:color="auto" w:fill="DBE5F1" w:themeFill="accent1" w:themeFillTint="33"/>
                </w:tcPr>
                <w:p w14:paraId="18F40648" w14:textId="2E45AD38" w:rsidR="004F2EAA" w:rsidRPr="00506377" w:rsidRDefault="00C96757" w:rsidP="004F2EAA">
                  <w:pPr>
                    <w:rPr>
                      <w:sz w:val="15"/>
                      <w:szCs w:val="15"/>
                    </w:rPr>
                  </w:pPr>
                  <w:r w:rsidRPr="00506377">
                    <w:rPr>
                      <w:sz w:val="15"/>
                      <w:szCs w:val="15"/>
                    </w:rPr>
                    <w:t>VGR</w:t>
                  </w:r>
                </w:p>
              </w:tc>
              <w:tc>
                <w:tcPr>
                  <w:tcW w:w="810" w:type="dxa"/>
                  <w:shd w:val="clear" w:color="auto" w:fill="DBE5F1" w:themeFill="accent1" w:themeFillTint="33"/>
                </w:tcPr>
                <w:p w14:paraId="64A1B213" w14:textId="527C1EEA" w:rsidR="004F2EAA" w:rsidRPr="00506377" w:rsidRDefault="00C96757" w:rsidP="004F2EAA">
                  <w:pPr>
                    <w:rPr>
                      <w:sz w:val="15"/>
                      <w:szCs w:val="15"/>
                    </w:rPr>
                  </w:pPr>
                  <w:r w:rsidRPr="00506377">
                    <w:rPr>
                      <w:sz w:val="15"/>
                      <w:szCs w:val="15"/>
                    </w:rPr>
                    <w:t>PM</w:t>
                  </w:r>
                </w:p>
              </w:tc>
              <w:tc>
                <w:tcPr>
                  <w:tcW w:w="990" w:type="dxa"/>
                  <w:shd w:val="clear" w:color="auto" w:fill="DBE5F1" w:themeFill="accent1" w:themeFillTint="33"/>
                </w:tcPr>
                <w:p w14:paraId="2A396C67" w14:textId="65CB559B" w:rsidR="004F2EAA" w:rsidRPr="00506377" w:rsidRDefault="00C96757" w:rsidP="004F2EAA">
                  <w:pPr>
                    <w:rPr>
                      <w:sz w:val="15"/>
                      <w:szCs w:val="15"/>
                    </w:rPr>
                  </w:pPr>
                  <w:r w:rsidRPr="00506377">
                    <w:rPr>
                      <w:sz w:val="15"/>
                      <w:szCs w:val="15"/>
                    </w:rPr>
                    <w:t>MO</w:t>
                  </w:r>
                </w:p>
              </w:tc>
              <w:tc>
                <w:tcPr>
                  <w:tcW w:w="1116" w:type="dxa"/>
                  <w:shd w:val="clear" w:color="auto" w:fill="DBE5F1" w:themeFill="accent1" w:themeFillTint="33"/>
                </w:tcPr>
                <w:p w14:paraId="78007BAA" w14:textId="79199DAD" w:rsidR="004F2EAA" w:rsidRPr="00506377" w:rsidRDefault="005B16A4" w:rsidP="004F2EAA">
                  <w:pPr>
                    <w:rPr>
                      <w:sz w:val="15"/>
                      <w:szCs w:val="15"/>
                    </w:rPr>
                  </w:pPr>
                  <w:r w:rsidRPr="00506377">
                    <w:rPr>
                      <w:sz w:val="15"/>
                      <w:szCs w:val="15"/>
                    </w:rPr>
                    <w:t>Ind.</w:t>
                  </w:r>
                  <w:r w:rsidR="004F2EAA" w:rsidRPr="00506377">
                    <w:rPr>
                      <w:sz w:val="15"/>
                      <w:szCs w:val="15"/>
                    </w:rPr>
                    <w:t xml:space="preserve"> Average </w:t>
                  </w:r>
                </w:p>
              </w:tc>
              <w:tc>
                <w:tcPr>
                  <w:tcW w:w="746" w:type="dxa"/>
                  <w:shd w:val="clear" w:color="auto" w:fill="DBE5F1" w:themeFill="accent1" w:themeFillTint="33"/>
                </w:tcPr>
                <w:p w14:paraId="45951734" w14:textId="5A0E7BC4" w:rsidR="004F2EAA" w:rsidRPr="00506377" w:rsidRDefault="00C96757" w:rsidP="004F2EAA">
                  <w:pPr>
                    <w:rPr>
                      <w:b/>
                      <w:sz w:val="15"/>
                      <w:szCs w:val="15"/>
                    </w:rPr>
                  </w:pPr>
                  <w:r w:rsidRPr="00506377">
                    <w:rPr>
                      <w:b/>
                      <w:sz w:val="15"/>
                      <w:szCs w:val="15"/>
                    </w:rPr>
                    <w:t>RAI</w:t>
                  </w:r>
                </w:p>
              </w:tc>
            </w:tr>
            <w:tr w:rsidR="00314C3C" w:rsidRPr="00506377" w14:paraId="5DA42BF7" w14:textId="77777777" w:rsidTr="00314C3C">
              <w:tc>
                <w:tcPr>
                  <w:tcW w:w="1795" w:type="dxa"/>
                </w:tcPr>
                <w:p w14:paraId="5D8F0BAD" w14:textId="77777777" w:rsidR="00313EEF" w:rsidRPr="00506377" w:rsidRDefault="00313EEF" w:rsidP="00313EEF">
                  <w:pPr>
                    <w:rPr>
                      <w:sz w:val="15"/>
                      <w:szCs w:val="15"/>
                    </w:rPr>
                  </w:pPr>
                  <w:r w:rsidRPr="00506377">
                    <w:rPr>
                      <w:sz w:val="15"/>
                      <w:szCs w:val="15"/>
                    </w:rPr>
                    <w:t>P/E</w:t>
                  </w:r>
                </w:p>
              </w:tc>
              <w:tc>
                <w:tcPr>
                  <w:tcW w:w="990" w:type="dxa"/>
                  <w:vAlign w:val="bottom"/>
                </w:tcPr>
                <w:p w14:paraId="53BFCC21" w14:textId="3DCF684D" w:rsidR="00313EEF" w:rsidRPr="00506377" w:rsidRDefault="00313EEF" w:rsidP="00C167A6">
                  <w:pPr>
                    <w:rPr>
                      <w:sz w:val="15"/>
                      <w:szCs w:val="15"/>
                    </w:rPr>
                  </w:pPr>
                  <w:r w:rsidRPr="00506377">
                    <w:rPr>
                      <w:sz w:val="15"/>
                      <w:szCs w:val="15"/>
                    </w:rPr>
                    <w:t>17.62</w:t>
                  </w:r>
                </w:p>
              </w:tc>
              <w:tc>
                <w:tcPr>
                  <w:tcW w:w="810" w:type="dxa"/>
                  <w:vAlign w:val="bottom"/>
                </w:tcPr>
                <w:p w14:paraId="0006F77E" w14:textId="387A5CBD" w:rsidR="00313EEF" w:rsidRPr="00506377" w:rsidRDefault="00313EEF" w:rsidP="00C167A6">
                  <w:pPr>
                    <w:rPr>
                      <w:sz w:val="15"/>
                      <w:szCs w:val="15"/>
                    </w:rPr>
                  </w:pPr>
                  <w:r w:rsidRPr="00506377">
                    <w:rPr>
                      <w:sz w:val="15"/>
                      <w:szCs w:val="15"/>
                    </w:rPr>
                    <w:t>61.82</w:t>
                  </w:r>
                </w:p>
              </w:tc>
              <w:tc>
                <w:tcPr>
                  <w:tcW w:w="810" w:type="dxa"/>
                  <w:vAlign w:val="bottom"/>
                </w:tcPr>
                <w:p w14:paraId="265146A9" w14:textId="222BE957" w:rsidR="00313EEF" w:rsidRPr="00506377" w:rsidRDefault="00313EEF" w:rsidP="00C167A6">
                  <w:pPr>
                    <w:rPr>
                      <w:sz w:val="15"/>
                      <w:szCs w:val="15"/>
                    </w:rPr>
                  </w:pPr>
                  <w:r w:rsidRPr="00506377">
                    <w:rPr>
                      <w:sz w:val="15"/>
                      <w:szCs w:val="15"/>
                    </w:rPr>
                    <w:t>18.36</w:t>
                  </w:r>
                </w:p>
              </w:tc>
              <w:tc>
                <w:tcPr>
                  <w:tcW w:w="990" w:type="dxa"/>
                  <w:vAlign w:val="bottom"/>
                </w:tcPr>
                <w:p w14:paraId="1710897B" w14:textId="6F61B743" w:rsidR="00313EEF" w:rsidRPr="00506377" w:rsidRDefault="00313EEF" w:rsidP="00C167A6">
                  <w:pPr>
                    <w:rPr>
                      <w:sz w:val="15"/>
                      <w:szCs w:val="15"/>
                    </w:rPr>
                  </w:pPr>
                  <w:r w:rsidRPr="00506377">
                    <w:rPr>
                      <w:sz w:val="15"/>
                      <w:szCs w:val="15"/>
                    </w:rPr>
                    <w:t>61.82</w:t>
                  </w:r>
                </w:p>
              </w:tc>
              <w:tc>
                <w:tcPr>
                  <w:tcW w:w="1116" w:type="dxa"/>
                  <w:vAlign w:val="bottom"/>
                </w:tcPr>
                <w:p w14:paraId="7076EAC1" w14:textId="5D5BCCBA" w:rsidR="00313EEF" w:rsidRPr="00506377" w:rsidRDefault="00313EEF" w:rsidP="00C167A6">
                  <w:pPr>
                    <w:rPr>
                      <w:sz w:val="15"/>
                      <w:szCs w:val="15"/>
                    </w:rPr>
                  </w:pPr>
                  <w:r w:rsidRPr="00506377">
                    <w:rPr>
                      <w:sz w:val="15"/>
                      <w:szCs w:val="15"/>
                    </w:rPr>
                    <w:t>21.81</w:t>
                  </w:r>
                </w:p>
              </w:tc>
              <w:tc>
                <w:tcPr>
                  <w:tcW w:w="746" w:type="dxa"/>
                  <w:vAlign w:val="bottom"/>
                </w:tcPr>
                <w:p w14:paraId="1D18DB5C" w14:textId="0EFAEDD4" w:rsidR="00313EEF" w:rsidRPr="00506377" w:rsidRDefault="00313EEF" w:rsidP="00C167A6">
                  <w:pPr>
                    <w:rPr>
                      <w:sz w:val="15"/>
                      <w:szCs w:val="15"/>
                    </w:rPr>
                  </w:pPr>
                  <w:r w:rsidRPr="00506377">
                    <w:rPr>
                      <w:sz w:val="15"/>
                      <w:szCs w:val="15"/>
                    </w:rPr>
                    <w:t>14.92</w:t>
                  </w:r>
                </w:p>
              </w:tc>
            </w:tr>
            <w:tr w:rsidR="00314C3C" w:rsidRPr="00506377" w14:paraId="3CF28431" w14:textId="77777777" w:rsidTr="00314C3C">
              <w:tc>
                <w:tcPr>
                  <w:tcW w:w="1795" w:type="dxa"/>
                </w:tcPr>
                <w:p w14:paraId="7E3790DF" w14:textId="5EE07BA5" w:rsidR="00313EEF" w:rsidRPr="00506377" w:rsidRDefault="00313EEF" w:rsidP="00313EEF">
                  <w:pPr>
                    <w:rPr>
                      <w:sz w:val="15"/>
                      <w:szCs w:val="15"/>
                    </w:rPr>
                  </w:pPr>
                  <w:r w:rsidRPr="00506377">
                    <w:rPr>
                      <w:sz w:val="15"/>
                      <w:szCs w:val="15"/>
                    </w:rPr>
                    <w:t>P/B</w:t>
                  </w:r>
                </w:p>
              </w:tc>
              <w:tc>
                <w:tcPr>
                  <w:tcW w:w="990" w:type="dxa"/>
                  <w:vAlign w:val="bottom"/>
                </w:tcPr>
                <w:p w14:paraId="34BDBBAA" w14:textId="58E1309B" w:rsidR="00313EEF" w:rsidRPr="00506377" w:rsidRDefault="00313EEF" w:rsidP="00C167A6">
                  <w:pPr>
                    <w:rPr>
                      <w:sz w:val="15"/>
                      <w:szCs w:val="15"/>
                    </w:rPr>
                  </w:pPr>
                  <w:r w:rsidRPr="00506377">
                    <w:rPr>
                      <w:sz w:val="15"/>
                      <w:szCs w:val="15"/>
                    </w:rPr>
                    <w:t>11.86</w:t>
                  </w:r>
                </w:p>
              </w:tc>
              <w:tc>
                <w:tcPr>
                  <w:tcW w:w="810" w:type="dxa"/>
                  <w:vAlign w:val="bottom"/>
                </w:tcPr>
                <w:p w14:paraId="6DD53DF3" w14:textId="6F737A40" w:rsidR="00313EEF" w:rsidRPr="00506377" w:rsidRDefault="00425273" w:rsidP="00C167A6">
                  <w:pPr>
                    <w:rPr>
                      <w:sz w:val="15"/>
                      <w:szCs w:val="15"/>
                    </w:rPr>
                  </w:pPr>
                  <w:r w:rsidRPr="00506377">
                    <w:rPr>
                      <w:sz w:val="15"/>
                      <w:szCs w:val="15"/>
                    </w:rPr>
                    <w:t>-</w:t>
                  </w:r>
                </w:p>
              </w:tc>
              <w:tc>
                <w:tcPr>
                  <w:tcW w:w="810" w:type="dxa"/>
                  <w:vAlign w:val="bottom"/>
                </w:tcPr>
                <w:p w14:paraId="28B68146" w14:textId="14FE3E60" w:rsidR="00313EEF" w:rsidRPr="00506377" w:rsidRDefault="00425273" w:rsidP="00C167A6">
                  <w:pPr>
                    <w:rPr>
                      <w:sz w:val="15"/>
                      <w:szCs w:val="15"/>
                    </w:rPr>
                  </w:pPr>
                  <w:r w:rsidRPr="00506377">
                    <w:rPr>
                      <w:sz w:val="15"/>
                      <w:szCs w:val="15"/>
                    </w:rPr>
                    <w:t>-</w:t>
                  </w:r>
                </w:p>
              </w:tc>
              <w:tc>
                <w:tcPr>
                  <w:tcW w:w="990" w:type="dxa"/>
                  <w:vAlign w:val="bottom"/>
                </w:tcPr>
                <w:p w14:paraId="7C8A26C7" w14:textId="17375323" w:rsidR="00313EEF" w:rsidRPr="00506377" w:rsidRDefault="00313EEF" w:rsidP="00C167A6">
                  <w:pPr>
                    <w:rPr>
                      <w:sz w:val="15"/>
                      <w:szCs w:val="15"/>
                    </w:rPr>
                  </w:pPr>
                  <w:r w:rsidRPr="00506377">
                    <w:rPr>
                      <w:sz w:val="15"/>
                      <w:szCs w:val="15"/>
                    </w:rPr>
                    <w:t>38.75</w:t>
                  </w:r>
                </w:p>
              </w:tc>
              <w:tc>
                <w:tcPr>
                  <w:tcW w:w="1116" w:type="dxa"/>
                  <w:vAlign w:val="bottom"/>
                </w:tcPr>
                <w:p w14:paraId="5AFEA404" w14:textId="25C9E8D1" w:rsidR="00313EEF" w:rsidRPr="00506377" w:rsidRDefault="00313EEF" w:rsidP="00C167A6">
                  <w:pPr>
                    <w:rPr>
                      <w:sz w:val="15"/>
                      <w:szCs w:val="15"/>
                    </w:rPr>
                  </w:pPr>
                  <w:r w:rsidRPr="00506377">
                    <w:rPr>
                      <w:sz w:val="15"/>
                      <w:szCs w:val="15"/>
                    </w:rPr>
                    <w:t>21.93</w:t>
                  </w:r>
                </w:p>
              </w:tc>
              <w:tc>
                <w:tcPr>
                  <w:tcW w:w="746" w:type="dxa"/>
                  <w:vAlign w:val="bottom"/>
                </w:tcPr>
                <w:p w14:paraId="75E713E1" w14:textId="4B829623" w:rsidR="00313EEF" w:rsidRPr="00506377" w:rsidRDefault="00313EEF" w:rsidP="00C167A6">
                  <w:pPr>
                    <w:rPr>
                      <w:sz w:val="15"/>
                      <w:szCs w:val="15"/>
                    </w:rPr>
                  </w:pPr>
                  <w:r w:rsidRPr="00506377">
                    <w:rPr>
                      <w:sz w:val="15"/>
                      <w:szCs w:val="15"/>
                    </w:rPr>
                    <w:t>3.55</w:t>
                  </w:r>
                </w:p>
              </w:tc>
            </w:tr>
            <w:tr w:rsidR="00314C3C" w:rsidRPr="00506377" w14:paraId="0617F604" w14:textId="77777777" w:rsidTr="00314C3C">
              <w:tc>
                <w:tcPr>
                  <w:tcW w:w="1795" w:type="dxa"/>
                </w:tcPr>
                <w:p w14:paraId="3EC6238B" w14:textId="77777777" w:rsidR="00313EEF" w:rsidRPr="00506377" w:rsidRDefault="00313EEF" w:rsidP="00313EEF">
                  <w:pPr>
                    <w:rPr>
                      <w:sz w:val="15"/>
                      <w:szCs w:val="15"/>
                    </w:rPr>
                  </w:pPr>
                  <w:r w:rsidRPr="00506377">
                    <w:rPr>
                      <w:sz w:val="15"/>
                      <w:szCs w:val="15"/>
                    </w:rPr>
                    <w:t xml:space="preserve">Dividend Yield </w:t>
                  </w:r>
                </w:p>
              </w:tc>
              <w:tc>
                <w:tcPr>
                  <w:tcW w:w="990" w:type="dxa"/>
                  <w:vAlign w:val="bottom"/>
                </w:tcPr>
                <w:p w14:paraId="524E59DF" w14:textId="521293F5" w:rsidR="00313EEF" w:rsidRPr="00506377" w:rsidRDefault="00313EEF" w:rsidP="00C167A6">
                  <w:pPr>
                    <w:rPr>
                      <w:sz w:val="15"/>
                      <w:szCs w:val="15"/>
                    </w:rPr>
                  </w:pPr>
                  <w:r w:rsidRPr="00506377">
                    <w:rPr>
                      <w:sz w:val="15"/>
                      <w:szCs w:val="15"/>
                    </w:rPr>
                    <w:t>3.94</w:t>
                  </w:r>
                </w:p>
              </w:tc>
              <w:tc>
                <w:tcPr>
                  <w:tcW w:w="810" w:type="dxa"/>
                  <w:vAlign w:val="bottom"/>
                </w:tcPr>
                <w:p w14:paraId="22DA99B4" w14:textId="66A6E32A" w:rsidR="00313EEF" w:rsidRPr="00506377" w:rsidRDefault="00313EEF" w:rsidP="00C167A6">
                  <w:pPr>
                    <w:rPr>
                      <w:sz w:val="15"/>
                      <w:szCs w:val="15"/>
                    </w:rPr>
                  </w:pPr>
                  <w:r w:rsidRPr="00506377">
                    <w:rPr>
                      <w:sz w:val="15"/>
                      <w:szCs w:val="15"/>
                    </w:rPr>
                    <w:t>6.25</w:t>
                  </w:r>
                </w:p>
              </w:tc>
              <w:tc>
                <w:tcPr>
                  <w:tcW w:w="810" w:type="dxa"/>
                  <w:vAlign w:val="bottom"/>
                </w:tcPr>
                <w:p w14:paraId="37475220" w14:textId="5CCB47BB" w:rsidR="00313EEF" w:rsidRPr="00506377" w:rsidRDefault="00313EEF" w:rsidP="00C167A6">
                  <w:pPr>
                    <w:rPr>
                      <w:sz w:val="15"/>
                      <w:szCs w:val="15"/>
                    </w:rPr>
                  </w:pPr>
                  <w:r w:rsidRPr="00506377">
                    <w:rPr>
                      <w:sz w:val="15"/>
                      <w:szCs w:val="15"/>
                    </w:rPr>
                    <w:t>4.71</w:t>
                  </w:r>
                </w:p>
              </w:tc>
              <w:tc>
                <w:tcPr>
                  <w:tcW w:w="990" w:type="dxa"/>
                  <w:vAlign w:val="bottom"/>
                </w:tcPr>
                <w:p w14:paraId="46267742" w14:textId="407D1D16" w:rsidR="00313EEF" w:rsidRPr="00506377" w:rsidRDefault="00313EEF" w:rsidP="00C167A6">
                  <w:pPr>
                    <w:rPr>
                      <w:sz w:val="15"/>
                      <w:szCs w:val="15"/>
                    </w:rPr>
                  </w:pPr>
                  <w:r w:rsidRPr="00506377">
                    <w:rPr>
                      <w:sz w:val="15"/>
                      <w:szCs w:val="15"/>
                    </w:rPr>
                    <w:t>3.72</w:t>
                  </w:r>
                </w:p>
              </w:tc>
              <w:tc>
                <w:tcPr>
                  <w:tcW w:w="1116" w:type="dxa"/>
                  <w:vAlign w:val="bottom"/>
                </w:tcPr>
                <w:p w14:paraId="4CB9EC74" w14:textId="4DF56D52" w:rsidR="00313EEF" w:rsidRPr="00506377" w:rsidRDefault="00313EEF" w:rsidP="00C167A6">
                  <w:pPr>
                    <w:rPr>
                      <w:sz w:val="15"/>
                      <w:szCs w:val="15"/>
                    </w:rPr>
                  </w:pPr>
                  <w:r w:rsidRPr="00506377">
                    <w:rPr>
                      <w:sz w:val="15"/>
                      <w:szCs w:val="15"/>
                    </w:rPr>
                    <w:t>3.76</w:t>
                  </w:r>
                </w:p>
              </w:tc>
              <w:tc>
                <w:tcPr>
                  <w:tcW w:w="746" w:type="dxa"/>
                  <w:vAlign w:val="bottom"/>
                </w:tcPr>
                <w:p w14:paraId="13B0F0F0" w14:textId="6BC6986D" w:rsidR="00313EEF" w:rsidRPr="00506377" w:rsidRDefault="00313EEF" w:rsidP="00C167A6">
                  <w:pPr>
                    <w:rPr>
                      <w:sz w:val="15"/>
                      <w:szCs w:val="15"/>
                    </w:rPr>
                  </w:pPr>
                  <w:r w:rsidRPr="00506377">
                    <w:rPr>
                      <w:sz w:val="15"/>
                      <w:szCs w:val="15"/>
                    </w:rPr>
                    <w:t>2.97</w:t>
                  </w:r>
                </w:p>
              </w:tc>
            </w:tr>
            <w:tr w:rsidR="00314C3C" w:rsidRPr="00506377" w14:paraId="4505851E" w14:textId="77777777" w:rsidTr="00314C3C">
              <w:tc>
                <w:tcPr>
                  <w:tcW w:w="1795" w:type="dxa"/>
                </w:tcPr>
                <w:p w14:paraId="6045AE39" w14:textId="77777777" w:rsidR="00313EEF" w:rsidRPr="00506377" w:rsidRDefault="00313EEF" w:rsidP="00313EEF">
                  <w:pPr>
                    <w:rPr>
                      <w:sz w:val="15"/>
                      <w:szCs w:val="15"/>
                    </w:rPr>
                  </w:pPr>
                  <w:r w:rsidRPr="00506377">
                    <w:rPr>
                      <w:sz w:val="15"/>
                      <w:szCs w:val="15"/>
                    </w:rPr>
                    <w:t xml:space="preserve">PEG Ratio </w:t>
                  </w:r>
                </w:p>
              </w:tc>
              <w:tc>
                <w:tcPr>
                  <w:tcW w:w="990" w:type="dxa"/>
                  <w:vAlign w:val="bottom"/>
                </w:tcPr>
                <w:p w14:paraId="6C39B871" w14:textId="2DC2FC31" w:rsidR="00313EEF" w:rsidRPr="00506377" w:rsidRDefault="00313EEF" w:rsidP="00C167A6">
                  <w:pPr>
                    <w:rPr>
                      <w:sz w:val="15"/>
                      <w:szCs w:val="15"/>
                    </w:rPr>
                  </w:pPr>
                  <w:r w:rsidRPr="00506377">
                    <w:rPr>
                      <w:sz w:val="15"/>
                      <w:szCs w:val="15"/>
                    </w:rPr>
                    <w:t>2.56</w:t>
                  </w:r>
                </w:p>
              </w:tc>
              <w:tc>
                <w:tcPr>
                  <w:tcW w:w="810" w:type="dxa"/>
                  <w:vAlign w:val="bottom"/>
                </w:tcPr>
                <w:p w14:paraId="7D65AAED" w14:textId="78ABB3A6" w:rsidR="00313EEF" w:rsidRPr="00506377" w:rsidRDefault="00425273" w:rsidP="00C167A6">
                  <w:pPr>
                    <w:rPr>
                      <w:sz w:val="15"/>
                      <w:szCs w:val="15"/>
                    </w:rPr>
                  </w:pPr>
                  <w:r w:rsidRPr="00506377">
                    <w:rPr>
                      <w:sz w:val="15"/>
                      <w:szCs w:val="15"/>
                    </w:rPr>
                    <w:t>-</w:t>
                  </w:r>
                </w:p>
              </w:tc>
              <w:tc>
                <w:tcPr>
                  <w:tcW w:w="810" w:type="dxa"/>
                  <w:vAlign w:val="bottom"/>
                </w:tcPr>
                <w:p w14:paraId="405B4B3F" w14:textId="7D8BAC45" w:rsidR="00313EEF" w:rsidRPr="00506377" w:rsidRDefault="00313EEF" w:rsidP="00C167A6">
                  <w:pPr>
                    <w:rPr>
                      <w:sz w:val="15"/>
                      <w:szCs w:val="15"/>
                    </w:rPr>
                  </w:pPr>
                  <w:r w:rsidRPr="00506377">
                    <w:rPr>
                      <w:sz w:val="15"/>
                      <w:szCs w:val="15"/>
                    </w:rPr>
                    <w:t>3.16</w:t>
                  </w:r>
                </w:p>
              </w:tc>
              <w:tc>
                <w:tcPr>
                  <w:tcW w:w="990" w:type="dxa"/>
                  <w:vAlign w:val="bottom"/>
                </w:tcPr>
                <w:p w14:paraId="09628130" w14:textId="1AD1B7C0" w:rsidR="00313EEF" w:rsidRPr="00506377" w:rsidRDefault="00313EEF" w:rsidP="00C167A6">
                  <w:pPr>
                    <w:rPr>
                      <w:sz w:val="15"/>
                      <w:szCs w:val="15"/>
                    </w:rPr>
                  </w:pPr>
                  <w:r w:rsidRPr="00506377">
                    <w:rPr>
                      <w:sz w:val="15"/>
                      <w:szCs w:val="15"/>
                    </w:rPr>
                    <w:t>2.67</w:t>
                  </w:r>
                </w:p>
              </w:tc>
              <w:tc>
                <w:tcPr>
                  <w:tcW w:w="1116" w:type="dxa"/>
                  <w:vAlign w:val="bottom"/>
                </w:tcPr>
                <w:p w14:paraId="2302C4FD" w14:textId="5B6FC2FF" w:rsidR="00313EEF" w:rsidRPr="00506377" w:rsidRDefault="00313EEF" w:rsidP="00C167A6">
                  <w:pPr>
                    <w:rPr>
                      <w:sz w:val="15"/>
                      <w:szCs w:val="15"/>
                    </w:rPr>
                  </w:pPr>
                  <w:r w:rsidRPr="00506377">
                    <w:rPr>
                      <w:sz w:val="15"/>
                      <w:szCs w:val="15"/>
                    </w:rPr>
                    <w:t>3.85</w:t>
                  </w:r>
                </w:p>
              </w:tc>
              <w:tc>
                <w:tcPr>
                  <w:tcW w:w="746" w:type="dxa"/>
                  <w:vAlign w:val="bottom"/>
                </w:tcPr>
                <w:p w14:paraId="3C4BDA61" w14:textId="3CD27406" w:rsidR="00313EEF" w:rsidRPr="00506377" w:rsidRDefault="00313EEF" w:rsidP="00C167A6">
                  <w:pPr>
                    <w:rPr>
                      <w:sz w:val="15"/>
                      <w:szCs w:val="15"/>
                    </w:rPr>
                  </w:pPr>
                  <w:r w:rsidRPr="00506377">
                    <w:rPr>
                      <w:sz w:val="15"/>
                      <w:szCs w:val="15"/>
                    </w:rPr>
                    <w:t>3.55</w:t>
                  </w:r>
                </w:p>
              </w:tc>
            </w:tr>
            <w:tr w:rsidR="00314C3C" w:rsidRPr="00506377" w14:paraId="06FF3325" w14:textId="77777777" w:rsidTr="00314C3C">
              <w:tc>
                <w:tcPr>
                  <w:tcW w:w="1795" w:type="dxa"/>
                </w:tcPr>
                <w:p w14:paraId="7FD0AD7B" w14:textId="054EB047" w:rsidR="00313EEF" w:rsidRPr="00506377" w:rsidRDefault="00313EEF" w:rsidP="00313EEF">
                  <w:pPr>
                    <w:rPr>
                      <w:sz w:val="15"/>
                      <w:szCs w:val="15"/>
                    </w:rPr>
                  </w:pPr>
                  <w:r w:rsidRPr="00506377">
                    <w:rPr>
                      <w:sz w:val="15"/>
                      <w:szCs w:val="15"/>
                    </w:rPr>
                    <w:t>EPS (Last FY)</w:t>
                  </w:r>
                </w:p>
              </w:tc>
              <w:tc>
                <w:tcPr>
                  <w:tcW w:w="990" w:type="dxa"/>
                  <w:vAlign w:val="bottom"/>
                </w:tcPr>
                <w:p w14:paraId="039C42DF" w14:textId="2C51A3A4" w:rsidR="00313EEF" w:rsidRPr="00506377" w:rsidRDefault="00313EEF" w:rsidP="00C167A6">
                  <w:pPr>
                    <w:rPr>
                      <w:sz w:val="15"/>
                      <w:szCs w:val="15"/>
                    </w:rPr>
                  </w:pPr>
                  <w:r w:rsidRPr="00506377">
                    <w:rPr>
                      <w:sz w:val="15"/>
                      <w:szCs w:val="15"/>
                    </w:rPr>
                    <w:t>2.75</w:t>
                  </w:r>
                </w:p>
              </w:tc>
              <w:tc>
                <w:tcPr>
                  <w:tcW w:w="810" w:type="dxa"/>
                  <w:vAlign w:val="bottom"/>
                </w:tcPr>
                <w:p w14:paraId="1CBE09CE" w14:textId="74D194DD" w:rsidR="00313EEF" w:rsidRPr="00506377" w:rsidRDefault="00313EEF" w:rsidP="00C167A6">
                  <w:pPr>
                    <w:rPr>
                      <w:sz w:val="15"/>
                      <w:szCs w:val="15"/>
                    </w:rPr>
                  </w:pPr>
                  <w:r w:rsidRPr="00506377">
                    <w:rPr>
                      <w:sz w:val="15"/>
                      <w:szCs w:val="15"/>
                    </w:rPr>
                    <w:t>0.33</w:t>
                  </w:r>
                </w:p>
              </w:tc>
              <w:tc>
                <w:tcPr>
                  <w:tcW w:w="810" w:type="dxa"/>
                  <w:vAlign w:val="bottom"/>
                </w:tcPr>
                <w:p w14:paraId="418ADE6E" w14:textId="725CBD03" w:rsidR="00313EEF" w:rsidRPr="00506377" w:rsidRDefault="00313EEF" w:rsidP="00C167A6">
                  <w:pPr>
                    <w:rPr>
                      <w:sz w:val="15"/>
                      <w:szCs w:val="15"/>
                    </w:rPr>
                  </w:pPr>
                  <w:r w:rsidRPr="00506377">
                    <w:rPr>
                      <w:sz w:val="15"/>
                      <w:szCs w:val="15"/>
                    </w:rPr>
                    <w:t>4.76</w:t>
                  </w:r>
                </w:p>
              </w:tc>
              <w:tc>
                <w:tcPr>
                  <w:tcW w:w="990" w:type="dxa"/>
                  <w:vAlign w:val="bottom"/>
                </w:tcPr>
                <w:p w14:paraId="0783FD74" w14:textId="7A8303A8" w:rsidR="00313EEF" w:rsidRPr="00506377" w:rsidRDefault="00313EEF" w:rsidP="00C167A6">
                  <w:pPr>
                    <w:rPr>
                      <w:sz w:val="15"/>
                      <w:szCs w:val="15"/>
                    </w:rPr>
                  </w:pPr>
                  <w:r w:rsidRPr="00506377">
                    <w:rPr>
                      <w:sz w:val="15"/>
                      <w:szCs w:val="15"/>
                    </w:rPr>
                    <w:t>2.56</w:t>
                  </w:r>
                </w:p>
              </w:tc>
              <w:tc>
                <w:tcPr>
                  <w:tcW w:w="1116" w:type="dxa"/>
                  <w:vAlign w:val="bottom"/>
                </w:tcPr>
                <w:p w14:paraId="6D9EF64C" w14:textId="6998932A" w:rsidR="00313EEF" w:rsidRPr="00506377" w:rsidRDefault="00313EEF" w:rsidP="00C167A6">
                  <w:pPr>
                    <w:rPr>
                      <w:sz w:val="15"/>
                      <w:szCs w:val="15"/>
                    </w:rPr>
                  </w:pPr>
                  <w:r w:rsidRPr="00506377">
                    <w:rPr>
                      <w:sz w:val="15"/>
                      <w:szCs w:val="15"/>
                    </w:rPr>
                    <w:t>2.69</w:t>
                  </w:r>
                </w:p>
              </w:tc>
              <w:tc>
                <w:tcPr>
                  <w:tcW w:w="746" w:type="dxa"/>
                  <w:vAlign w:val="bottom"/>
                </w:tcPr>
                <w:p w14:paraId="065BB36E" w14:textId="70B9EFB4" w:rsidR="00313EEF" w:rsidRPr="00506377" w:rsidRDefault="00313EEF" w:rsidP="00C167A6">
                  <w:pPr>
                    <w:rPr>
                      <w:sz w:val="15"/>
                      <w:szCs w:val="15"/>
                    </w:rPr>
                  </w:pPr>
                  <w:r w:rsidRPr="00506377">
                    <w:rPr>
                      <w:sz w:val="15"/>
                      <w:szCs w:val="15"/>
                    </w:rPr>
                    <w:t>1.38</w:t>
                  </w:r>
                </w:p>
              </w:tc>
            </w:tr>
            <w:tr w:rsidR="00314C3C" w:rsidRPr="00506377" w14:paraId="777301C1" w14:textId="77777777" w:rsidTr="00314C3C">
              <w:tc>
                <w:tcPr>
                  <w:tcW w:w="1795" w:type="dxa"/>
                </w:tcPr>
                <w:p w14:paraId="0759BE0E" w14:textId="4C32979F" w:rsidR="00313EEF" w:rsidRPr="00506377" w:rsidRDefault="00313EEF" w:rsidP="00313EEF">
                  <w:pPr>
                    <w:rPr>
                      <w:sz w:val="15"/>
                      <w:szCs w:val="15"/>
                    </w:rPr>
                  </w:pPr>
                  <w:r w:rsidRPr="00506377">
                    <w:rPr>
                      <w:sz w:val="15"/>
                      <w:szCs w:val="15"/>
                    </w:rPr>
                    <w:t>Rev Growth (Last FY)</w:t>
                  </w:r>
                </w:p>
              </w:tc>
              <w:tc>
                <w:tcPr>
                  <w:tcW w:w="990" w:type="dxa"/>
                  <w:vAlign w:val="bottom"/>
                </w:tcPr>
                <w:p w14:paraId="18DCC7A0" w14:textId="52FF9B20" w:rsidR="00313EEF" w:rsidRPr="00506377" w:rsidRDefault="00313EEF" w:rsidP="00C167A6">
                  <w:pPr>
                    <w:rPr>
                      <w:sz w:val="15"/>
                      <w:szCs w:val="15"/>
                    </w:rPr>
                  </w:pPr>
                  <w:r w:rsidRPr="00506377">
                    <w:rPr>
                      <w:sz w:val="15"/>
                      <w:szCs w:val="15"/>
                    </w:rPr>
                    <w:t>3.47</w:t>
                  </w:r>
                </w:p>
              </w:tc>
              <w:tc>
                <w:tcPr>
                  <w:tcW w:w="810" w:type="dxa"/>
                  <w:vAlign w:val="bottom"/>
                </w:tcPr>
                <w:p w14:paraId="68E302DD" w14:textId="2748CCD6" w:rsidR="00313EEF" w:rsidRPr="00506377" w:rsidRDefault="00313EEF" w:rsidP="00C167A6">
                  <w:pPr>
                    <w:rPr>
                      <w:sz w:val="15"/>
                      <w:szCs w:val="15"/>
                    </w:rPr>
                  </w:pPr>
                  <w:r w:rsidRPr="00506377">
                    <w:rPr>
                      <w:sz w:val="15"/>
                      <w:szCs w:val="15"/>
                    </w:rPr>
                    <w:t>10.56</w:t>
                  </w:r>
                </w:p>
              </w:tc>
              <w:tc>
                <w:tcPr>
                  <w:tcW w:w="810" w:type="dxa"/>
                  <w:vAlign w:val="bottom"/>
                </w:tcPr>
                <w:p w14:paraId="67F1CBE6" w14:textId="6ACC164C" w:rsidR="00313EEF" w:rsidRPr="00506377" w:rsidRDefault="00313EEF" w:rsidP="00C167A6">
                  <w:pPr>
                    <w:rPr>
                      <w:sz w:val="15"/>
                      <w:szCs w:val="15"/>
                    </w:rPr>
                  </w:pPr>
                  <w:r w:rsidRPr="00506377">
                    <w:rPr>
                      <w:sz w:val="15"/>
                      <w:szCs w:val="15"/>
                    </w:rPr>
                    <w:t>14.29</w:t>
                  </w:r>
                </w:p>
              </w:tc>
              <w:tc>
                <w:tcPr>
                  <w:tcW w:w="990" w:type="dxa"/>
                  <w:vAlign w:val="bottom"/>
                </w:tcPr>
                <w:p w14:paraId="42281ACF" w14:textId="0F304C1B" w:rsidR="00313EEF" w:rsidRPr="00506377" w:rsidRDefault="00313EEF" w:rsidP="00C167A6">
                  <w:pPr>
                    <w:rPr>
                      <w:sz w:val="15"/>
                      <w:szCs w:val="15"/>
                    </w:rPr>
                  </w:pPr>
                  <w:r w:rsidRPr="00506377">
                    <w:rPr>
                      <w:sz w:val="15"/>
                      <w:szCs w:val="15"/>
                    </w:rPr>
                    <w:t>-1.62</w:t>
                  </w:r>
                </w:p>
              </w:tc>
              <w:tc>
                <w:tcPr>
                  <w:tcW w:w="1116" w:type="dxa"/>
                  <w:vAlign w:val="bottom"/>
                </w:tcPr>
                <w:p w14:paraId="17995264" w14:textId="4330F4C8" w:rsidR="00313EEF" w:rsidRPr="00506377" w:rsidRDefault="00314C3C" w:rsidP="00C167A6">
                  <w:pPr>
                    <w:rPr>
                      <w:sz w:val="15"/>
                      <w:szCs w:val="15"/>
                    </w:rPr>
                  </w:pPr>
                  <w:r w:rsidRPr="00506377">
                    <w:rPr>
                      <w:sz w:val="15"/>
                      <w:szCs w:val="15"/>
                    </w:rPr>
                    <w:t>0.1</w:t>
                  </w:r>
                </w:p>
              </w:tc>
              <w:tc>
                <w:tcPr>
                  <w:tcW w:w="746" w:type="dxa"/>
                  <w:vAlign w:val="bottom"/>
                </w:tcPr>
                <w:p w14:paraId="6FFA7BF9" w14:textId="0F5A58FA" w:rsidR="00313EEF" w:rsidRPr="00506377" w:rsidRDefault="00314C3C" w:rsidP="00C167A6">
                  <w:pPr>
                    <w:rPr>
                      <w:sz w:val="15"/>
                      <w:szCs w:val="15"/>
                    </w:rPr>
                  </w:pPr>
                  <w:r w:rsidRPr="00506377">
                    <w:rPr>
                      <w:sz w:val="15"/>
                      <w:szCs w:val="15"/>
                    </w:rPr>
                    <w:t>-0.3</w:t>
                  </w:r>
                </w:p>
              </w:tc>
            </w:tr>
            <w:tr w:rsidR="00314C3C" w:rsidRPr="00506377" w14:paraId="616F0554" w14:textId="77777777" w:rsidTr="00314C3C">
              <w:tc>
                <w:tcPr>
                  <w:tcW w:w="1795" w:type="dxa"/>
                </w:tcPr>
                <w:p w14:paraId="12174486" w14:textId="2FA7970B" w:rsidR="00313EEF" w:rsidRPr="00506377" w:rsidRDefault="00313EEF" w:rsidP="00313EEF">
                  <w:pPr>
                    <w:rPr>
                      <w:sz w:val="15"/>
                      <w:szCs w:val="15"/>
                    </w:rPr>
                  </w:pPr>
                  <w:r w:rsidRPr="00506377">
                    <w:rPr>
                      <w:sz w:val="15"/>
                      <w:szCs w:val="15"/>
                    </w:rPr>
                    <w:t xml:space="preserve">NI Growth (Last FY) </w:t>
                  </w:r>
                </w:p>
              </w:tc>
              <w:tc>
                <w:tcPr>
                  <w:tcW w:w="990" w:type="dxa"/>
                  <w:vAlign w:val="bottom"/>
                </w:tcPr>
                <w:p w14:paraId="21AC8274" w14:textId="32EEFE95" w:rsidR="00313EEF" w:rsidRPr="00506377" w:rsidRDefault="00313EEF" w:rsidP="00C167A6">
                  <w:pPr>
                    <w:rPr>
                      <w:sz w:val="15"/>
                      <w:szCs w:val="15"/>
                    </w:rPr>
                  </w:pPr>
                  <w:r w:rsidRPr="00506377">
                    <w:rPr>
                      <w:sz w:val="15"/>
                      <w:szCs w:val="15"/>
                    </w:rPr>
                    <w:t>22.17</w:t>
                  </w:r>
                </w:p>
              </w:tc>
              <w:tc>
                <w:tcPr>
                  <w:tcW w:w="810" w:type="dxa"/>
                  <w:vAlign w:val="bottom"/>
                </w:tcPr>
                <w:p w14:paraId="72155156" w14:textId="2EE6EC9C" w:rsidR="00313EEF" w:rsidRPr="00506377" w:rsidRDefault="00313EEF" w:rsidP="00C167A6">
                  <w:pPr>
                    <w:rPr>
                      <w:sz w:val="15"/>
                      <w:szCs w:val="15"/>
                    </w:rPr>
                  </w:pPr>
                  <w:r w:rsidRPr="00506377">
                    <w:rPr>
                      <w:sz w:val="15"/>
                      <w:szCs w:val="15"/>
                    </w:rPr>
                    <w:t>-17.97</w:t>
                  </w:r>
                </w:p>
              </w:tc>
              <w:tc>
                <w:tcPr>
                  <w:tcW w:w="810" w:type="dxa"/>
                  <w:vAlign w:val="bottom"/>
                </w:tcPr>
                <w:p w14:paraId="36DE4F19" w14:textId="32804557" w:rsidR="00313EEF" w:rsidRPr="00506377" w:rsidRDefault="00313EEF" w:rsidP="00C167A6">
                  <w:pPr>
                    <w:rPr>
                      <w:sz w:val="15"/>
                      <w:szCs w:val="15"/>
                    </w:rPr>
                  </w:pPr>
                  <w:r w:rsidRPr="00506377">
                    <w:rPr>
                      <w:sz w:val="15"/>
                      <w:szCs w:val="15"/>
                    </w:rPr>
                    <w:t>-9.88</w:t>
                  </w:r>
                </w:p>
              </w:tc>
              <w:tc>
                <w:tcPr>
                  <w:tcW w:w="990" w:type="dxa"/>
                  <w:vAlign w:val="bottom"/>
                </w:tcPr>
                <w:p w14:paraId="098D397E" w14:textId="4AE455E4" w:rsidR="00313EEF" w:rsidRPr="00506377" w:rsidRDefault="00313EEF" w:rsidP="00C167A6">
                  <w:pPr>
                    <w:rPr>
                      <w:sz w:val="15"/>
                      <w:szCs w:val="15"/>
                    </w:rPr>
                  </w:pPr>
                  <w:r w:rsidRPr="00506377">
                    <w:rPr>
                      <w:sz w:val="15"/>
                      <w:szCs w:val="15"/>
                    </w:rPr>
                    <w:t>9.38</w:t>
                  </w:r>
                </w:p>
              </w:tc>
              <w:tc>
                <w:tcPr>
                  <w:tcW w:w="1116" w:type="dxa"/>
                  <w:vAlign w:val="bottom"/>
                </w:tcPr>
                <w:p w14:paraId="09E34E39" w14:textId="07C353FC" w:rsidR="00313EEF" w:rsidRPr="00506377" w:rsidRDefault="00313EEF" w:rsidP="00C167A6">
                  <w:pPr>
                    <w:rPr>
                      <w:sz w:val="15"/>
                      <w:szCs w:val="15"/>
                    </w:rPr>
                  </w:pPr>
                  <w:r w:rsidRPr="00506377">
                    <w:rPr>
                      <w:sz w:val="15"/>
                      <w:szCs w:val="15"/>
                    </w:rPr>
                    <w:t>27.44</w:t>
                  </w:r>
                </w:p>
              </w:tc>
              <w:tc>
                <w:tcPr>
                  <w:tcW w:w="746" w:type="dxa"/>
                  <w:vAlign w:val="bottom"/>
                </w:tcPr>
                <w:p w14:paraId="703CA411" w14:textId="00C3CCE6" w:rsidR="00313EEF" w:rsidRPr="00506377" w:rsidRDefault="00313EEF" w:rsidP="00C167A6">
                  <w:pPr>
                    <w:rPr>
                      <w:sz w:val="15"/>
                      <w:szCs w:val="15"/>
                    </w:rPr>
                  </w:pPr>
                  <w:r w:rsidRPr="00506377">
                    <w:rPr>
                      <w:sz w:val="15"/>
                      <w:szCs w:val="15"/>
                    </w:rPr>
                    <w:t>40.69</w:t>
                  </w:r>
                </w:p>
              </w:tc>
            </w:tr>
            <w:tr w:rsidR="00314C3C" w:rsidRPr="00506377" w14:paraId="339AECB6" w14:textId="77777777" w:rsidTr="00314C3C">
              <w:tc>
                <w:tcPr>
                  <w:tcW w:w="1795" w:type="dxa"/>
                </w:tcPr>
                <w:p w14:paraId="7B2C49BE" w14:textId="5C491906" w:rsidR="00313EEF" w:rsidRPr="00506377" w:rsidRDefault="00313EEF" w:rsidP="00313EEF">
                  <w:pPr>
                    <w:rPr>
                      <w:sz w:val="15"/>
                      <w:szCs w:val="15"/>
                    </w:rPr>
                  </w:pPr>
                  <w:r w:rsidRPr="00506377">
                    <w:rPr>
                      <w:sz w:val="15"/>
                      <w:szCs w:val="15"/>
                    </w:rPr>
                    <w:t xml:space="preserve">Operating Margin </w:t>
                  </w:r>
                </w:p>
              </w:tc>
              <w:tc>
                <w:tcPr>
                  <w:tcW w:w="990" w:type="dxa"/>
                  <w:vAlign w:val="bottom"/>
                </w:tcPr>
                <w:p w14:paraId="6D16033E" w14:textId="15A95972" w:rsidR="00313EEF" w:rsidRPr="00506377" w:rsidRDefault="00313EEF" w:rsidP="00C167A6">
                  <w:pPr>
                    <w:rPr>
                      <w:sz w:val="15"/>
                      <w:szCs w:val="15"/>
                    </w:rPr>
                  </w:pPr>
                  <w:r w:rsidRPr="00506377">
                    <w:rPr>
                      <w:sz w:val="15"/>
                      <w:szCs w:val="15"/>
                    </w:rPr>
                    <w:t>32.43</w:t>
                  </w:r>
                </w:p>
              </w:tc>
              <w:tc>
                <w:tcPr>
                  <w:tcW w:w="810" w:type="dxa"/>
                  <w:vAlign w:val="bottom"/>
                </w:tcPr>
                <w:p w14:paraId="0087603B" w14:textId="6C0FDF5B" w:rsidR="00313EEF" w:rsidRPr="00506377" w:rsidRDefault="00313EEF" w:rsidP="00C167A6">
                  <w:pPr>
                    <w:rPr>
                      <w:sz w:val="15"/>
                      <w:szCs w:val="15"/>
                    </w:rPr>
                  </w:pPr>
                  <w:r w:rsidRPr="00506377">
                    <w:rPr>
                      <w:sz w:val="15"/>
                      <w:szCs w:val="15"/>
                    </w:rPr>
                    <w:t>20.64</w:t>
                  </w:r>
                </w:p>
              </w:tc>
              <w:tc>
                <w:tcPr>
                  <w:tcW w:w="810" w:type="dxa"/>
                  <w:vAlign w:val="bottom"/>
                </w:tcPr>
                <w:p w14:paraId="648370E7" w14:textId="7DF0EB73" w:rsidR="00313EEF" w:rsidRPr="00506377" w:rsidRDefault="00313EEF" w:rsidP="00C167A6">
                  <w:pPr>
                    <w:rPr>
                      <w:sz w:val="15"/>
                      <w:szCs w:val="15"/>
                    </w:rPr>
                  </w:pPr>
                  <w:r w:rsidRPr="00506377">
                    <w:rPr>
                      <w:sz w:val="15"/>
                      <w:szCs w:val="15"/>
                    </w:rPr>
                    <w:t>42.72</w:t>
                  </w:r>
                </w:p>
              </w:tc>
              <w:tc>
                <w:tcPr>
                  <w:tcW w:w="990" w:type="dxa"/>
                  <w:vAlign w:val="bottom"/>
                </w:tcPr>
                <w:p w14:paraId="218F33F9" w14:textId="34BFDA81" w:rsidR="00313EEF" w:rsidRPr="00506377" w:rsidRDefault="00313EEF" w:rsidP="00C167A6">
                  <w:pPr>
                    <w:rPr>
                      <w:sz w:val="15"/>
                      <w:szCs w:val="15"/>
                    </w:rPr>
                  </w:pPr>
                  <w:r w:rsidRPr="00506377">
                    <w:rPr>
                      <w:sz w:val="15"/>
                      <w:szCs w:val="15"/>
                    </w:rPr>
                    <w:t>46.34</w:t>
                  </w:r>
                </w:p>
              </w:tc>
              <w:tc>
                <w:tcPr>
                  <w:tcW w:w="1116" w:type="dxa"/>
                  <w:vAlign w:val="bottom"/>
                </w:tcPr>
                <w:p w14:paraId="0DC9A589" w14:textId="6B799780" w:rsidR="00313EEF" w:rsidRPr="00506377" w:rsidRDefault="00313EEF" w:rsidP="00C167A6">
                  <w:pPr>
                    <w:rPr>
                      <w:sz w:val="15"/>
                      <w:szCs w:val="15"/>
                    </w:rPr>
                  </w:pPr>
                  <w:r w:rsidRPr="00506377">
                    <w:rPr>
                      <w:sz w:val="15"/>
                      <w:szCs w:val="15"/>
                    </w:rPr>
                    <w:t>25.03</w:t>
                  </w:r>
                </w:p>
              </w:tc>
              <w:tc>
                <w:tcPr>
                  <w:tcW w:w="746" w:type="dxa"/>
                  <w:vAlign w:val="bottom"/>
                </w:tcPr>
                <w:p w14:paraId="0BE03697" w14:textId="72983711" w:rsidR="00313EEF" w:rsidRPr="00506377" w:rsidRDefault="00313EEF" w:rsidP="00C167A6">
                  <w:pPr>
                    <w:rPr>
                      <w:sz w:val="15"/>
                      <w:szCs w:val="15"/>
                    </w:rPr>
                  </w:pPr>
                  <w:r w:rsidRPr="00506377">
                    <w:rPr>
                      <w:sz w:val="15"/>
                      <w:szCs w:val="15"/>
                    </w:rPr>
                    <w:t>38.15</w:t>
                  </w:r>
                </w:p>
              </w:tc>
            </w:tr>
            <w:tr w:rsidR="00314C3C" w:rsidRPr="00506377" w14:paraId="064AA80D" w14:textId="77777777" w:rsidTr="00314C3C">
              <w:tc>
                <w:tcPr>
                  <w:tcW w:w="1795" w:type="dxa"/>
                </w:tcPr>
                <w:p w14:paraId="5977E240" w14:textId="77777777" w:rsidR="00313EEF" w:rsidRPr="00506377" w:rsidRDefault="00313EEF" w:rsidP="00313EEF">
                  <w:pPr>
                    <w:rPr>
                      <w:sz w:val="15"/>
                      <w:szCs w:val="15"/>
                    </w:rPr>
                  </w:pPr>
                  <w:r w:rsidRPr="00506377">
                    <w:rPr>
                      <w:sz w:val="15"/>
                      <w:szCs w:val="15"/>
                    </w:rPr>
                    <w:t xml:space="preserve">Debt / Equity </w:t>
                  </w:r>
                </w:p>
              </w:tc>
              <w:tc>
                <w:tcPr>
                  <w:tcW w:w="990" w:type="dxa"/>
                  <w:vAlign w:val="bottom"/>
                </w:tcPr>
                <w:p w14:paraId="672F8CCF" w14:textId="65E56CA2" w:rsidR="00313EEF" w:rsidRPr="00506377" w:rsidRDefault="00313EEF" w:rsidP="00C167A6">
                  <w:pPr>
                    <w:rPr>
                      <w:sz w:val="15"/>
                      <w:szCs w:val="15"/>
                    </w:rPr>
                  </w:pPr>
                  <w:r w:rsidRPr="00506377">
                    <w:rPr>
                      <w:sz w:val="15"/>
                      <w:szCs w:val="15"/>
                    </w:rPr>
                    <w:t>247.63</w:t>
                  </w:r>
                  <w:r w:rsidR="00314C3C" w:rsidRPr="00506377">
                    <w:rPr>
                      <w:sz w:val="15"/>
                      <w:szCs w:val="15"/>
                    </w:rPr>
                    <w:t>%</w:t>
                  </w:r>
                </w:p>
              </w:tc>
              <w:tc>
                <w:tcPr>
                  <w:tcW w:w="810" w:type="dxa"/>
                  <w:vAlign w:val="bottom"/>
                </w:tcPr>
                <w:p w14:paraId="2639E00E" w14:textId="6E17F225" w:rsidR="00313EEF" w:rsidRPr="00506377" w:rsidRDefault="00425273" w:rsidP="00C167A6">
                  <w:pPr>
                    <w:rPr>
                      <w:sz w:val="15"/>
                      <w:szCs w:val="15"/>
                    </w:rPr>
                  </w:pPr>
                  <w:r w:rsidRPr="00506377">
                    <w:rPr>
                      <w:sz w:val="15"/>
                      <w:szCs w:val="15"/>
                    </w:rPr>
                    <w:t>-</w:t>
                  </w:r>
                </w:p>
              </w:tc>
              <w:tc>
                <w:tcPr>
                  <w:tcW w:w="810" w:type="dxa"/>
                  <w:vAlign w:val="bottom"/>
                </w:tcPr>
                <w:p w14:paraId="1555406C" w14:textId="27B1659C" w:rsidR="00313EEF" w:rsidRPr="00506377" w:rsidRDefault="00425273" w:rsidP="00C167A6">
                  <w:pPr>
                    <w:rPr>
                      <w:sz w:val="15"/>
                      <w:szCs w:val="15"/>
                    </w:rPr>
                  </w:pPr>
                  <w:r w:rsidRPr="00506377">
                    <w:rPr>
                      <w:sz w:val="15"/>
                      <w:szCs w:val="15"/>
                    </w:rPr>
                    <w:t>-</w:t>
                  </w:r>
                </w:p>
              </w:tc>
              <w:tc>
                <w:tcPr>
                  <w:tcW w:w="990" w:type="dxa"/>
                  <w:vAlign w:val="bottom"/>
                </w:tcPr>
                <w:p w14:paraId="02951FB8" w14:textId="213413B9" w:rsidR="00313EEF" w:rsidRPr="00506377" w:rsidRDefault="00313EEF" w:rsidP="00C167A6">
                  <w:pPr>
                    <w:rPr>
                      <w:sz w:val="15"/>
                      <w:szCs w:val="15"/>
                    </w:rPr>
                  </w:pPr>
                  <w:r w:rsidRPr="00506377">
                    <w:rPr>
                      <w:sz w:val="15"/>
                      <w:szCs w:val="15"/>
                    </w:rPr>
                    <w:t>443.11</w:t>
                  </w:r>
                  <w:r w:rsidR="00314C3C" w:rsidRPr="00506377">
                    <w:rPr>
                      <w:sz w:val="15"/>
                      <w:szCs w:val="15"/>
                    </w:rPr>
                    <w:t>%</w:t>
                  </w:r>
                </w:p>
              </w:tc>
              <w:tc>
                <w:tcPr>
                  <w:tcW w:w="1116" w:type="dxa"/>
                  <w:vAlign w:val="bottom"/>
                </w:tcPr>
                <w:p w14:paraId="2DEE76F7" w14:textId="48AC9DF1" w:rsidR="00313EEF" w:rsidRPr="00506377" w:rsidRDefault="00313EEF" w:rsidP="00C167A6">
                  <w:pPr>
                    <w:rPr>
                      <w:sz w:val="15"/>
                      <w:szCs w:val="15"/>
                    </w:rPr>
                  </w:pPr>
                  <w:r w:rsidRPr="00506377">
                    <w:rPr>
                      <w:sz w:val="15"/>
                      <w:szCs w:val="15"/>
                    </w:rPr>
                    <w:t>229.37</w:t>
                  </w:r>
                  <w:r w:rsidR="00314C3C" w:rsidRPr="00506377">
                    <w:rPr>
                      <w:sz w:val="15"/>
                      <w:szCs w:val="15"/>
                    </w:rPr>
                    <w:t>%</w:t>
                  </w:r>
                </w:p>
              </w:tc>
              <w:tc>
                <w:tcPr>
                  <w:tcW w:w="746" w:type="dxa"/>
                  <w:vAlign w:val="bottom"/>
                </w:tcPr>
                <w:p w14:paraId="3056A026" w14:textId="482B857B" w:rsidR="00313EEF" w:rsidRPr="00506377" w:rsidRDefault="00313EEF" w:rsidP="00C167A6">
                  <w:pPr>
                    <w:rPr>
                      <w:sz w:val="15"/>
                      <w:szCs w:val="15"/>
                    </w:rPr>
                  </w:pPr>
                  <w:r w:rsidRPr="00506377">
                    <w:rPr>
                      <w:sz w:val="15"/>
                      <w:szCs w:val="15"/>
                    </w:rPr>
                    <w:t>97.04</w:t>
                  </w:r>
                  <w:r w:rsidR="00314C3C" w:rsidRPr="00506377">
                    <w:rPr>
                      <w:sz w:val="15"/>
                      <w:szCs w:val="15"/>
                    </w:rPr>
                    <w:t>%</w:t>
                  </w:r>
                </w:p>
              </w:tc>
            </w:tr>
            <w:tr w:rsidR="00314C3C" w:rsidRPr="00506377" w14:paraId="36B329ED" w14:textId="77777777" w:rsidTr="00314C3C">
              <w:tc>
                <w:tcPr>
                  <w:tcW w:w="1795" w:type="dxa"/>
                </w:tcPr>
                <w:p w14:paraId="791DB0D1" w14:textId="77777777" w:rsidR="00313EEF" w:rsidRPr="00506377" w:rsidRDefault="00313EEF" w:rsidP="00313EEF">
                  <w:pPr>
                    <w:rPr>
                      <w:sz w:val="15"/>
                      <w:szCs w:val="15"/>
                    </w:rPr>
                  </w:pPr>
                  <w:r w:rsidRPr="00506377">
                    <w:rPr>
                      <w:sz w:val="15"/>
                      <w:szCs w:val="15"/>
                    </w:rPr>
                    <w:t>Market Cap</w:t>
                  </w:r>
                </w:p>
              </w:tc>
              <w:tc>
                <w:tcPr>
                  <w:tcW w:w="990" w:type="dxa"/>
                  <w:vAlign w:val="bottom"/>
                </w:tcPr>
                <w:p w14:paraId="031547AD" w14:textId="098DECB9" w:rsidR="00313EEF" w:rsidRPr="00506377" w:rsidRDefault="00313EEF" w:rsidP="00C167A6">
                  <w:pPr>
                    <w:rPr>
                      <w:sz w:val="15"/>
                      <w:szCs w:val="15"/>
                    </w:rPr>
                  </w:pPr>
                  <w:r w:rsidRPr="00506377">
                    <w:rPr>
                      <w:sz w:val="15"/>
                      <w:szCs w:val="15"/>
                    </w:rPr>
                    <w:t>108.02B</w:t>
                  </w:r>
                </w:p>
              </w:tc>
              <w:tc>
                <w:tcPr>
                  <w:tcW w:w="810" w:type="dxa"/>
                  <w:vAlign w:val="bottom"/>
                </w:tcPr>
                <w:p w14:paraId="626B742A" w14:textId="3D6CA0E1" w:rsidR="00313EEF" w:rsidRPr="00506377" w:rsidRDefault="00313EEF" w:rsidP="00C167A6">
                  <w:pPr>
                    <w:rPr>
                      <w:sz w:val="15"/>
                      <w:szCs w:val="15"/>
                    </w:rPr>
                  </w:pPr>
                  <w:r w:rsidRPr="00506377">
                    <w:rPr>
                      <w:sz w:val="15"/>
                      <w:szCs w:val="15"/>
                    </w:rPr>
                    <w:t>2.99B</w:t>
                  </w:r>
                </w:p>
              </w:tc>
              <w:tc>
                <w:tcPr>
                  <w:tcW w:w="810" w:type="dxa"/>
                  <w:vAlign w:val="bottom"/>
                </w:tcPr>
                <w:p w14:paraId="4F545191" w14:textId="71B92394" w:rsidR="00313EEF" w:rsidRPr="00506377" w:rsidRDefault="00313EEF" w:rsidP="00C167A6">
                  <w:pPr>
                    <w:rPr>
                      <w:sz w:val="15"/>
                      <w:szCs w:val="15"/>
                    </w:rPr>
                  </w:pPr>
                  <w:r w:rsidRPr="00506377">
                    <w:rPr>
                      <w:sz w:val="15"/>
                      <w:szCs w:val="15"/>
                    </w:rPr>
                    <w:t>132.3B</w:t>
                  </w:r>
                </w:p>
              </w:tc>
              <w:tc>
                <w:tcPr>
                  <w:tcW w:w="990" w:type="dxa"/>
                  <w:vAlign w:val="bottom"/>
                </w:tcPr>
                <w:p w14:paraId="70C9FE24" w14:textId="4975B4CB" w:rsidR="00313EEF" w:rsidRPr="00506377" w:rsidRDefault="00313EEF" w:rsidP="00C167A6">
                  <w:pPr>
                    <w:rPr>
                      <w:sz w:val="15"/>
                      <w:szCs w:val="15"/>
                    </w:rPr>
                  </w:pPr>
                  <w:r w:rsidRPr="00506377">
                    <w:rPr>
                      <w:sz w:val="15"/>
                      <w:szCs w:val="15"/>
                    </w:rPr>
                    <w:t>111.88B</w:t>
                  </w:r>
                </w:p>
              </w:tc>
              <w:tc>
                <w:tcPr>
                  <w:tcW w:w="1116" w:type="dxa"/>
                  <w:vAlign w:val="bottom"/>
                </w:tcPr>
                <w:p w14:paraId="10279C73" w14:textId="039F3BE8" w:rsidR="00313EEF" w:rsidRPr="00506377" w:rsidRDefault="00313EEF" w:rsidP="00C167A6">
                  <w:pPr>
                    <w:rPr>
                      <w:sz w:val="15"/>
                      <w:szCs w:val="15"/>
                    </w:rPr>
                  </w:pPr>
                  <w:r w:rsidRPr="00506377">
                    <w:rPr>
                      <w:sz w:val="15"/>
                      <w:szCs w:val="15"/>
                    </w:rPr>
                    <w:t>26.8B</w:t>
                  </w:r>
                </w:p>
              </w:tc>
              <w:tc>
                <w:tcPr>
                  <w:tcW w:w="746" w:type="dxa"/>
                  <w:vAlign w:val="bottom"/>
                </w:tcPr>
                <w:p w14:paraId="5AA99482" w14:textId="6B6F6E30" w:rsidR="00313EEF" w:rsidRPr="00506377" w:rsidRDefault="00313EEF" w:rsidP="00C167A6">
                  <w:pPr>
                    <w:rPr>
                      <w:sz w:val="15"/>
                      <w:szCs w:val="15"/>
                    </w:rPr>
                  </w:pPr>
                  <w:r w:rsidRPr="00506377">
                    <w:rPr>
                      <w:sz w:val="15"/>
                      <w:szCs w:val="15"/>
                    </w:rPr>
                    <w:t>65.61B</w:t>
                  </w:r>
                </w:p>
              </w:tc>
            </w:tr>
          </w:tbl>
          <w:p w14:paraId="640918AE" w14:textId="77777777" w:rsidR="004F2EAA" w:rsidRPr="00506377" w:rsidRDefault="004F2EAA" w:rsidP="009A5D3B">
            <w:pPr>
              <w:jc w:val="both"/>
              <w:rPr>
                <w:b/>
                <w:sz w:val="15"/>
                <w:szCs w:val="15"/>
              </w:rPr>
            </w:pPr>
          </w:p>
          <w:p w14:paraId="79D95697" w14:textId="1240ACC0" w:rsidR="000362B3" w:rsidRPr="00506377" w:rsidRDefault="00C8063B" w:rsidP="009A5D3B">
            <w:pPr>
              <w:jc w:val="both"/>
              <w:rPr>
                <w:b/>
                <w:sz w:val="15"/>
                <w:szCs w:val="15"/>
              </w:rPr>
            </w:pPr>
            <w:r w:rsidRPr="00506377">
              <w:rPr>
                <w:b/>
                <w:sz w:val="15"/>
                <w:szCs w:val="15"/>
              </w:rPr>
              <w:t>Prepared By:</w:t>
            </w:r>
            <w:r w:rsidR="00B919B7" w:rsidRPr="00506377">
              <w:rPr>
                <w:b/>
                <w:sz w:val="15"/>
                <w:szCs w:val="15"/>
              </w:rPr>
              <w:t xml:space="preserve"> Yun Xie</w:t>
            </w:r>
          </w:p>
          <w:p w14:paraId="67108435" w14:textId="21DBE44E" w:rsidR="000362B3" w:rsidRPr="00506377" w:rsidRDefault="000362B3" w:rsidP="009A5D3B">
            <w:pPr>
              <w:jc w:val="both"/>
              <w:rPr>
                <w:b/>
                <w:sz w:val="15"/>
                <w:szCs w:val="15"/>
              </w:rPr>
            </w:pPr>
            <w:r w:rsidRPr="00506377">
              <w:rPr>
                <w:b/>
                <w:sz w:val="15"/>
                <w:szCs w:val="15"/>
              </w:rPr>
              <w:t xml:space="preserve">Sources: Bloomberg, S&amp;P </w:t>
            </w:r>
            <w:proofErr w:type="spellStart"/>
            <w:r w:rsidRPr="00506377">
              <w:rPr>
                <w:b/>
                <w:sz w:val="15"/>
                <w:szCs w:val="15"/>
              </w:rPr>
              <w:t>NetAdvantage</w:t>
            </w:r>
            <w:proofErr w:type="spellEnd"/>
            <w:r w:rsidRPr="00506377">
              <w:rPr>
                <w:b/>
                <w:sz w:val="15"/>
                <w:szCs w:val="15"/>
              </w:rPr>
              <w:t>, VLIS, Morningstar</w:t>
            </w:r>
          </w:p>
        </w:tc>
        <w:tc>
          <w:tcPr>
            <w:tcW w:w="4320" w:type="dxa"/>
          </w:tcPr>
          <w:p w14:paraId="7FACE228" w14:textId="170AD80A" w:rsidR="004F2EAA" w:rsidRPr="00506377" w:rsidRDefault="004F2EAA" w:rsidP="009A5D3B">
            <w:pPr>
              <w:jc w:val="both"/>
              <w:rPr>
                <w:b/>
                <w:sz w:val="15"/>
                <w:szCs w:val="15"/>
              </w:rPr>
            </w:pPr>
          </w:p>
          <w:tbl>
            <w:tblPr>
              <w:tblStyle w:val="TableGrid"/>
              <w:tblW w:w="4094" w:type="dxa"/>
              <w:tblLook w:val="04A0" w:firstRow="1" w:lastRow="0" w:firstColumn="1" w:lastColumn="0" w:noHBand="0" w:noVBand="1"/>
            </w:tblPr>
            <w:tblGrid>
              <w:gridCol w:w="1422"/>
              <w:gridCol w:w="900"/>
              <w:gridCol w:w="810"/>
              <w:gridCol w:w="962"/>
            </w:tblGrid>
            <w:tr w:rsidR="00EA5213" w:rsidRPr="00506377" w14:paraId="39927E41" w14:textId="77777777" w:rsidTr="0060598F">
              <w:tc>
                <w:tcPr>
                  <w:tcW w:w="1422" w:type="dxa"/>
                  <w:shd w:val="clear" w:color="auto" w:fill="DBE5F1" w:themeFill="accent1" w:themeFillTint="33"/>
                </w:tcPr>
                <w:p w14:paraId="405B542F" w14:textId="7C67957F" w:rsidR="00EA5213" w:rsidRPr="00506377" w:rsidRDefault="00EA5213" w:rsidP="00EA5213">
                  <w:pPr>
                    <w:rPr>
                      <w:sz w:val="15"/>
                      <w:szCs w:val="15"/>
                    </w:rPr>
                  </w:pPr>
                </w:p>
              </w:tc>
              <w:tc>
                <w:tcPr>
                  <w:tcW w:w="900" w:type="dxa"/>
                  <w:shd w:val="clear" w:color="auto" w:fill="DBE5F1" w:themeFill="accent1" w:themeFillTint="33"/>
                </w:tcPr>
                <w:p w14:paraId="0AB96B2A" w14:textId="7E386AD7" w:rsidR="00EA5213" w:rsidRPr="00506377" w:rsidRDefault="00B17D67" w:rsidP="00EA5213">
                  <w:pPr>
                    <w:rPr>
                      <w:sz w:val="15"/>
                      <w:szCs w:val="15"/>
                    </w:rPr>
                  </w:pPr>
                  <w:r w:rsidRPr="00506377">
                    <w:rPr>
                      <w:sz w:val="15"/>
                      <w:szCs w:val="15"/>
                    </w:rPr>
                    <w:t>RAI</w:t>
                  </w:r>
                </w:p>
              </w:tc>
              <w:tc>
                <w:tcPr>
                  <w:tcW w:w="810" w:type="dxa"/>
                  <w:shd w:val="clear" w:color="auto" w:fill="DBE5F1" w:themeFill="accent1" w:themeFillTint="33"/>
                </w:tcPr>
                <w:p w14:paraId="0650E6CE" w14:textId="77777777" w:rsidR="00EA5213" w:rsidRPr="00506377" w:rsidRDefault="00EA5213" w:rsidP="00EA5213">
                  <w:pPr>
                    <w:rPr>
                      <w:sz w:val="15"/>
                      <w:szCs w:val="15"/>
                    </w:rPr>
                  </w:pPr>
                  <w:r w:rsidRPr="00506377">
                    <w:rPr>
                      <w:sz w:val="15"/>
                      <w:szCs w:val="15"/>
                    </w:rPr>
                    <w:t xml:space="preserve">Sector </w:t>
                  </w:r>
                </w:p>
              </w:tc>
              <w:tc>
                <w:tcPr>
                  <w:tcW w:w="962" w:type="dxa"/>
                  <w:shd w:val="clear" w:color="auto" w:fill="DBE5F1" w:themeFill="accent1" w:themeFillTint="33"/>
                </w:tcPr>
                <w:p w14:paraId="68B31751" w14:textId="77777777" w:rsidR="00EA5213" w:rsidRPr="00506377" w:rsidRDefault="00EA5213" w:rsidP="00EA5213">
                  <w:pPr>
                    <w:rPr>
                      <w:sz w:val="15"/>
                      <w:szCs w:val="15"/>
                    </w:rPr>
                  </w:pPr>
                  <w:r w:rsidRPr="00506377">
                    <w:rPr>
                      <w:sz w:val="15"/>
                      <w:szCs w:val="15"/>
                    </w:rPr>
                    <w:t>S&amp;P 500</w:t>
                  </w:r>
                </w:p>
              </w:tc>
            </w:tr>
            <w:tr w:rsidR="00E46B28" w:rsidRPr="00506377" w14:paraId="47681D86" w14:textId="77777777" w:rsidTr="00371C05">
              <w:tc>
                <w:tcPr>
                  <w:tcW w:w="1422" w:type="dxa"/>
                </w:tcPr>
                <w:p w14:paraId="440258CF" w14:textId="77777777" w:rsidR="00E46B28" w:rsidRPr="00506377" w:rsidRDefault="00E46B28" w:rsidP="00EA5213">
                  <w:pPr>
                    <w:rPr>
                      <w:sz w:val="15"/>
                      <w:szCs w:val="15"/>
                    </w:rPr>
                  </w:pPr>
                  <w:r w:rsidRPr="00506377">
                    <w:rPr>
                      <w:sz w:val="15"/>
                      <w:szCs w:val="15"/>
                    </w:rPr>
                    <w:t>YTD</w:t>
                  </w:r>
                </w:p>
              </w:tc>
              <w:tc>
                <w:tcPr>
                  <w:tcW w:w="900" w:type="dxa"/>
                </w:tcPr>
                <w:p w14:paraId="2915C4D5" w14:textId="6B7EB754" w:rsidR="00E46B28" w:rsidRPr="00506377" w:rsidRDefault="00E46B28" w:rsidP="0089190C">
                  <w:pPr>
                    <w:rPr>
                      <w:sz w:val="15"/>
                      <w:szCs w:val="15"/>
                    </w:rPr>
                  </w:pPr>
                  <w:r w:rsidRPr="00506377">
                    <w:rPr>
                      <w:sz w:val="15"/>
                      <w:szCs w:val="15"/>
                    </w:rPr>
                    <w:t>46.82%</w:t>
                  </w:r>
                </w:p>
              </w:tc>
              <w:tc>
                <w:tcPr>
                  <w:tcW w:w="810" w:type="dxa"/>
                </w:tcPr>
                <w:p w14:paraId="432CEBBB" w14:textId="5567B7D6" w:rsidR="00E46B28" w:rsidRPr="00506377" w:rsidRDefault="00E46B28" w:rsidP="00EA5213">
                  <w:pPr>
                    <w:rPr>
                      <w:sz w:val="15"/>
                      <w:szCs w:val="15"/>
                    </w:rPr>
                  </w:pPr>
                  <w:r w:rsidRPr="00506377">
                    <w:rPr>
                      <w:sz w:val="15"/>
                      <w:szCs w:val="15"/>
                    </w:rPr>
                    <w:t>17.26%</w:t>
                  </w:r>
                </w:p>
              </w:tc>
              <w:tc>
                <w:tcPr>
                  <w:tcW w:w="962" w:type="dxa"/>
                </w:tcPr>
                <w:p w14:paraId="2D5C424C" w14:textId="301B8847" w:rsidR="00E46B28" w:rsidRPr="00506377" w:rsidRDefault="00E46B28" w:rsidP="00EA5213">
                  <w:pPr>
                    <w:rPr>
                      <w:sz w:val="15"/>
                      <w:szCs w:val="15"/>
                    </w:rPr>
                  </w:pPr>
                  <w:r w:rsidRPr="00506377">
                    <w:rPr>
                      <w:sz w:val="13"/>
                      <w:szCs w:val="13"/>
                    </w:rPr>
                    <w:t>12.04%</w:t>
                  </w:r>
                </w:p>
              </w:tc>
            </w:tr>
            <w:tr w:rsidR="00E46B28" w:rsidRPr="00506377" w14:paraId="7508E285" w14:textId="77777777" w:rsidTr="00371C05">
              <w:tc>
                <w:tcPr>
                  <w:tcW w:w="1422" w:type="dxa"/>
                </w:tcPr>
                <w:p w14:paraId="291748D7" w14:textId="70E71002" w:rsidR="00E46B28" w:rsidRPr="00506377" w:rsidRDefault="00E46B28" w:rsidP="00EA5213">
                  <w:pPr>
                    <w:rPr>
                      <w:sz w:val="15"/>
                      <w:szCs w:val="15"/>
                    </w:rPr>
                  </w:pPr>
                  <w:r w:rsidRPr="00506377">
                    <w:rPr>
                      <w:sz w:val="15"/>
                      <w:szCs w:val="15"/>
                    </w:rPr>
                    <w:t>TTM</w:t>
                  </w:r>
                </w:p>
              </w:tc>
              <w:tc>
                <w:tcPr>
                  <w:tcW w:w="900" w:type="dxa"/>
                </w:tcPr>
                <w:p w14:paraId="7D52360B" w14:textId="60C7850F" w:rsidR="00E46B28" w:rsidRPr="00506377" w:rsidRDefault="00E46B28" w:rsidP="00EA5213">
                  <w:pPr>
                    <w:rPr>
                      <w:sz w:val="15"/>
                      <w:szCs w:val="15"/>
                    </w:rPr>
                  </w:pPr>
                </w:p>
              </w:tc>
              <w:tc>
                <w:tcPr>
                  <w:tcW w:w="810" w:type="dxa"/>
                </w:tcPr>
                <w:p w14:paraId="55F0514F" w14:textId="7B8CB9F9" w:rsidR="00E46B28" w:rsidRPr="00506377" w:rsidRDefault="00E46B28" w:rsidP="0089190C">
                  <w:pPr>
                    <w:rPr>
                      <w:sz w:val="15"/>
                      <w:szCs w:val="15"/>
                    </w:rPr>
                  </w:pPr>
                </w:p>
              </w:tc>
              <w:tc>
                <w:tcPr>
                  <w:tcW w:w="962" w:type="dxa"/>
                </w:tcPr>
                <w:p w14:paraId="7F6C33B7" w14:textId="2B47DEAA" w:rsidR="00E46B28" w:rsidRPr="00506377" w:rsidRDefault="00E46B28" w:rsidP="00EA5213">
                  <w:pPr>
                    <w:rPr>
                      <w:sz w:val="15"/>
                      <w:szCs w:val="15"/>
                    </w:rPr>
                  </w:pPr>
                  <w:r w:rsidRPr="00506377">
                    <w:rPr>
                      <w:sz w:val="13"/>
                      <w:szCs w:val="13"/>
                    </w:rPr>
                    <w:t>0.686%</w:t>
                  </w:r>
                </w:p>
              </w:tc>
            </w:tr>
            <w:tr w:rsidR="00E46B28" w:rsidRPr="00506377" w14:paraId="0876038A" w14:textId="77777777" w:rsidTr="00371C05">
              <w:tc>
                <w:tcPr>
                  <w:tcW w:w="1422" w:type="dxa"/>
                </w:tcPr>
                <w:p w14:paraId="1F90980B" w14:textId="77777777" w:rsidR="00E46B28" w:rsidRPr="00506377" w:rsidRDefault="00E46B28" w:rsidP="00B17D67">
                  <w:pPr>
                    <w:rPr>
                      <w:sz w:val="15"/>
                      <w:szCs w:val="15"/>
                    </w:rPr>
                  </w:pPr>
                  <w:r w:rsidRPr="00506377">
                    <w:rPr>
                      <w:sz w:val="15"/>
                      <w:szCs w:val="15"/>
                    </w:rPr>
                    <w:t xml:space="preserve">Last 3 Years </w:t>
                  </w:r>
                </w:p>
              </w:tc>
              <w:tc>
                <w:tcPr>
                  <w:tcW w:w="900" w:type="dxa"/>
                </w:tcPr>
                <w:p w14:paraId="0925A661" w14:textId="64A4A40A" w:rsidR="00E46B28" w:rsidRPr="00506377" w:rsidRDefault="00E46B28" w:rsidP="00B17D67">
                  <w:pPr>
                    <w:rPr>
                      <w:sz w:val="15"/>
                      <w:szCs w:val="15"/>
                    </w:rPr>
                  </w:pPr>
                  <w:r w:rsidRPr="00506377">
                    <w:rPr>
                      <w:sz w:val="15"/>
                      <w:szCs w:val="15"/>
                    </w:rPr>
                    <w:t>34.55%</w:t>
                  </w:r>
                </w:p>
              </w:tc>
              <w:tc>
                <w:tcPr>
                  <w:tcW w:w="810" w:type="dxa"/>
                </w:tcPr>
                <w:p w14:paraId="046C9C8D" w14:textId="1B35F5B7" w:rsidR="00E46B28" w:rsidRPr="00506377" w:rsidRDefault="00E46B28" w:rsidP="00B17D67">
                  <w:pPr>
                    <w:rPr>
                      <w:sz w:val="15"/>
                      <w:szCs w:val="15"/>
                    </w:rPr>
                  </w:pPr>
                  <w:r w:rsidRPr="00506377">
                    <w:rPr>
                      <w:sz w:val="15"/>
                      <w:szCs w:val="15"/>
                    </w:rPr>
                    <w:t>66.05%</w:t>
                  </w:r>
                </w:p>
              </w:tc>
              <w:tc>
                <w:tcPr>
                  <w:tcW w:w="962" w:type="dxa"/>
                </w:tcPr>
                <w:p w14:paraId="55BE815F" w14:textId="7F35F58C" w:rsidR="00E46B28" w:rsidRPr="00506377" w:rsidRDefault="00E46B28" w:rsidP="00B17D67">
                  <w:pPr>
                    <w:rPr>
                      <w:sz w:val="15"/>
                      <w:szCs w:val="15"/>
                    </w:rPr>
                  </w:pPr>
                  <w:r w:rsidRPr="00506377">
                    <w:rPr>
                      <w:sz w:val="13"/>
                      <w:szCs w:val="13"/>
                    </w:rPr>
                    <w:t>63.45%</w:t>
                  </w:r>
                </w:p>
              </w:tc>
            </w:tr>
            <w:tr w:rsidR="00E46B28" w:rsidRPr="00506377" w14:paraId="28B8CB1E" w14:textId="77777777" w:rsidTr="00371C05">
              <w:tc>
                <w:tcPr>
                  <w:tcW w:w="1422" w:type="dxa"/>
                </w:tcPr>
                <w:p w14:paraId="3272796F" w14:textId="77777777" w:rsidR="00E46B28" w:rsidRPr="00506377" w:rsidRDefault="00E46B28" w:rsidP="00B17D67">
                  <w:pPr>
                    <w:rPr>
                      <w:sz w:val="15"/>
                      <w:szCs w:val="15"/>
                    </w:rPr>
                  </w:pPr>
                  <w:r w:rsidRPr="00506377">
                    <w:rPr>
                      <w:sz w:val="15"/>
                      <w:szCs w:val="15"/>
                    </w:rPr>
                    <w:t xml:space="preserve">Last 5 Years </w:t>
                  </w:r>
                </w:p>
              </w:tc>
              <w:tc>
                <w:tcPr>
                  <w:tcW w:w="900" w:type="dxa"/>
                </w:tcPr>
                <w:p w14:paraId="6CA968EB" w14:textId="00203E68" w:rsidR="00E46B28" w:rsidRPr="00506377" w:rsidRDefault="00E46B28" w:rsidP="00B17D67">
                  <w:pPr>
                    <w:rPr>
                      <w:sz w:val="15"/>
                      <w:szCs w:val="15"/>
                    </w:rPr>
                  </w:pPr>
                  <w:r w:rsidRPr="00506377">
                    <w:rPr>
                      <w:sz w:val="15"/>
                      <w:szCs w:val="15"/>
                    </w:rPr>
                    <w:t>33.77%</w:t>
                  </w:r>
                </w:p>
              </w:tc>
              <w:tc>
                <w:tcPr>
                  <w:tcW w:w="810" w:type="dxa"/>
                </w:tcPr>
                <w:p w14:paraId="3A2AF828" w14:textId="7006D5D9" w:rsidR="00E46B28" w:rsidRPr="00506377" w:rsidRDefault="00E46B28" w:rsidP="00B17D67">
                  <w:pPr>
                    <w:rPr>
                      <w:sz w:val="15"/>
                      <w:szCs w:val="15"/>
                    </w:rPr>
                  </w:pPr>
                  <w:r w:rsidRPr="00506377">
                    <w:rPr>
                      <w:sz w:val="15"/>
                      <w:szCs w:val="15"/>
                    </w:rPr>
                    <w:t>56.51%</w:t>
                  </w:r>
                </w:p>
              </w:tc>
              <w:tc>
                <w:tcPr>
                  <w:tcW w:w="962" w:type="dxa"/>
                </w:tcPr>
                <w:p w14:paraId="1D7EE8E1" w14:textId="5419FB3D" w:rsidR="00E46B28" w:rsidRPr="00506377" w:rsidRDefault="00E46B28" w:rsidP="00B17D67">
                  <w:pPr>
                    <w:rPr>
                      <w:sz w:val="15"/>
                      <w:szCs w:val="15"/>
                    </w:rPr>
                  </w:pPr>
                  <w:r w:rsidRPr="00506377">
                    <w:rPr>
                      <w:sz w:val="13"/>
                      <w:szCs w:val="13"/>
                    </w:rPr>
                    <w:t>84.44%</w:t>
                  </w:r>
                </w:p>
              </w:tc>
            </w:tr>
          </w:tbl>
          <w:p w14:paraId="51BB9526" w14:textId="77777777" w:rsidR="00096901" w:rsidRPr="00506377" w:rsidRDefault="00096901" w:rsidP="009A5D3B">
            <w:pPr>
              <w:jc w:val="both"/>
              <w:rPr>
                <w:b/>
                <w:sz w:val="15"/>
                <w:szCs w:val="15"/>
              </w:rPr>
            </w:pPr>
          </w:p>
          <w:p w14:paraId="221910A7" w14:textId="368D2A1A" w:rsidR="009F0D12" w:rsidRPr="00506377" w:rsidRDefault="009F0D12" w:rsidP="009A5D3B">
            <w:pPr>
              <w:jc w:val="both"/>
              <w:rPr>
                <w:b/>
                <w:sz w:val="15"/>
                <w:szCs w:val="15"/>
              </w:rPr>
            </w:pPr>
            <w:r w:rsidRPr="00506377">
              <w:rPr>
                <w:b/>
                <w:sz w:val="15"/>
                <w:szCs w:val="15"/>
              </w:rPr>
              <w:t>CSR Characteristics</w:t>
            </w:r>
          </w:p>
          <w:tbl>
            <w:tblPr>
              <w:tblStyle w:val="TableGrid"/>
              <w:tblW w:w="4166" w:type="dxa"/>
              <w:tblLook w:val="04A0" w:firstRow="1" w:lastRow="0" w:firstColumn="1" w:lastColumn="0" w:noHBand="0" w:noVBand="1"/>
            </w:tblPr>
            <w:tblGrid>
              <w:gridCol w:w="2202"/>
              <w:gridCol w:w="1020"/>
              <w:gridCol w:w="944"/>
            </w:tblGrid>
            <w:tr w:rsidR="009F0D12" w:rsidRPr="00506377" w14:paraId="45EE1C47" w14:textId="77777777" w:rsidTr="00932D42">
              <w:tc>
                <w:tcPr>
                  <w:tcW w:w="2202" w:type="dxa"/>
                  <w:shd w:val="clear" w:color="auto" w:fill="DBE5F1" w:themeFill="accent1" w:themeFillTint="33"/>
                </w:tcPr>
                <w:p w14:paraId="48F472B3" w14:textId="77777777" w:rsidR="009F0D12" w:rsidRPr="00506377" w:rsidRDefault="009F0D12" w:rsidP="009F0D12">
                  <w:pPr>
                    <w:rPr>
                      <w:sz w:val="15"/>
                      <w:szCs w:val="15"/>
                    </w:rPr>
                  </w:pPr>
                </w:p>
              </w:tc>
              <w:tc>
                <w:tcPr>
                  <w:tcW w:w="1020" w:type="dxa"/>
                  <w:shd w:val="clear" w:color="auto" w:fill="DBE5F1" w:themeFill="accent1" w:themeFillTint="33"/>
                </w:tcPr>
                <w:p w14:paraId="64E10A6D" w14:textId="44610BDA" w:rsidR="009F0D12" w:rsidRPr="00506377" w:rsidRDefault="009F0D12" w:rsidP="009F0D12">
                  <w:pPr>
                    <w:rPr>
                      <w:sz w:val="15"/>
                      <w:szCs w:val="15"/>
                    </w:rPr>
                  </w:pPr>
                  <w:r w:rsidRPr="00506377">
                    <w:rPr>
                      <w:sz w:val="15"/>
                      <w:szCs w:val="15"/>
                    </w:rPr>
                    <w:t xml:space="preserve">Company </w:t>
                  </w:r>
                </w:p>
              </w:tc>
              <w:tc>
                <w:tcPr>
                  <w:tcW w:w="944" w:type="dxa"/>
                  <w:shd w:val="clear" w:color="auto" w:fill="DBE5F1" w:themeFill="accent1" w:themeFillTint="33"/>
                </w:tcPr>
                <w:p w14:paraId="2859E9CA" w14:textId="46E55C19" w:rsidR="009F0D12" w:rsidRPr="00506377" w:rsidRDefault="009F0D12" w:rsidP="009F0D12">
                  <w:pPr>
                    <w:rPr>
                      <w:sz w:val="15"/>
                      <w:szCs w:val="15"/>
                    </w:rPr>
                  </w:pPr>
                  <w:r w:rsidRPr="00506377">
                    <w:rPr>
                      <w:sz w:val="15"/>
                      <w:szCs w:val="15"/>
                    </w:rPr>
                    <w:t xml:space="preserve">Industry  </w:t>
                  </w:r>
                </w:p>
              </w:tc>
            </w:tr>
            <w:tr w:rsidR="009F0D12" w:rsidRPr="00506377" w14:paraId="7789B7FE" w14:textId="77777777" w:rsidTr="00932D42">
              <w:tc>
                <w:tcPr>
                  <w:tcW w:w="2202" w:type="dxa"/>
                </w:tcPr>
                <w:p w14:paraId="6E37B1E0" w14:textId="321D190E" w:rsidR="009F0D12" w:rsidRPr="00506377" w:rsidRDefault="00BA7CED" w:rsidP="009F0D12">
                  <w:pPr>
                    <w:rPr>
                      <w:sz w:val="15"/>
                      <w:szCs w:val="15"/>
                    </w:rPr>
                  </w:pPr>
                  <w:r w:rsidRPr="00506377">
                    <w:rPr>
                      <w:sz w:val="15"/>
                      <w:szCs w:val="15"/>
                    </w:rPr>
                    <w:t>ESG Disclosure</w:t>
                  </w:r>
                </w:p>
              </w:tc>
              <w:tc>
                <w:tcPr>
                  <w:tcW w:w="1020" w:type="dxa"/>
                </w:tcPr>
                <w:p w14:paraId="69AFC6D3" w14:textId="53F319F8" w:rsidR="009F0D12" w:rsidRPr="00506377" w:rsidRDefault="00313EEF" w:rsidP="0001176B">
                  <w:pPr>
                    <w:jc w:val="center"/>
                    <w:rPr>
                      <w:sz w:val="15"/>
                      <w:szCs w:val="15"/>
                    </w:rPr>
                  </w:pPr>
                  <w:r w:rsidRPr="00506377">
                    <w:rPr>
                      <w:sz w:val="15"/>
                      <w:szCs w:val="15"/>
                    </w:rPr>
                    <w:t>40.91</w:t>
                  </w:r>
                </w:p>
              </w:tc>
              <w:tc>
                <w:tcPr>
                  <w:tcW w:w="944" w:type="dxa"/>
                </w:tcPr>
                <w:p w14:paraId="176B6E96" w14:textId="766E7479" w:rsidR="009F0D12" w:rsidRPr="00506377" w:rsidRDefault="00313EEF" w:rsidP="0001176B">
                  <w:pPr>
                    <w:jc w:val="center"/>
                    <w:rPr>
                      <w:sz w:val="15"/>
                      <w:szCs w:val="15"/>
                    </w:rPr>
                  </w:pPr>
                  <w:r w:rsidRPr="00506377">
                    <w:rPr>
                      <w:sz w:val="15"/>
                      <w:szCs w:val="15"/>
                    </w:rPr>
                    <w:t>25.57</w:t>
                  </w:r>
                </w:p>
              </w:tc>
            </w:tr>
            <w:tr w:rsidR="00BA7CED" w:rsidRPr="00506377" w14:paraId="56095003" w14:textId="77777777" w:rsidTr="00932D42">
              <w:tc>
                <w:tcPr>
                  <w:tcW w:w="2202" w:type="dxa"/>
                </w:tcPr>
                <w:p w14:paraId="01F06376" w14:textId="3ABF203A" w:rsidR="00BA7CED" w:rsidRPr="00506377" w:rsidRDefault="00E02ABF" w:rsidP="009F0D12">
                  <w:pPr>
                    <w:rPr>
                      <w:sz w:val="15"/>
                      <w:szCs w:val="15"/>
                    </w:rPr>
                  </w:pPr>
                  <w:r w:rsidRPr="00506377">
                    <w:rPr>
                      <w:sz w:val="15"/>
                      <w:szCs w:val="15"/>
                    </w:rPr>
                    <w:t>Governance Disclosure Score</w:t>
                  </w:r>
                </w:p>
              </w:tc>
              <w:tc>
                <w:tcPr>
                  <w:tcW w:w="1020" w:type="dxa"/>
                </w:tcPr>
                <w:p w14:paraId="7E2457FE" w14:textId="25618BF5" w:rsidR="00BA7CED" w:rsidRPr="00506377" w:rsidRDefault="00313EEF" w:rsidP="0001176B">
                  <w:pPr>
                    <w:jc w:val="center"/>
                    <w:rPr>
                      <w:sz w:val="15"/>
                      <w:szCs w:val="15"/>
                    </w:rPr>
                  </w:pPr>
                  <w:r w:rsidRPr="00506377">
                    <w:rPr>
                      <w:sz w:val="15"/>
                      <w:szCs w:val="15"/>
                    </w:rPr>
                    <w:t>66.07</w:t>
                  </w:r>
                </w:p>
              </w:tc>
              <w:tc>
                <w:tcPr>
                  <w:tcW w:w="944" w:type="dxa"/>
                </w:tcPr>
                <w:p w14:paraId="535098F8" w14:textId="68C3CEA6" w:rsidR="00BA7CED" w:rsidRPr="00506377" w:rsidRDefault="00313EEF" w:rsidP="0001176B">
                  <w:pPr>
                    <w:jc w:val="center"/>
                    <w:rPr>
                      <w:sz w:val="15"/>
                      <w:szCs w:val="15"/>
                    </w:rPr>
                  </w:pPr>
                  <w:r w:rsidRPr="00506377">
                    <w:rPr>
                      <w:sz w:val="15"/>
                      <w:szCs w:val="15"/>
                    </w:rPr>
                    <w:t>50.00</w:t>
                  </w:r>
                </w:p>
              </w:tc>
            </w:tr>
            <w:tr w:rsidR="009F0D12" w:rsidRPr="00506377" w14:paraId="2AED786D" w14:textId="77777777" w:rsidTr="00932D42">
              <w:tc>
                <w:tcPr>
                  <w:tcW w:w="2202" w:type="dxa"/>
                </w:tcPr>
                <w:p w14:paraId="1512DF1C" w14:textId="514427D6" w:rsidR="009F0D12" w:rsidRPr="00506377" w:rsidRDefault="00E02ABF" w:rsidP="009F0D12">
                  <w:pPr>
                    <w:rPr>
                      <w:sz w:val="15"/>
                      <w:szCs w:val="15"/>
                    </w:rPr>
                  </w:pPr>
                  <w:r w:rsidRPr="00506377">
                    <w:rPr>
                      <w:sz w:val="15"/>
                      <w:szCs w:val="15"/>
                    </w:rPr>
                    <w:t>Social Disclosure Score</w:t>
                  </w:r>
                </w:p>
              </w:tc>
              <w:tc>
                <w:tcPr>
                  <w:tcW w:w="1020" w:type="dxa"/>
                </w:tcPr>
                <w:p w14:paraId="1005E3B5" w14:textId="175D68C7" w:rsidR="009F0D12" w:rsidRPr="00506377" w:rsidRDefault="00313EEF" w:rsidP="0001176B">
                  <w:pPr>
                    <w:jc w:val="center"/>
                    <w:rPr>
                      <w:sz w:val="15"/>
                      <w:szCs w:val="15"/>
                    </w:rPr>
                  </w:pPr>
                  <w:r w:rsidRPr="00506377">
                    <w:rPr>
                      <w:sz w:val="15"/>
                      <w:szCs w:val="15"/>
                    </w:rPr>
                    <w:t>17.54</w:t>
                  </w:r>
                </w:p>
              </w:tc>
              <w:tc>
                <w:tcPr>
                  <w:tcW w:w="944" w:type="dxa"/>
                </w:tcPr>
                <w:p w14:paraId="4CFD4283" w14:textId="2E56FD4D" w:rsidR="009F0D12" w:rsidRPr="00506377" w:rsidRDefault="00313EEF" w:rsidP="0001176B">
                  <w:pPr>
                    <w:jc w:val="center"/>
                    <w:rPr>
                      <w:sz w:val="15"/>
                      <w:szCs w:val="15"/>
                    </w:rPr>
                  </w:pPr>
                  <w:r w:rsidRPr="00506377">
                    <w:rPr>
                      <w:sz w:val="15"/>
                      <w:szCs w:val="15"/>
                    </w:rPr>
                    <w:t>34.39</w:t>
                  </w:r>
                </w:p>
              </w:tc>
            </w:tr>
            <w:tr w:rsidR="00C167A6" w:rsidRPr="00506377" w14:paraId="51ECD4C4" w14:textId="77777777" w:rsidTr="00425273">
              <w:trPr>
                <w:trHeight w:val="70"/>
              </w:trPr>
              <w:tc>
                <w:tcPr>
                  <w:tcW w:w="2202" w:type="dxa"/>
                </w:tcPr>
                <w:p w14:paraId="141C9522" w14:textId="183B7621" w:rsidR="00C167A6" w:rsidRPr="00506377" w:rsidRDefault="00C167A6" w:rsidP="00313EEF">
                  <w:pPr>
                    <w:rPr>
                      <w:sz w:val="15"/>
                      <w:szCs w:val="15"/>
                    </w:rPr>
                  </w:pPr>
                  <w:r w:rsidRPr="00506377">
                    <w:rPr>
                      <w:sz w:val="15"/>
                      <w:szCs w:val="15"/>
                    </w:rPr>
                    <w:t>Environmental Disclosure Score</w:t>
                  </w:r>
                </w:p>
              </w:tc>
              <w:tc>
                <w:tcPr>
                  <w:tcW w:w="1020" w:type="dxa"/>
                </w:tcPr>
                <w:p w14:paraId="2791F153" w14:textId="44DCB163" w:rsidR="00C167A6" w:rsidRPr="00506377" w:rsidRDefault="00C167A6" w:rsidP="00313EEF">
                  <w:pPr>
                    <w:jc w:val="center"/>
                    <w:rPr>
                      <w:sz w:val="15"/>
                      <w:szCs w:val="15"/>
                    </w:rPr>
                  </w:pPr>
                  <w:r w:rsidRPr="00506377">
                    <w:rPr>
                      <w:sz w:val="15"/>
                      <w:szCs w:val="15"/>
                    </w:rPr>
                    <w:t>40.31</w:t>
                  </w:r>
                </w:p>
              </w:tc>
              <w:tc>
                <w:tcPr>
                  <w:tcW w:w="944" w:type="dxa"/>
                </w:tcPr>
                <w:p w14:paraId="24E3CAEE" w14:textId="500AD9FC" w:rsidR="00C167A6" w:rsidRPr="00506377" w:rsidRDefault="00425273" w:rsidP="00425273">
                  <w:pPr>
                    <w:rPr>
                      <w:sz w:val="15"/>
                      <w:szCs w:val="15"/>
                    </w:rPr>
                  </w:pPr>
                  <w:r w:rsidRPr="00506377">
                    <w:rPr>
                      <w:sz w:val="15"/>
                      <w:szCs w:val="15"/>
                    </w:rPr>
                    <w:t xml:space="preserve">    </w:t>
                  </w:r>
                  <w:r w:rsidR="00C167A6" w:rsidRPr="00506377">
                    <w:rPr>
                      <w:sz w:val="15"/>
                      <w:szCs w:val="15"/>
                    </w:rPr>
                    <w:t>33.08</w:t>
                  </w:r>
                  <w:r w:rsidR="00C167A6" w:rsidRPr="00506377">
                    <w:rPr>
                      <w:rFonts w:ascii="Calibri" w:hAnsi="Calibri"/>
                      <w:color w:val="000000"/>
                      <w:sz w:val="15"/>
                      <w:szCs w:val="15"/>
                    </w:rPr>
                    <w:t xml:space="preserve"> </w:t>
                  </w:r>
                </w:p>
              </w:tc>
            </w:tr>
          </w:tbl>
          <w:p w14:paraId="62EFF545" w14:textId="453E5262" w:rsidR="009F0D12" w:rsidRPr="00506377" w:rsidRDefault="009F0D12" w:rsidP="009A5D3B">
            <w:pPr>
              <w:jc w:val="both"/>
              <w:rPr>
                <w:b/>
                <w:sz w:val="15"/>
                <w:szCs w:val="15"/>
              </w:rPr>
            </w:pPr>
          </w:p>
        </w:tc>
      </w:tr>
    </w:tbl>
    <w:p w14:paraId="5C1E381E" w14:textId="36A09156" w:rsidR="00830F06" w:rsidRPr="00506377" w:rsidRDefault="00830F06" w:rsidP="000362B3">
      <w:pPr>
        <w:jc w:val="both"/>
        <w:rPr>
          <w:b/>
          <w:sz w:val="12"/>
          <w:szCs w:val="12"/>
        </w:rPr>
      </w:pPr>
    </w:p>
    <w:sectPr w:rsidR="00830F06" w:rsidRPr="00506377" w:rsidSect="00920D13">
      <w:pgSz w:w="12240" w:h="15840"/>
      <w:pgMar w:top="45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UniversLTStd-BoldCn">
    <w:panose1 w:val="00000000000000000000"/>
    <w:charset w:val="00"/>
    <w:family w:val="auto"/>
    <w:notTrueType/>
    <w:pitch w:val="default"/>
    <w:sig w:usb0="00000003" w:usb1="00000000" w:usb2="00000000" w:usb3="00000000" w:csb0="00000001" w:csb1="00000000"/>
  </w:font>
  <w:font w:name="Univers">
    <w:altName w:val="Arial"/>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5D38"/>
    <w:multiLevelType w:val="multilevel"/>
    <w:tmpl w:val="0C7C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9335D"/>
    <w:multiLevelType w:val="hybridMultilevel"/>
    <w:tmpl w:val="8B7ED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FB0C16"/>
    <w:multiLevelType w:val="hybridMultilevel"/>
    <w:tmpl w:val="CA7A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F3661"/>
    <w:multiLevelType w:val="hybridMultilevel"/>
    <w:tmpl w:val="E5A2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E3871"/>
    <w:multiLevelType w:val="hybridMultilevel"/>
    <w:tmpl w:val="E8E09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C65E77"/>
    <w:multiLevelType w:val="hybridMultilevel"/>
    <w:tmpl w:val="5FC8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CC5346"/>
    <w:multiLevelType w:val="multilevel"/>
    <w:tmpl w:val="C3BE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194D75"/>
    <w:multiLevelType w:val="multilevel"/>
    <w:tmpl w:val="A31E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975878"/>
    <w:multiLevelType w:val="hybridMultilevel"/>
    <w:tmpl w:val="71B4A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E331C45"/>
    <w:multiLevelType w:val="hybridMultilevel"/>
    <w:tmpl w:val="7180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AD4605"/>
    <w:multiLevelType w:val="hybridMultilevel"/>
    <w:tmpl w:val="12D00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153937"/>
    <w:multiLevelType w:val="multilevel"/>
    <w:tmpl w:val="50F8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0E2672"/>
    <w:multiLevelType w:val="multilevel"/>
    <w:tmpl w:val="1ACA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4"/>
  </w:num>
  <w:num w:numId="5">
    <w:abstractNumId w:val="3"/>
  </w:num>
  <w:num w:numId="6">
    <w:abstractNumId w:val="6"/>
  </w:num>
  <w:num w:numId="7">
    <w:abstractNumId w:val="11"/>
  </w:num>
  <w:num w:numId="8">
    <w:abstractNumId w:val="0"/>
  </w:num>
  <w:num w:numId="9">
    <w:abstractNumId w:val="12"/>
  </w:num>
  <w:num w:numId="10">
    <w:abstractNumId w:val="2"/>
  </w:num>
  <w:num w:numId="11">
    <w:abstractNumId w:val="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B8"/>
    <w:rsid w:val="0001176B"/>
    <w:rsid w:val="00011F0B"/>
    <w:rsid w:val="000145A7"/>
    <w:rsid w:val="00022508"/>
    <w:rsid w:val="00026F5E"/>
    <w:rsid w:val="000308A0"/>
    <w:rsid w:val="00034A52"/>
    <w:rsid w:val="000362B3"/>
    <w:rsid w:val="00056CE9"/>
    <w:rsid w:val="00066CC4"/>
    <w:rsid w:val="00071029"/>
    <w:rsid w:val="00071F4F"/>
    <w:rsid w:val="00096901"/>
    <w:rsid w:val="000A0372"/>
    <w:rsid w:val="000A403D"/>
    <w:rsid w:val="000E0407"/>
    <w:rsid w:val="000E0631"/>
    <w:rsid w:val="000E0C3A"/>
    <w:rsid w:val="000F0DD2"/>
    <w:rsid w:val="0012425D"/>
    <w:rsid w:val="0013332F"/>
    <w:rsid w:val="001366A3"/>
    <w:rsid w:val="0014778C"/>
    <w:rsid w:val="0015239F"/>
    <w:rsid w:val="00197A37"/>
    <w:rsid w:val="001A0951"/>
    <w:rsid w:val="001A4CD7"/>
    <w:rsid w:val="001A54DB"/>
    <w:rsid w:val="001C5C89"/>
    <w:rsid w:val="001E7B80"/>
    <w:rsid w:val="001F411C"/>
    <w:rsid w:val="001F4C8C"/>
    <w:rsid w:val="001F6872"/>
    <w:rsid w:val="00202280"/>
    <w:rsid w:val="00214834"/>
    <w:rsid w:val="00231ED5"/>
    <w:rsid w:val="00245DD4"/>
    <w:rsid w:val="002535D2"/>
    <w:rsid w:val="00254456"/>
    <w:rsid w:val="002643CF"/>
    <w:rsid w:val="00274740"/>
    <w:rsid w:val="0029559F"/>
    <w:rsid w:val="002B04FE"/>
    <w:rsid w:val="002D3CFC"/>
    <w:rsid w:val="002F3CA6"/>
    <w:rsid w:val="003073EA"/>
    <w:rsid w:val="00313EEF"/>
    <w:rsid w:val="00314C3C"/>
    <w:rsid w:val="003173DA"/>
    <w:rsid w:val="0033512A"/>
    <w:rsid w:val="00371C05"/>
    <w:rsid w:val="00375DB5"/>
    <w:rsid w:val="00384388"/>
    <w:rsid w:val="00392411"/>
    <w:rsid w:val="00392719"/>
    <w:rsid w:val="003B3070"/>
    <w:rsid w:val="003C4855"/>
    <w:rsid w:val="003E5DB4"/>
    <w:rsid w:val="003E6CB7"/>
    <w:rsid w:val="003E7CA1"/>
    <w:rsid w:val="00401063"/>
    <w:rsid w:val="0040672B"/>
    <w:rsid w:val="00425273"/>
    <w:rsid w:val="00443ED9"/>
    <w:rsid w:val="00462682"/>
    <w:rsid w:val="0047443F"/>
    <w:rsid w:val="004A11E3"/>
    <w:rsid w:val="004D3729"/>
    <w:rsid w:val="004D7282"/>
    <w:rsid w:val="004F2EAA"/>
    <w:rsid w:val="0050052A"/>
    <w:rsid w:val="00501519"/>
    <w:rsid w:val="00506377"/>
    <w:rsid w:val="00547B13"/>
    <w:rsid w:val="005509E7"/>
    <w:rsid w:val="0056019E"/>
    <w:rsid w:val="00575123"/>
    <w:rsid w:val="005A335E"/>
    <w:rsid w:val="005B16A4"/>
    <w:rsid w:val="005C11BA"/>
    <w:rsid w:val="005D6DDB"/>
    <w:rsid w:val="005E114B"/>
    <w:rsid w:val="0060598F"/>
    <w:rsid w:val="00640425"/>
    <w:rsid w:val="00674795"/>
    <w:rsid w:val="006953F0"/>
    <w:rsid w:val="006A37B5"/>
    <w:rsid w:val="006A61A4"/>
    <w:rsid w:val="006C1408"/>
    <w:rsid w:val="006E2939"/>
    <w:rsid w:val="006E44B8"/>
    <w:rsid w:val="006E5EA1"/>
    <w:rsid w:val="00704289"/>
    <w:rsid w:val="0076327C"/>
    <w:rsid w:val="007B2A6D"/>
    <w:rsid w:val="007B6409"/>
    <w:rsid w:val="007F4659"/>
    <w:rsid w:val="00802DA3"/>
    <w:rsid w:val="00804E00"/>
    <w:rsid w:val="00806665"/>
    <w:rsid w:val="00815FF3"/>
    <w:rsid w:val="00830F06"/>
    <w:rsid w:val="00832142"/>
    <w:rsid w:val="00835134"/>
    <w:rsid w:val="00837F0B"/>
    <w:rsid w:val="00842C1A"/>
    <w:rsid w:val="00857BC1"/>
    <w:rsid w:val="00874223"/>
    <w:rsid w:val="0089190C"/>
    <w:rsid w:val="00895CA3"/>
    <w:rsid w:val="008B72AE"/>
    <w:rsid w:val="008B796D"/>
    <w:rsid w:val="008C2798"/>
    <w:rsid w:val="008D49EF"/>
    <w:rsid w:val="00900789"/>
    <w:rsid w:val="009007A6"/>
    <w:rsid w:val="00911AF8"/>
    <w:rsid w:val="00913FF8"/>
    <w:rsid w:val="00915605"/>
    <w:rsid w:val="00920D13"/>
    <w:rsid w:val="00923CAB"/>
    <w:rsid w:val="00924700"/>
    <w:rsid w:val="00932D42"/>
    <w:rsid w:val="00967984"/>
    <w:rsid w:val="009A4F52"/>
    <w:rsid w:val="009A5D3B"/>
    <w:rsid w:val="009C57C6"/>
    <w:rsid w:val="009D5A45"/>
    <w:rsid w:val="009D7A72"/>
    <w:rsid w:val="009F0D12"/>
    <w:rsid w:val="009F2E51"/>
    <w:rsid w:val="009F74C2"/>
    <w:rsid w:val="00A008CA"/>
    <w:rsid w:val="00A037C0"/>
    <w:rsid w:val="00A30926"/>
    <w:rsid w:val="00A56542"/>
    <w:rsid w:val="00A603A6"/>
    <w:rsid w:val="00A63E9D"/>
    <w:rsid w:val="00A8460D"/>
    <w:rsid w:val="00A85575"/>
    <w:rsid w:val="00AA0C48"/>
    <w:rsid w:val="00AA5ED5"/>
    <w:rsid w:val="00AB003F"/>
    <w:rsid w:val="00AB2EAC"/>
    <w:rsid w:val="00AC6D0C"/>
    <w:rsid w:val="00AF2149"/>
    <w:rsid w:val="00B17D67"/>
    <w:rsid w:val="00B22327"/>
    <w:rsid w:val="00B502EC"/>
    <w:rsid w:val="00B709C8"/>
    <w:rsid w:val="00B73900"/>
    <w:rsid w:val="00B7642F"/>
    <w:rsid w:val="00B87084"/>
    <w:rsid w:val="00B919B7"/>
    <w:rsid w:val="00B94DBA"/>
    <w:rsid w:val="00BA6F89"/>
    <w:rsid w:val="00BA7CED"/>
    <w:rsid w:val="00BB3908"/>
    <w:rsid w:val="00BB61F8"/>
    <w:rsid w:val="00BC5E50"/>
    <w:rsid w:val="00BF2DE5"/>
    <w:rsid w:val="00C05E76"/>
    <w:rsid w:val="00C15E83"/>
    <w:rsid w:val="00C161B3"/>
    <w:rsid w:val="00C167A6"/>
    <w:rsid w:val="00C2195E"/>
    <w:rsid w:val="00C352F3"/>
    <w:rsid w:val="00C441B3"/>
    <w:rsid w:val="00C53996"/>
    <w:rsid w:val="00C8063B"/>
    <w:rsid w:val="00C9117C"/>
    <w:rsid w:val="00C96757"/>
    <w:rsid w:val="00CA3BC5"/>
    <w:rsid w:val="00CD04C7"/>
    <w:rsid w:val="00CE4435"/>
    <w:rsid w:val="00CF27D4"/>
    <w:rsid w:val="00CF2F28"/>
    <w:rsid w:val="00CF6BDE"/>
    <w:rsid w:val="00D16B81"/>
    <w:rsid w:val="00D34136"/>
    <w:rsid w:val="00D363A8"/>
    <w:rsid w:val="00D50900"/>
    <w:rsid w:val="00D570FE"/>
    <w:rsid w:val="00D636EF"/>
    <w:rsid w:val="00D64477"/>
    <w:rsid w:val="00DA56AC"/>
    <w:rsid w:val="00DB5A10"/>
    <w:rsid w:val="00E02ABF"/>
    <w:rsid w:val="00E14AC6"/>
    <w:rsid w:val="00E349B1"/>
    <w:rsid w:val="00E3542E"/>
    <w:rsid w:val="00E40BA9"/>
    <w:rsid w:val="00E46B28"/>
    <w:rsid w:val="00E51FAC"/>
    <w:rsid w:val="00E5675C"/>
    <w:rsid w:val="00E84142"/>
    <w:rsid w:val="00E8555E"/>
    <w:rsid w:val="00E90970"/>
    <w:rsid w:val="00E94EB1"/>
    <w:rsid w:val="00E96739"/>
    <w:rsid w:val="00EA31B0"/>
    <w:rsid w:val="00EA5213"/>
    <w:rsid w:val="00EC2755"/>
    <w:rsid w:val="00EC75B4"/>
    <w:rsid w:val="00EF303F"/>
    <w:rsid w:val="00F042AA"/>
    <w:rsid w:val="00F04E1E"/>
    <w:rsid w:val="00F41BA6"/>
    <w:rsid w:val="00F56067"/>
    <w:rsid w:val="00F62DCD"/>
    <w:rsid w:val="00F65A7F"/>
    <w:rsid w:val="00F77D0C"/>
    <w:rsid w:val="00F856C9"/>
    <w:rsid w:val="00F92EDE"/>
    <w:rsid w:val="00F96F5E"/>
    <w:rsid w:val="00FA7540"/>
    <w:rsid w:val="00FB2352"/>
    <w:rsid w:val="00FC20D0"/>
    <w:rsid w:val="00FC33EF"/>
    <w:rsid w:val="00FC4084"/>
    <w:rsid w:val="00FF2C25"/>
    <w:rsid w:val="00FF480F"/>
    <w:rsid w:val="00FF7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A89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6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409"/>
    <w:rPr>
      <w:rFonts w:ascii="Lucida Grande" w:hAnsi="Lucida Grande" w:cs="Lucida Grande"/>
      <w:sz w:val="18"/>
      <w:szCs w:val="18"/>
    </w:rPr>
  </w:style>
  <w:style w:type="paragraph" w:styleId="ListParagraph">
    <w:name w:val="List Paragraph"/>
    <w:basedOn w:val="Normal"/>
    <w:uiPriority w:val="34"/>
    <w:qFormat/>
    <w:rsid w:val="001F4C8C"/>
    <w:pPr>
      <w:ind w:left="720"/>
      <w:contextualSpacing/>
    </w:pPr>
  </w:style>
  <w:style w:type="paragraph" w:styleId="NormalWeb">
    <w:name w:val="Normal (Web)"/>
    <w:basedOn w:val="Normal"/>
    <w:uiPriority w:val="99"/>
    <w:unhideWhenUsed/>
    <w:rsid w:val="0040672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6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409"/>
    <w:rPr>
      <w:rFonts w:ascii="Lucida Grande" w:hAnsi="Lucida Grande" w:cs="Lucida Grande"/>
      <w:sz w:val="18"/>
      <w:szCs w:val="18"/>
    </w:rPr>
  </w:style>
  <w:style w:type="paragraph" w:styleId="ListParagraph">
    <w:name w:val="List Paragraph"/>
    <w:basedOn w:val="Normal"/>
    <w:uiPriority w:val="34"/>
    <w:qFormat/>
    <w:rsid w:val="001F4C8C"/>
    <w:pPr>
      <w:ind w:left="720"/>
      <w:contextualSpacing/>
    </w:pPr>
  </w:style>
  <w:style w:type="paragraph" w:styleId="NormalWeb">
    <w:name w:val="Normal (Web)"/>
    <w:basedOn w:val="Normal"/>
    <w:uiPriority w:val="99"/>
    <w:unhideWhenUsed/>
    <w:rsid w:val="0040672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8147">
      <w:bodyDiv w:val="1"/>
      <w:marLeft w:val="0"/>
      <w:marRight w:val="0"/>
      <w:marTop w:val="0"/>
      <w:marBottom w:val="0"/>
      <w:divBdr>
        <w:top w:val="none" w:sz="0" w:space="0" w:color="auto"/>
        <w:left w:val="none" w:sz="0" w:space="0" w:color="auto"/>
        <w:bottom w:val="none" w:sz="0" w:space="0" w:color="auto"/>
        <w:right w:val="none" w:sz="0" w:space="0" w:color="auto"/>
      </w:divBdr>
      <w:divsChild>
        <w:div w:id="2028751841">
          <w:marLeft w:val="0"/>
          <w:marRight w:val="0"/>
          <w:marTop w:val="0"/>
          <w:marBottom w:val="0"/>
          <w:divBdr>
            <w:top w:val="none" w:sz="0" w:space="0" w:color="auto"/>
            <w:left w:val="none" w:sz="0" w:space="0" w:color="auto"/>
            <w:bottom w:val="none" w:sz="0" w:space="0" w:color="auto"/>
            <w:right w:val="none" w:sz="0" w:space="0" w:color="auto"/>
          </w:divBdr>
          <w:divsChild>
            <w:div w:id="966811187">
              <w:marLeft w:val="0"/>
              <w:marRight w:val="0"/>
              <w:marTop w:val="0"/>
              <w:marBottom w:val="0"/>
              <w:divBdr>
                <w:top w:val="none" w:sz="0" w:space="0" w:color="auto"/>
                <w:left w:val="none" w:sz="0" w:space="0" w:color="auto"/>
                <w:bottom w:val="none" w:sz="0" w:space="0" w:color="auto"/>
                <w:right w:val="none" w:sz="0" w:space="0" w:color="auto"/>
              </w:divBdr>
              <w:divsChild>
                <w:div w:id="7183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42129">
      <w:bodyDiv w:val="1"/>
      <w:marLeft w:val="0"/>
      <w:marRight w:val="0"/>
      <w:marTop w:val="0"/>
      <w:marBottom w:val="0"/>
      <w:divBdr>
        <w:top w:val="none" w:sz="0" w:space="0" w:color="auto"/>
        <w:left w:val="none" w:sz="0" w:space="0" w:color="auto"/>
        <w:bottom w:val="none" w:sz="0" w:space="0" w:color="auto"/>
        <w:right w:val="none" w:sz="0" w:space="0" w:color="auto"/>
      </w:divBdr>
      <w:divsChild>
        <w:div w:id="658341787">
          <w:marLeft w:val="0"/>
          <w:marRight w:val="0"/>
          <w:marTop w:val="0"/>
          <w:marBottom w:val="0"/>
          <w:divBdr>
            <w:top w:val="none" w:sz="0" w:space="0" w:color="auto"/>
            <w:left w:val="none" w:sz="0" w:space="0" w:color="auto"/>
            <w:bottom w:val="none" w:sz="0" w:space="0" w:color="auto"/>
            <w:right w:val="none" w:sz="0" w:space="0" w:color="auto"/>
          </w:divBdr>
          <w:divsChild>
            <w:div w:id="1556352699">
              <w:marLeft w:val="0"/>
              <w:marRight w:val="0"/>
              <w:marTop w:val="0"/>
              <w:marBottom w:val="0"/>
              <w:divBdr>
                <w:top w:val="none" w:sz="0" w:space="0" w:color="auto"/>
                <w:left w:val="none" w:sz="0" w:space="0" w:color="auto"/>
                <w:bottom w:val="none" w:sz="0" w:space="0" w:color="auto"/>
                <w:right w:val="none" w:sz="0" w:space="0" w:color="auto"/>
              </w:divBdr>
              <w:divsChild>
                <w:div w:id="7801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85802">
      <w:bodyDiv w:val="1"/>
      <w:marLeft w:val="0"/>
      <w:marRight w:val="0"/>
      <w:marTop w:val="0"/>
      <w:marBottom w:val="0"/>
      <w:divBdr>
        <w:top w:val="none" w:sz="0" w:space="0" w:color="auto"/>
        <w:left w:val="none" w:sz="0" w:space="0" w:color="auto"/>
        <w:bottom w:val="none" w:sz="0" w:space="0" w:color="auto"/>
        <w:right w:val="none" w:sz="0" w:space="0" w:color="auto"/>
      </w:divBdr>
      <w:divsChild>
        <w:div w:id="1181046871">
          <w:marLeft w:val="0"/>
          <w:marRight w:val="0"/>
          <w:marTop w:val="0"/>
          <w:marBottom w:val="0"/>
          <w:divBdr>
            <w:top w:val="none" w:sz="0" w:space="0" w:color="auto"/>
            <w:left w:val="none" w:sz="0" w:space="0" w:color="auto"/>
            <w:bottom w:val="none" w:sz="0" w:space="0" w:color="auto"/>
            <w:right w:val="none" w:sz="0" w:space="0" w:color="auto"/>
          </w:divBdr>
          <w:divsChild>
            <w:div w:id="804543710">
              <w:marLeft w:val="0"/>
              <w:marRight w:val="0"/>
              <w:marTop w:val="0"/>
              <w:marBottom w:val="0"/>
              <w:divBdr>
                <w:top w:val="none" w:sz="0" w:space="0" w:color="auto"/>
                <w:left w:val="none" w:sz="0" w:space="0" w:color="auto"/>
                <w:bottom w:val="none" w:sz="0" w:space="0" w:color="auto"/>
                <w:right w:val="none" w:sz="0" w:space="0" w:color="auto"/>
              </w:divBdr>
              <w:divsChild>
                <w:div w:id="186832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90140">
      <w:bodyDiv w:val="1"/>
      <w:marLeft w:val="0"/>
      <w:marRight w:val="0"/>
      <w:marTop w:val="0"/>
      <w:marBottom w:val="0"/>
      <w:divBdr>
        <w:top w:val="none" w:sz="0" w:space="0" w:color="auto"/>
        <w:left w:val="none" w:sz="0" w:space="0" w:color="auto"/>
        <w:bottom w:val="none" w:sz="0" w:space="0" w:color="auto"/>
        <w:right w:val="none" w:sz="0" w:space="0" w:color="auto"/>
      </w:divBdr>
    </w:div>
    <w:div w:id="1093937758">
      <w:bodyDiv w:val="1"/>
      <w:marLeft w:val="0"/>
      <w:marRight w:val="0"/>
      <w:marTop w:val="0"/>
      <w:marBottom w:val="0"/>
      <w:divBdr>
        <w:top w:val="none" w:sz="0" w:space="0" w:color="auto"/>
        <w:left w:val="none" w:sz="0" w:space="0" w:color="auto"/>
        <w:bottom w:val="none" w:sz="0" w:space="0" w:color="auto"/>
        <w:right w:val="none" w:sz="0" w:space="0" w:color="auto"/>
      </w:divBdr>
    </w:div>
    <w:div w:id="1367943900">
      <w:bodyDiv w:val="1"/>
      <w:marLeft w:val="0"/>
      <w:marRight w:val="0"/>
      <w:marTop w:val="0"/>
      <w:marBottom w:val="0"/>
      <w:divBdr>
        <w:top w:val="none" w:sz="0" w:space="0" w:color="auto"/>
        <w:left w:val="none" w:sz="0" w:space="0" w:color="auto"/>
        <w:bottom w:val="none" w:sz="0" w:space="0" w:color="auto"/>
        <w:right w:val="none" w:sz="0" w:space="0" w:color="auto"/>
      </w:divBdr>
    </w:div>
    <w:div w:id="1478259102">
      <w:bodyDiv w:val="1"/>
      <w:marLeft w:val="0"/>
      <w:marRight w:val="0"/>
      <w:marTop w:val="0"/>
      <w:marBottom w:val="0"/>
      <w:divBdr>
        <w:top w:val="none" w:sz="0" w:space="0" w:color="auto"/>
        <w:left w:val="none" w:sz="0" w:space="0" w:color="auto"/>
        <w:bottom w:val="none" w:sz="0" w:space="0" w:color="auto"/>
        <w:right w:val="none" w:sz="0" w:space="0" w:color="auto"/>
      </w:divBdr>
    </w:div>
    <w:div w:id="1508597901">
      <w:bodyDiv w:val="1"/>
      <w:marLeft w:val="0"/>
      <w:marRight w:val="0"/>
      <w:marTop w:val="0"/>
      <w:marBottom w:val="0"/>
      <w:divBdr>
        <w:top w:val="none" w:sz="0" w:space="0" w:color="auto"/>
        <w:left w:val="none" w:sz="0" w:space="0" w:color="auto"/>
        <w:bottom w:val="none" w:sz="0" w:space="0" w:color="auto"/>
        <w:right w:val="none" w:sz="0" w:space="0" w:color="auto"/>
      </w:divBdr>
      <w:divsChild>
        <w:div w:id="1410686881">
          <w:marLeft w:val="0"/>
          <w:marRight w:val="0"/>
          <w:marTop w:val="0"/>
          <w:marBottom w:val="0"/>
          <w:divBdr>
            <w:top w:val="none" w:sz="0" w:space="0" w:color="auto"/>
            <w:left w:val="none" w:sz="0" w:space="0" w:color="auto"/>
            <w:bottom w:val="none" w:sz="0" w:space="0" w:color="auto"/>
            <w:right w:val="none" w:sz="0" w:space="0" w:color="auto"/>
          </w:divBdr>
          <w:divsChild>
            <w:div w:id="437064591">
              <w:marLeft w:val="0"/>
              <w:marRight w:val="0"/>
              <w:marTop w:val="0"/>
              <w:marBottom w:val="0"/>
              <w:divBdr>
                <w:top w:val="none" w:sz="0" w:space="0" w:color="auto"/>
                <w:left w:val="none" w:sz="0" w:space="0" w:color="auto"/>
                <w:bottom w:val="none" w:sz="0" w:space="0" w:color="auto"/>
                <w:right w:val="none" w:sz="0" w:space="0" w:color="auto"/>
              </w:divBdr>
              <w:divsChild>
                <w:div w:id="1035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6002">
      <w:bodyDiv w:val="1"/>
      <w:marLeft w:val="0"/>
      <w:marRight w:val="0"/>
      <w:marTop w:val="0"/>
      <w:marBottom w:val="0"/>
      <w:divBdr>
        <w:top w:val="none" w:sz="0" w:space="0" w:color="auto"/>
        <w:left w:val="none" w:sz="0" w:space="0" w:color="auto"/>
        <w:bottom w:val="none" w:sz="0" w:space="0" w:color="auto"/>
        <w:right w:val="none" w:sz="0" w:space="0" w:color="auto"/>
      </w:divBdr>
    </w:div>
    <w:div w:id="1879050426">
      <w:bodyDiv w:val="1"/>
      <w:marLeft w:val="0"/>
      <w:marRight w:val="0"/>
      <w:marTop w:val="0"/>
      <w:marBottom w:val="0"/>
      <w:divBdr>
        <w:top w:val="none" w:sz="0" w:space="0" w:color="auto"/>
        <w:left w:val="none" w:sz="0" w:space="0" w:color="auto"/>
        <w:bottom w:val="none" w:sz="0" w:space="0" w:color="auto"/>
        <w:right w:val="none" w:sz="0" w:space="0" w:color="auto"/>
      </w:divBdr>
    </w:div>
    <w:div w:id="1945307429">
      <w:bodyDiv w:val="1"/>
      <w:marLeft w:val="0"/>
      <w:marRight w:val="0"/>
      <w:marTop w:val="0"/>
      <w:marBottom w:val="0"/>
      <w:divBdr>
        <w:top w:val="none" w:sz="0" w:space="0" w:color="auto"/>
        <w:left w:val="none" w:sz="0" w:space="0" w:color="auto"/>
        <w:bottom w:val="none" w:sz="0" w:space="0" w:color="auto"/>
        <w:right w:val="none" w:sz="0" w:space="0" w:color="auto"/>
      </w:divBdr>
      <w:divsChild>
        <w:div w:id="228853196">
          <w:marLeft w:val="0"/>
          <w:marRight w:val="0"/>
          <w:marTop w:val="0"/>
          <w:marBottom w:val="0"/>
          <w:divBdr>
            <w:top w:val="none" w:sz="0" w:space="0" w:color="auto"/>
            <w:left w:val="none" w:sz="0" w:space="0" w:color="auto"/>
            <w:bottom w:val="none" w:sz="0" w:space="0" w:color="auto"/>
            <w:right w:val="none" w:sz="0" w:space="0" w:color="auto"/>
          </w:divBdr>
          <w:divsChild>
            <w:div w:id="582835043">
              <w:marLeft w:val="0"/>
              <w:marRight w:val="0"/>
              <w:marTop w:val="0"/>
              <w:marBottom w:val="0"/>
              <w:divBdr>
                <w:top w:val="none" w:sz="0" w:space="0" w:color="auto"/>
                <w:left w:val="none" w:sz="0" w:space="0" w:color="auto"/>
                <w:bottom w:val="none" w:sz="0" w:space="0" w:color="auto"/>
                <w:right w:val="none" w:sz="0" w:space="0" w:color="auto"/>
              </w:divBdr>
              <w:divsChild>
                <w:div w:id="158638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80593">
      <w:bodyDiv w:val="1"/>
      <w:marLeft w:val="0"/>
      <w:marRight w:val="0"/>
      <w:marTop w:val="0"/>
      <w:marBottom w:val="0"/>
      <w:divBdr>
        <w:top w:val="none" w:sz="0" w:space="0" w:color="auto"/>
        <w:left w:val="none" w:sz="0" w:space="0" w:color="auto"/>
        <w:bottom w:val="none" w:sz="0" w:space="0" w:color="auto"/>
        <w:right w:val="none" w:sz="0" w:space="0" w:color="auto"/>
      </w:divBdr>
      <w:divsChild>
        <w:div w:id="132909894">
          <w:marLeft w:val="0"/>
          <w:marRight w:val="0"/>
          <w:marTop w:val="0"/>
          <w:marBottom w:val="0"/>
          <w:divBdr>
            <w:top w:val="none" w:sz="0" w:space="0" w:color="auto"/>
            <w:left w:val="none" w:sz="0" w:space="0" w:color="auto"/>
            <w:bottom w:val="none" w:sz="0" w:space="0" w:color="auto"/>
            <w:right w:val="none" w:sz="0" w:space="0" w:color="auto"/>
          </w:divBdr>
          <w:divsChild>
            <w:div w:id="200752536">
              <w:marLeft w:val="0"/>
              <w:marRight w:val="0"/>
              <w:marTop w:val="0"/>
              <w:marBottom w:val="0"/>
              <w:divBdr>
                <w:top w:val="none" w:sz="0" w:space="0" w:color="auto"/>
                <w:left w:val="none" w:sz="0" w:space="0" w:color="auto"/>
                <w:bottom w:val="none" w:sz="0" w:space="0" w:color="auto"/>
                <w:right w:val="none" w:sz="0" w:space="0" w:color="auto"/>
              </w:divBdr>
              <w:divsChild>
                <w:div w:id="6130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wikipedia.org/wiki/New_York_Stock_Exchan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6084A-306E-459D-84F3-7E0DFD34F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Harris</dc:creator>
  <cp:lastModifiedBy>Alex Sadowski</cp:lastModifiedBy>
  <cp:revision>4</cp:revision>
  <cp:lastPrinted>2015-11-12T19:19:00Z</cp:lastPrinted>
  <dcterms:created xsi:type="dcterms:W3CDTF">2015-11-19T06:53:00Z</dcterms:created>
  <dcterms:modified xsi:type="dcterms:W3CDTF">2015-11-19T18:20:00Z</dcterms:modified>
</cp:coreProperties>
</file>