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005"/>
        <w:gridCol w:w="3655"/>
        <w:gridCol w:w="2340"/>
        <w:gridCol w:w="2700"/>
      </w:tblGrid>
      <w:tr w:rsidR="00E8555E" w:rsidRPr="00842C1A" w14:paraId="3AA29E37" w14:textId="77777777" w:rsidTr="00E8555E">
        <w:trPr>
          <w:trHeight w:val="80"/>
        </w:trPr>
        <w:tc>
          <w:tcPr>
            <w:tcW w:w="3005" w:type="dxa"/>
            <w:shd w:val="clear" w:color="auto" w:fill="365F91" w:themeFill="accent1" w:themeFillShade="BF"/>
          </w:tcPr>
          <w:p w14:paraId="2E49CA38" w14:textId="7A8E2A18" w:rsidR="00E8555E" w:rsidRPr="00842C1A" w:rsidRDefault="00E8555E" w:rsidP="00C8063B">
            <w:pPr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Company: </w:t>
            </w:r>
            <w:r w:rsidR="00E02ABF" w:rsidRPr="00842C1A">
              <w:rPr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="00BC13CE">
              <w:rPr>
                <w:b/>
                <w:color w:val="FFFFFF" w:themeColor="background1"/>
                <w:sz w:val="13"/>
                <w:szCs w:val="13"/>
              </w:rPr>
              <w:t>AT&amp;T Inc.</w:t>
            </w:r>
          </w:p>
        </w:tc>
        <w:tc>
          <w:tcPr>
            <w:tcW w:w="3655" w:type="dxa"/>
            <w:shd w:val="clear" w:color="auto" w:fill="365F91" w:themeFill="accent1" w:themeFillShade="BF"/>
          </w:tcPr>
          <w:p w14:paraId="5FDF97F0" w14:textId="0680828C" w:rsidR="00E8555E" w:rsidRPr="00842C1A" w:rsidRDefault="00E02ABF" w:rsidP="00C8063B">
            <w:pPr>
              <w:rPr>
                <w:color w:val="FFFFFF" w:themeColor="background1"/>
                <w:sz w:val="13"/>
                <w:szCs w:val="13"/>
              </w:rPr>
            </w:pPr>
            <w:r w:rsidRPr="00842C1A">
              <w:rPr>
                <w:color w:val="FFFFFF" w:themeColor="background1"/>
                <w:sz w:val="13"/>
                <w:szCs w:val="13"/>
              </w:rPr>
              <w:t xml:space="preserve">Ticker:  </w:t>
            </w:r>
            <w:r w:rsidR="00E8555E" w:rsidRPr="00842C1A">
              <w:rPr>
                <w:color w:val="FFFFFF" w:themeColor="background1"/>
                <w:sz w:val="13"/>
                <w:szCs w:val="13"/>
              </w:rPr>
              <w:t xml:space="preserve"> </w:t>
            </w:r>
            <w:r w:rsidR="00BC13CE">
              <w:rPr>
                <w:color w:val="FFFFFF" w:themeColor="background1"/>
                <w:sz w:val="13"/>
                <w:szCs w:val="13"/>
              </w:rPr>
              <w:t>T</w:t>
            </w:r>
            <w:r w:rsidR="00E8555E" w:rsidRPr="00842C1A">
              <w:rPr>
                <w:color w:val="FFFFFF" w:themeColor="background1"/>
                <w:sz w:val="13"/>
                <w:szCs w:val="13"/>
              </w:rPr>
              <w:t xml:space="preserve">                        </w:t>
            </w:r>
            <w:r w:rsidR="00BC13CE">
              <w:rPr>
                <w:color w:val="FFFFFF" w:themeColor="background1"/>
                <w:sz w:val="13"/>
                <w:szCs w:val="13"/>
              </w:rPr>
              <w:t xml:space="preserve">                          </w:t>
            </w:r>
            <w:r w:rsidR="00E8555E" w:rsidRPr="00842C1A">
              <w:rPr>
                <w:color w:val="FFFFFF" w:themeColor="background1"/>
                <w:sz w:val="13"/>
                <w:szCs w:val="13"/>
              </w:rPr>
              <w:t xml:space="preserve"> Current Price:</w:t>
            </w:r>
            <w:r w:rsidRPr="00842C1A">
              <w:rPr>
                <w:color w:val="FFFFFF" w:themeColor="background1"/>
                <w:sz w:val="13"/>
                <w:szCs w:val="13"/>
              </w:rPr>
              <w:t xml:space="preserve"> </w:t>
            </w:r>
            <w:r w:rsidR="00BC13CE">
              <w:rPr>
                <w:color w:val="FFFFFF" w:themeColor="background1"/>
                <w:sz w:val="13"/>
                <w:szCs w:val="13"/>
              </w:rPr>
              <w:t>$</w:t>
            </w:r>
            <w:r w:rsidRPr="00842C1A">
              <w:rPr>
                <w:color w:val="FFFFFF" w:themeColor="background1"/>
                <w:sz w:val="13"/>
                <w:szCs w:val="13"/>
              </w:rPr>
              <w:t xml:space="preserve"> </w:t>
            </w:r>
            <w:r w:rsidR="003B2587">
              <w:rPr>
                <w:color w:val="FFFFFF" w:themeColor="background1"/>
                <w:sz w:val="13"/>
                <w:szCs w:val="13"/>
              </w:rPr>
              <w:t>33.54</w:t>
            </w:r>
          </w:p>
        </w:tc>
        <w:tc>
          <w:tcPr>
            <w:tcW w:w="2340" w:type="dxa"/>
            <w:shd w:val="clear" w:color="auto" w:fill="365F91" w:themeFill="accent1" w:themeFillShade="BF"/>
          </w:tcPr>
          <w:p w14:paraId="1FD4CAF9" w14:textId="625EFEBF" w:rsidR="00E8555E" w:rsidRPr="00842C1A" w:rsidRDefault="00E02ABF" w:rsidP="00C8063B">
            <w:pPr>
              <w:rPr>
                <w:color w:val="FFFFFF" w:themeColor="background1"/>
                <w:sz w:val="13"/>
                <w:szCs w:val="13"/>
              </w:rPr>
            </w:pPr>
            <w:r w:rsidRPr="00842C1A">
              <w:rPr>
                <w:color w:val="FFFFFF" w:themeColor="background1"/>
                <w:sz w:val="13"/>
                <w:szCs w:val="13"/>
              </w:rPr>
              <w:t>Sector</w:t>
            </w:r>
            <w:r w:rsidR="00E8555E" w:rsidRPr="00842C1A">
              <w:rPr>
                <w:color w:val="FFFFFF" w:themeColor="background1"/>
                <w:sz w:val="13"/>
                <w:szCs w:val="13"/>
              </w:rPr>
              <w:t>:</w:t>
            </w:r>
            <w:r w:rsidRPr="00842C1A">
              <w:rPr>
                <w:color w:val="FFFFFF" w:themeColor="background1"/>
                <w:sz w:val="13"/>
                <w:szCs w:val="13"/>
              </w:rPr>
              <w:t xml:space="preserve">  </w:t>
            </w:r>
            <w:r w:rsidR="00BC13CE">
              <w:rPr>
                <w:color w:val="FFFFFF" w:themeColor="background1"/>
                <w:sz w:val="13"/>
                <w:szCs w:val="13"/>
              </w:rPr>
              <w:t>Telecom Services</w:t>
            </w:r>
          </w:p>
        </w:tc>
        <w:tc>
          <w:tcPr>
            <w:tcW w:w="2700" w:type="dxa"/>
            <w:shd w:val="clear" w:color="auto" w:fill="365F91" w:themeFill="accent1" w:themeFillShade="BF"/>
          </w:tcPr>
          <w:p w14:paraId="417B84CE" w14:textId="024BD955" w:rsidR="00E8555E" w:rsidRPr="00842C1A" w:rsidRDefault="00E8555E" w:rsidP="00C8063B">
            <w:pPr>
              <w:rPr>
                <w:color w:val="FFFFFF" w:themeColor="background1"/>
                <w:sz w:val="13"/>
                <w:szCs w:val="13"/>
              </w:rPr>
            </w:pPr>
            <w:r w:rsidRPr="00842C1A">
              <w:rPr>
                <w:color w:val="FFFFFF" w:themeColor="background1"/>
                <w:sz w:val="13"/>
                <w:szCs w:val="13"/>
              </w:rPr>
              <w:t xml:space="preserve">Sub Industry: </w:t>
            </w:r>
            <w:r w:rsidR="00BC13CE">
              <w:rPr>
                <w:color w:val="FFFFFF" w:themeColor="background1"/>
                <w:sz w:val="13"/>
                <w:szCs w:val="13"/>
              </w:rPr>
              <w:t xml:space="preserve">Integrated </w:t>
            </w:r>
            <w:proofErr w:type="spellStart"/>
            <w:r w:rsidR="00BC13CE">
              <w:rPr>
                <w:color w:val="FFFFFF" w:themeColor="background1"/>
                <w:sz w:val="13"/>
                <w:szCs w:val="13"/>
              </w:rPr>
              <w:t>Telcom</w:t>
            </w:r>
            <w:proofErr w:type="spellEnd"/>
            <w:r w:rsidR="00BC13CE">
              <w:rPr>
                <w:color w:val="FFFFFF" w:themeColor="background1"/>
                <w:sz w:val="13"/>
                <w:szCs w:val="13"/>
              </w:rPr>
              <w:t xml:space="preserve"> Services</w:t>
            </w:r>
          </w:p>
        </w:tc>
      </w:tr>
      <w:tr w:rsidR="006E44B8" w:rsidRPr="00842C1A" w14:paraId="185E94E4" w14:textId="77777777" w:rsidTr="00E8555E">
        <w:trPr>
          <w:trHeight w:val="512"/>
        </w:trPr>
        <w:tc>
          <w:tcPr>
            <w:tcW w:w="3005" w:type="dxa"/>
          </w:tcPr>
          <w:p w14:paraId="159CAB82" w14:textId="14195983" w:rsidR="00E8555E" w:rsidRPr="00842C1A" w:rsidRDefault="00E8555E" w:rsidP="00E855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>Target Price</w:t>
            </w:r>
            <w:r w:rsidR="00C8063B">
              <w:rPr>
                <w:sz w:val="13"/>
                <w:szCs w:val="13"/>
              </w:rPr>
              <w:t>:</w:t>
            </w:r>
            <w:r w:rsidR="005A72F9">
              <w:rPr>
                <w:sz w:val="13"/>
                <w:szCs w:val="13"/>
              </w:rPr>
              <w:t xml:space="preserve"> $70.10</w:t>
            </w:r>
          </w:p>
          <w:p w14:paraId="366C508D" w14:textId="710F7CA0" w:rsidR="00E8555E" w:rsidRPr="00842C1A" w:rsidRDefault="00C161B3" w:rsidP="00E855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>Stop Loss:</w:t>
            </w:r>
            <w:r w:rsidR="00C8063B">
              <w:rPr>
                <w:sz w:val="13"/>
                <w:szCs w:val="13"/>
              </w:rPr>
              <w:t xml:space="preserve"> </w:t>
            </w:r>
            <w:r w:rsidR="005A72F9">
              <w:rPr>
                <w:sz w:val="13"/>
                <w:szCs w:val="13"/>
              </w:rPr>
              <w:t>$26.</w:t>
            </w:r>
            <w:r w:rsidR="003B2587">
              <w:rPr>
                <w:sz w:val="13"/>
                <w:szCs w:val="13"/>
              </w:rPr>
              <w:t>82</w:t>
            </w:r>
            <w:bookmarkStart w:id="0" w:name="_GoBack"/>
            <w:bookmarkEnd w:id="0"/>
          </w:p>
          <w:p w14:paraId="7E50A51D" w14:textId="2B8BC591" w:rsidR="006E44B8" w:rsidRPr="00842C1A" w:rsidRDefault="00E8555E" w:rsidP="00E855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 xml:space="preserve">52 Week High/ Low: </w:t>
            </w:r>
            <w:r w:rsidR="005A72F9">
              <w:rPr>
                <w:sz w:val="13"/>
                <w:szCs w:val="13"/>
              </w:rPr>
              <w:t>$36.45/$30.97</w:t>
            </w:r>
          </w:p>
        </w:tc>
        <w:tc>
          <w:tcPr>
            <w:tcW w:w="3655" w:type="dxa"/>
          </w:tcPr>
          <w:p w14:paraId="461A4200" w14:textId="7F2ED058" w:rsidR="00E8555E" w:rsidRPr="00842C1A" w:rsidRDefault="00E8555E" w:rsidP="00E855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 xml:space="preserve">TTM P/E: </w:t>
            </w:r>
            <w:r w:rsidR="005A72F9">
              <w:rPr>
                <w:sz w:val="13"/>
                <w:szCs w:val="13"/>
              </w:rPr>
              <w:t>13.38</w:t>
            </w:r>
          </w:p>
          <w:p w14:paraId="7862C274" w14:textId="16738783" w:rsidR="00E8555E" w:rsidRPr="00842C1A" w:rsidRDefault="00E8555E" w:rsidP="00E8555E">
            <w:pPr>
              <w:rPr>
                <w:sz w:val="13"/>
                <w:szCs w:val="13"/>
                <w:highlight w:val="yellow"/>
              </w:rPr>
            </w:pPr>
            <w:r w:rsidRPr="00842C1A">
              <w:rPr>
                <w:sz w:val="13"/>
                <w:szCs w:val="13"/>
              </w:rPr>
              <w:t>Forward P/E</w:t>
            </w:r>
            <w:r w:rsidR="005A335E" w:rsidRPr="00842C1A">
              <w:rPr>
                <w:sz w:val="13"/>
                <w:szCs w:val="13"/>
              </w:rPr>
              <w:t xml:space="preserve"> (</w:t>
            </w:r>
            <w:r w:rsidR="005A72F9">
              <w:rPr>
                <w:sz w:val="13"/>
                <w:szCs w:val="13"/>
              </w:rPr>
              <w:t>1BF</w:t>
            </w:r>
            <w:r w:rsidR="005A335E" w:rsidRPr="00842C1A">
              <w:rPr>
                <w:sz w:val="13"/>
                <w:szCs w:val="13"/>
              </w:rPr>
              <w:t>)</w:t>
            </w:r>
            <w:r w:rsidRPr="00842C1A">
              <w:rPr>
                <w:sz w:val="13"/>
                <w:szCs w:val="13"/>
              </w:rPr>
              <w:t xml:space="preserve">: </w:t>
            </w:r>
            <w:r w:rsidR="005A72F9">
              <w:rPr>
                <w:sz w:val="13"/>
                <w:szCs w:val="13"/>
              </w:rPr>
              <w:t>11.61</w:t>
            </w:r>
          </w:p>
          <w:p w14:paraId="5AA3FEF7" w14:textId="71AC6F18" w:rsidR="006E44B8" w:rsidRPr="00842C1A" w:rsidRDefault="005A335E" w:rsidP="005A33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 xml:space="preserve">TTM </w:t>
            </w:r>
            <w:r w:rsidR="00E8555E" w:rsidRPr="00842C1A">
              <w:rPr>
                <w:sz w:val="13"/>
                <w:szCs w:val="13"/>
              </w:rPr>
              <w:t xml:space="preserve">EPS: </w:t>
            </w:r>
            <w:r w:rsidR="005A72F9">
              <w:rPr>
                <w:sz w:val="13"/>
                <w:szCs w:val="13"/>
              </w:rPr>
              <w:t>$1.19</w:t>
            </w:r>
          </w:p>
        </w:tc>
        <w:tc>
          <w:tcPr>
            <w:tcW w:w="2340" w:type="dxa"/>
          </w:tcPr>
          <w:p w14:paraId="25238E11" w14:textId="5F36A7C9" w:rsidR="00E8555E" w:rsidRPr="00842C1A" w:rsidRDefault="00C8063B" w:rsidP="00E8555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Beta:</w:t>
            </w:r>
            <w:r w:rsidR="005A72F9">
              <w:rPr>
                <w:sz w:val="13"/>
                <w:szCs w:val="13"/>
              </w:rPr>
              <w:t xml:space="preserve"> </w:t>
            </w:r>
            <w:r w:rsidR="00860DEA">
              <w:rPr>
                <w:sz w:val="13"/>
                <w:szCs w:val="13"/>
              </w:rPr>
              <w:t xml:space="preserve"> </w:t>
            </w:r>
            <w:r w:rsidR="005A72F9">
              <w:rPr>
                <w:sz w:val="13"/>
                <w:szCs w:val="13"/>
              </w:rPr>
              <w:t>.73</w:t>
            </w:r>
          </w:p>
          <w:p w14:paraId="61C6D51C" w14:textId="2C82D07F" w:rsidR="00A30926" w:rsidRPr="00842C1A" w:rsidRDefault="00E8555E" w:rsidP="00E8555E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>Credit Rating:</w:t>
            </w:r>
            <w:r w:rsidR="005A72F9">
              <w:rPr>
                <w:sz w:val="13"/>
                <w:szCs w:val="13"/>
              </w:rPr>
              <w:t xml:space="preserve"> BBB+ (S&amp;P)</w:t>
            </w:r>
          </w:p>
          <w:p w14:paraId="5BFE3D7B" w14:textId="652889AD" w:rsidR="003073EA" w:rsidRPr="00842C1A" w:rsidRDefault="00C8063B" w:rsidP="00E8555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Rating Outlook:</w:t>
            </w:r>
            <w:r w:rsidR="00860DEA">
              <w:rPr>
                <w:sz w:val="13"/>
                <w:szCs w:val="13"/>
              </w:rPr>
              <w:t xml:space="preserve">  </w:t>
            </w:r>
            <w:r w:rsidR="005A72F9">
              <w:rPr>
                <w:sz w:val="13"/>
                <w:szCs w:val="13"/>
              </w:rPr>
              <w:t>Stable</w:t>
            </w:r>
          </w:p>
        </w:tc>
        <w:tc>
          <w:tcPr>
            <w:tcW w:w="2700" w:type="dxa"/>
          </w:tcPr>
          <w:p w14:paraId="438980BC" w14:textId="4ECFA01D" w:rsidR="006E44B8" w:rsidRPr="00842C1A" w:rsidRDefault="0013332F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 xml:space="preserve">Market Cap: </w:t>
            </w:r>
            <w:r w:rsidR="00860DEA">
              <w:rPr>
                <w:sz w:val="13"/>
                <w:szCs w:val="13"/>
              </w:rPr>
              <w:t xml:space="preserve"> </w:t>
            </w:r>
            <w:r w:rsidR="005A72F9">
              <w:rPr>
                <w:sz w:val="13"/>
                <w:szCs w:val="13"/>
              </w:rPr>
              <w:t>$201.1B</w:t>
            </w:r>
          </w:p>
          <w:p w14:paraId="37B82920" w14:textId="5CB4C473" w:rsidR="00C441B3" w:rsidRPr="00842C1A" w:rsidRDefault="00501519">
            <w:pPr>
              <w:rPr>
                <w:sz w:val="13"/>
                <w:szCs w:val="13"/>
              </w:rPr>
            </w:pPr>
            <w:r w:rsidRPr="00842C1A">
              <w:rPr>
                <w:rFonts w:cs="UniversLTStd-BoldCn"/>
                <w:bCs/>
                <w:sz w:val="13"/>
                <w:szCs w:val="13"/>
              </w:rPr>
              <w:t>Avg</w:t>
            </w:r>
            <w:r w:rsidR="001E7B80" w:rsidRPr="00842C1A">
              <w:rPr>
                <w:rFonts w:cs="UniversLTStd-BoldCn"/>
                <w:bCs/>
                <w:sz w:val="13"/>
                <w:szCs w:val="13"/>
              </w:rPr>
              <w:t>.</w:t>
            </w:r>
            <w:r w:rsidRPr="00842C1A">
              <w:rPr>
                <w:rFonts w:cs="UniversLTStd-BoldCn"/>
                <w:bCs/>
                <w:sz w:val="13"/>
                <w:szCs w:val="13"/>
              </w:rPr>
              <w:t xml:space="preserve"> Vol (</w:t>
            </w:r>
            <w:r w:rsidR="001E7B80" w:rsidRPr="00842C1A">
              <w:rPr>
                <w:rFonts w:cs="UniversLTStd-BoldCn"/>
                <w:bCs/>
                <w:sz w:val="13"/>
                <w:szCs w:val="13"/>
              </w:rPr>
              <w:t>30 Day</w:t>
            </w:r>
            <w:r w:rsidR="00C441B3" w:rsidRPr="00842C1A">
              <w:rPr>
                <w:rFonts w:cs="UniversLTStd-BoldCn"/>
                <w:bCs/>
                <w:sz w:val="13"/>
                <w:szCs w:val="13"/>
              </w:rPr>
              <w:t>)</w:t>
            </w:r>
            <w:r w:rsidR="00BF2DE5" w:rsidRPr="00842C1A">
              <w:rPr>
                <w:rFonts w:cs="UniversLTStd-BoldCn"/>
                <w:bCs/>
                <w:sz w:val="13"/>
                <w:szCs w:val="13"/>
              </w:rPr>
              <w:t>:</w:t>
            </w:r>
            <w:r w:rsidR="00704289" w:rsidRPr="00842C1A">
              <w:rPr>
                <w:rFonts w:cs="UniversLTStd-BoldCn"/>
                <w:bCs/>
                <w:sz w:val="13"/>
                <w:szCs w:val="13"/>
              </w:rPr>
              <w:t xml:space="preserve">  </w:t>
            </w:r>
            <w:r w:rsidR="00C417E1">
              <w:rPr>
                <w:rFonts w:cs="UniversLTStd-BoldCn"/>
                <w:bCs/>
                <w:sz w:val="13"/>
                <w:szCs w:val="13"/>
              </w:rPr>
              <w:t>27.8M</w:t>
            </w:r>
          </w:p>
          <w:p w14:paraId="0D1C791A" w14:textId="0E3E4710" w:rsidR="00E5675C" w:rsidRPr="00842C1A" w:rsidRDefault="00E5675C" w:rsidP="00C8063B">
            <w:pPr>
              <w:rPr>
                <w:sz w:val="13"/>
                <w:szCs w:val="13"/>
              </w:rPr>
            </w:pPr>
            <w:r w:rsidRPr="00842C1A">
              <w:rPr>
                <w:sz w:val="13"/>
                <w:szCs w:val="13"/>
              </w:rPr>
              <w:t xml:space="preserve">Dividend Yield: </w:t>
            </w:r>
            <w:r w:rsidR="00860DEA">
              <w:rPr>
                <w:sz w:val="13"/>
                <w:szCs w:val="13"/>
              </w:rPr>
              <w:t xml:space="preserve"> </w:t>
            </w:r>
            <w:r w:rsidR="002551C8">
              <w:rPr>
                <w:sz w:val="13"/>
                <w:szCs w:val="13"/>
              </w:rPr>
              <w:t>5.75%</w:t>
            </w:r>
          </w:p>
        </w:tc>
      </w:tr>
    </w:tbl>
    <w:p w14:paraId="4F402887" w14:textId="77777777" w:rsidR="00443ED9" w:rsidRPr="00842C1A" w:rsidRDefault="00443ED9" w:rsidP="005E114B">
      <w:pPr>
        <w:rPr>
          <w:sz w:val="13"/>
          <w:szCs w:val="13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11700"/>
      </w:tblGrid>
      <w:tr w:rsidR="00DB5A10" w:rsidRPr="00842C1A" w14:paraId="311194DC" w14:textId="77777777" w:rsidTr="00DB5A10">
        <w:trPr>
          <w:trHeight w:val="197"/>
        </w:trPr>
        <w:tc>
          <w:tcPr>
            <w:tcW w:w="11700" w:type="dxa"/>
            <w:shd w:val="clear" w:color="auto" w:fill="365F91" w:themeFill="accent1" w:themeFillShade="BF"/>
          </w:tcPr>
          <w:p w14:paraId="14342F91" w14:textId="5A8BBA7A" w:rsidR="00DB5A10" w:rsidRPr="00842C1A" w:rsidRDefault="00DB5A10" w:rsidP="00DB5A10">
            <w:pPr>
              <w:tabs>
                <w:tab w:val="left" w:pos="3690"/>
              </w:tabs>
              <w:jc w:val="both"/>
              <w:rPr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Company Background:  </w:t>
            </w:r>
            <w:r w:rsidRPr="00842C1A">
              <w:rPr>
                <w:b/>
                <w:color w:val="FFFFFF" w:themeColor="background1"/>
                <w:sz w:val="13"/>
                <w:szCs w:val="13"/>
              </w:rPr>
              <w:tab/>
            </w:r>
          </w:p>
        </w:tc>
      </w:tr>
      <w:tr w:rsidR="00DB5A10" w:rsidRPr="00842C1A" w14:paraId="325C88BE" w14:textId="77777777" w:rsidTr="00DB5A10">
        <w:tc>
          <w:tcPr>
            <w:tcW w:w="11700" w:type="dxa"/>
          </w:tcPr>
          <w:p w14:paraId="6F7CA091" w14:textId="77777777" w:rsidR="00DB5A10" w:rsidRPr="00842C1A" w:rsidRDefault="00DB5A10" w:rsidP="005E114B">
            <w:pPr>
              <w:rPr>
                <w:sz w:val="13"/>
                <w:szCs w:val="13"/>
              </w:rPr>
            </w:pPr>
          </w:p>
          <w:p w14:paraId="3EDF5BF4" w14:textId="7BE8E381" w:rsidR="00B33512" w:rsidRDefault="00B33512" w:rsidP="00B33512">
            <w:pPr>
              <w:rPr>
                <w:sz w:val="13"/>
                <w:szCs w:val="13"/>
              </w:rPr>
            </w:pPr>
            <w:r w:rsidRPr="00B33512">
              <w:rPr>
                <w:sz w:val="13"/>
                <w:szCs w:val="13"/>
              </w:rPr>
              <w:t>AT&amp;T is the second</w:t>
            </w:r>
            <w:r>
              <w:rPr>
                <w:sz w:val="13"/>
                <w:szCs w:val="13"/>
              </w:rPr>
              <w:t xml:space="preserve">-largest U.S. wireless carrier, </w:t>
            </w:r>
            <w:r w:rsidRPr="00B33512">
              <w:rPr>
                <w:sz w:val="13"/>
                <w:szCs w:val="13"/>
              </w:rPr>
              <w:t xml:space="preserve">serving more than </w:t>
            </w:r>
            <w:r>
              <w:rPr>
                <w:sz w:val="13"/>
                <w:szCs w:val="13"/>
              </w:rPr>
              <w:t xml:space="preserve">100 million customers. The firm </w:t>
            </w:r>
            <w:r w:rsidRPr="00B33512">
              <w:rPr>
                <w:sz w:val="13"/>
                <w:szCs w:val="13"/>
              </w:rPr>
              <w:t>is also provides local</w:t>
            </w:r>
            <w:r>
              <w:rPr>
                <w:sz w:val="13"/>
                <w:szCs w:val="13"/>
              </w:rPr>
              <w:t xml:space="preserve"> fixed-line services, including </w:t>
            </w:r>
            <w:r w:rsidRPr="00B33512">
              <w:rPr>
                <w:sz w:val="13"/>
                <w:szCs w:val="13"/>
              </w:rPr>
              <w:t>voice, data and television services, i</w:t>
            </w:r>
            <w:r>
              <w:rPr>
                <w:sz w:val="13"/>
                <w:szCs w:val="13"/>
              </w:rPr>
              <w:t xml:space="preserve">n 21 states. </w:t>
            </w:r>
            <w:r w:rsidRPr="00B33512">
              <w:rPr>
                <w:sz w:val="13"/>
                <w:szCs w:val="13"/>
              </w:rPr>
              <w:t>AT&amp;T also provide</w:t>
            </w:r>
            <w:r>
              <w:rPr>
                <w:sz w:val="13"/>
                <w:szCs w:val="13"/>
              </w:rPr>
              <w:t xml:space="preserve">s phone and data services, such </w:t>
            </w:r>
            <w:r w:rsidRPr="00B33512">
              <w:rPr>
                <w:sz w:val="13"/>
                <w:szCs w:val="13"/>
              </w:rPr>
              <w:t>as data transport, t</w:t>
            </w:r>
            <w:r>
              <w:rPr>
                <w:sz w:val="13"/>
                <w:szCs w:val="13"/>
              </w:rPr>
              <w:t xml:space="preserve">o larger businesses nationwide. </w:t>
            </w:r>
            <w:r w:rsidRPr="00B33512">
              <w:rPr>
                <w:sz w:val="13"/>
                <w:szCs w:val="13"/>
              </w:rPr>
              <w:t>The firm recently acqu</w:t>
            </w:r>
            <w:r>
              <w:rPr>
                <w:sz w:val="13"/>
                <w:szCs w:val="13"/>
              </w:rPr>
              <w:t xml:space="preserve">ired DirecTV, adding 20 million </w:t>
            </w:r>
            <w:r w:rsidRPr="00B33512">
              <w:rPr>
                <w:sz w:val="13"/>
                <w:szCs w:val="13"/>
              </w:rPr>
              <w:t>U.S. satellite tele</w:t>
            </w:r>
            <w:r>
              <w:rPr>
                <w:sz w:val="13"/>
                <w:szCs w:val="13"/>
              </w:rPr>
              <w:t xml:space="preserve">vision customers and a presence </w:t>
            </w:r>
            <w:r w:rsidRPr="00B33512">
              <w:rPr>
                <w:sz w:val="13"/>
                <w:szCs w:val="13"/>
              </w:rPr>
              <w:t xml:space="preserve">in Latin America. AT&amp;T also recently </w:t>
            </w:r>
            <w:r>
              <w:rPr>
                <w:sz w:val="13"/>
                <w:szCs w:val="13"/>
              </w:rPr>
              <w:t xml:space="preserve">closed </w:t>
            </w:r>
            <w:r w:rsidRPr="00B33512">
              <w:rPr>
                <w:sz w:val="13"/>
                <w:szCs w:val="13"/>
              </w:rPr>
              <w:t>two acquisition</w:t>
            </w:r>
            <w:r>
              <w:rPr>
                <w:sz w:val="13"/>
                <w:szCs w:val="13"/>
              </w:rPr>
              <w:t xml:space="preserve">s in Mexico, adding 8.6 million </w:t>
            </w:r>
            <w:r w:rsidRPr="00B33512">
              <w:rPr>
                <w:sz w:val="13"/>
                <w:szCs w:val="13"/>
              </w:rPr>
              <w:t>wireless customers in the country.</w:t>
            </w:r>
            <w:r>
              <w:rPr>
                <w:sz w:val="13"/>
                <w:szCs w:val="13"/>
              </w:rPr>
              <w:t xml:space="preserve"> (Morningstar)</w:t>
            </w:r>
          </w:p>
          <w:p w14:paraId="0A8884D5" w14:textId="65DCF3FA" w:rsidR="00C8063B" w:rsidRPr="00842C1A" w:rsidRDefault="00C8063B" w:rsidP="00B33512">
            <w:pPr>
              <w:rPr>
                <w:sz w:val="13"/>
                <w:szCs w:val="13"/>
              </w:rPr>
            </w:pPr>
          </w:p>
        </w:tc>
      </w:tr>
      <w:tr w:rsidR="00274740" w:rsidRPr="00842C1A" w14:paraId="4EB61633" w14:textId="77777777" w:rsidTr="00274740">
        <w:tc>
          <w:tcPr>
            <w:tcW w:w="11700" w:type="dxa"/>
            <w:shd w:val="clear" w:color="auto" w:fill="365F91" w:themeFill="accent1" w:themeFillShade="BF"/>
          </w:tcPr>
          <w:p w14:paraId="38206B03" w14:textId="7B341966" w:rsidR="00274740" w:rsidRPr="00842C1A" w:rsidRDefault="00274740" w:rsidP="00BB61F8">
            <w:pPr>
              <w:tabs>
                <w:tab w:val="left" w:pos="3225"/>
              </w:tabs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Industry </w:t>
            </w:r>
            <w:r w:rsidR="00BB3908" w:rsidRPr="00842C1A">
              <w:rPr>
                <w:b/>
                <w:color w:val="FFFFFF" w:themeColor="background1"/>
                <w:sz w:val="13"/>
                <w:szCs w:val="13"/>
              </w:rPr>
              <w:t>Outlook:</w:t>
            </w: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 </w:t>
            </w:r>
          </w:p>
        </w:tc>
      </w:tr>
      <w:tr w:rsidR="00274740" w:rsidRPr="00842C1A" w14:paraId="52C52C72" w14:textId="77777777" w:rsidTr="00DB5A10">
        <w:tc>
          <w:tcPr>
            <w:tcW w:w="11700" w:type="dxa"/>
          </w:tcPr>
          <w:p w14:paraId="7146F4FE" w14:textId="77777777" w:rsidR="00274740" w:rsidRPr="00842C1A" w:rsidRDefault="00274740" w:rsidP="005E114B">
            <w:pPr>
              <w:rPr>
                <w:sz w:val="13"/>
                <w:szCs w:val="13"/>
              </w:rPr>
            </w:pPr>
          </w:p>
          <w:p w14:paraId="70161103" w14:textId="324D2091" w:rsidR="00C8063B" w:rsidRDefault="00B33512" w:rsidP="00B33512">
            <w:pPr>
              <w:rPr>
                <w:sz w:val="13"/>
                <w:szCs w:val="13"/>
              </w:rPr>
            </w:pPr>
            <w:r w:rsidRPr="00B33512">
              <w:rPr>
                <w:sz w:val="13"/>
                <w:szCs w:val="13"/>
              </w:rPr>
              <w:t>Our fundame</w:t>
            </w:r>
            <w:r>
              <w:rPr>
                <w:sz w:val="13"/>
                <w:szCs w:val="13"/>
              </w:rPr>
              <w:t xml:space="preserve">ntal outlook for the integrated </w:t>
            </w:r>
            <w:r w:rsidRPr="00B33512">
              <w:rPr>
                <w:sz w:val="13"/>
                <w:szCs w:val="13"/>
              </w:rPr>
              <w:t>telecommunication servi</w:t>
            </w:r>
            <w:r>
              <w:rPr>
                <w:sz w:val="13"/>
                <w:szCs w:val="13"/>
              </w:rPr>
              <w:t xml:space="preserve">ces (wireline) sub-industry </w:t>
            </w:r>
            <w:r w:rsidRPr="00B33512">
              <w:rPr>
                <w:sz w:val="13"/>
                <w:szCs w:val="13"/>
              </w:rPr>
              <w:t>for the next 12 months is neutral.</w:t>
            </w:r>
            <w:r>
              <w:rPr>
                <w:sz w:val="13"/>
                <w:szCs w:val="13"/>
              </w:rPr>
              <w:t xml:space="preserve">  We expect </w:t>
            </w:r>
            <w:r w:rsidRPr="00B33512">
              <w:rPr>
                <w:sz w:val="13"/>
                <w:szCs w:val="13"/>
              </w:rPr>
              <w:t>revenue pressure</w:t>
            </w:r>
            <w:r>
              <w:rPr>
                <w:sz w:val="13"/>
                <w:szCs w:val="13"/>
              </w:rPr>
              <w:t xml:space="preserve"> to remain, but think broadband growth and </w:t>
            </w:r>
            <w:r w:rsidRPr="00B33512">
              <w:rPr>
                <w:sz w:val="13"/>
                <w:szCs w:val="13"/>
              </w:rPr>
              <w:t>cost savi</w:t>
            </w:r>
            <w:r>
              <w:rPr>
                <w:sz w:val="13"/>
                <w:szCs w:val="13"/>
              </w:rPr>
              <w:t xml:space="preserve">ngs will yield modest free cash </w:t>
            </w:r>
            <w:r w:rsidRPr="00B33512">
              <w:rPr>
                <w:sz w:val="13"/>
                <w:szCs w:val="13"/>
              </w:rPr>
              <w:t>flow growth</w:t>
            </w:r>
            <w:r>
              <w:rPr>
                <w:sz w:val="13"/>
                <w:szCs w:val="13"/>
              </w:rPr>
              <w:t xml:space="preserve"> to support dividends.  We have a </w:t>
            </w:r>
            <w:r w:rsidRPr="00B33512">
              <w:rPr>
                <w:sz w:val="13"/>
                <w:szCs w:val="13"/>
              </w:rPr>
              <w:t>positive opinion on select, high dividend</w:t>
            </w:r>
            <w:r>
              <w:rPr>
                <w:sz w:val="13"/>
                <w:szCs w:val="13"/>
              </w:rPr>
              <w:t xml:space="preserve"> paying </w:t>
            </w:r>
            <w:r w:rsidRPr="00B33512">
              <w:rPr>
                <w:sz w:val="13"/>
                <w:szCs w:val="13"/>
              </w:rPr>
              <w:t>companies within the sector.</w:t>
            </w:r>
            <w:r>
              <w:rPr>
                <w:sz w:val="13"/>
                <w:szCs w:val="13"/>
              </w:rPr>
              <w:t xml:space="preserve"> </w:t>
            </w:r>
            <w:r w:rsidRPr="00B33512">
              <w:rPr>
                <w:sz w:val="13"/>
                <w:szCs w:val="13"/>
              </w:rPr>
              <w:t>New versions o</w:t>
            </w:r>
            <w:r>
              <w:rPr>
                <w:sz w:val="13"/>
                <w:szCs w:val="13"/>
              </w:rPr>
              <w:t xml:space="preserve">f smartphones continue to drive </w:t>
            </w:r>
            <w:r w:rsidRPr="00B33512">
              <w:rPr>
                <w:sz w:val="13"/>
                <w:szCs w:val="13"/>
              </w:rPr>
              <w:t xml:space="preserve">wireless customer </w:t>
            </w:r>
            <w:r>
              <w:rPr>
                <w:sz w:val="13"/>
                <w:szCs w:val="13"/>
              </w:rPr>
              <w:t xml:space="preserve">growth for the larger carriers. </w:t>
            </w:r>
            <w:r w:rsidRPr="00B33512">
              <w:rPr>
                <w:sz w:val="13"/>
                <w:szCs w:val="13"/>
              </w:rPr>
              <w:t xml:space="preserve">With more existing </w:t>
            </w:r>
            <w:r>
              <w:rPr>
                <w:sz w:val="13"/>
                <w:szCs w:val="13"/>
              </w:rPr>
              <w:t xml:space="preserve">customers upgrading to high-end </w:t>
            </w:r>
            <w:r w:rsidRPr="00B33512">
              <w:rPr>
                <w:sz w:val="13"/>
                <w:szCs w:val="13"/>
              </w:rPr>
              <w:t>subsidized devi</w:t>
            </w:r>
            <w:r>
              <w:rPr>
                <w:sz w:val="13"/>
                <w:szCs w:val="13"/>
              </w:rPr>
              <w:t xml:space="preserve">ces, we expect healthy wireless </w:t>
            </w:r>
            <w:r w:rsidRPr="00B33512">
              <w:rPr>
                <w:sz w:val="13"/>
                <w:szCs w:val="13"/>
              </w:rPr>
              <w:t>revenue gr</w:t>
            </w:r>
            <w:r>
              <w:rPr>
                <w:sz w:val="13"/>
                <w:szCs w:val="13"/>
              </w:rPr>
              <w:t xml:space="preserve">owth, but also operating margin </w:t>
            </w:r>
            <w:r w:rsidRPr="00B33512">
              <w:rPr>
                <w:sz w:val="13"/>
                <w:szCs w:val="13"/>
              </w:rPr>
              <w:t>pressur</w:t>
            </w:r>
            <w:r>
              <w:rPr>
                <w:sz w:val="13"/>
                <w:szCs w:val="13"/>
              </w:rPr>
              <w:t xml:space="preserve">es over the next twelve months. </w:t>
            </w:r>
            <w:r w:rsidRPr="00B33512">
              <w:rPr>
                <w:sz w:val="13"/>
                <w:szCs w:val="13"/>
              </w:rPr>
              <w:t xml:space="preserve">In wireline, </w:t>
            </w:r>
            <w:r>
              <w:rPr>
                <w:sz w:val="13"/>
                <w:szCs w:val="13"/>
              </w:rPr>
              <w:t xml:space="preserve">we expect continued access line </w:t>
            </w:r>
            <w:r w:rsidRPr="00B33512">
              <w:rPr>
                <w:sz w:val="13"/>
                <w:szCs w:val="13"/>
              </w:rPr>
              <w:t>weakness, but sta</w:t>
            </w:r>
            <w:r>
              <w:rPr>
                <w:sz w:val="13"/>
                <w:szCs w:val="13"/>
              </w:rPr>
              <w:t xml:space="preserve">ble broadband subscriber gains. </w:t>
            </w:r>
            <w:r w:rsidRPr="00B33512">
              <w:rPr>
                <w:sz w:val="13"/>
                <w:szCs w:val="13"/>
              </w:rPr>
              <w:t>Competitive t</w:t>
            </w:r>
            <w:r>
              <w:rPr>
                <w:sz w:val="13"/>
                <w:szCs w:val="13"/>
              </w:rPr>
              <w:t xml:space="preserve">hreats from cable and satellite </w:t>
            </w:r>
            <w:r w:rsidRPr="00B33512">
              <w:rPr>
                <w:sz w:val="13"/>
                <w:szCs w:val="13"/>
              </w:rPr>
              <w:t>providers should weigh on pricing an</w:t>
            </w:r>
            <w:r>
              <w:rPr>
                <w:sz w:val="13"/>
                <w:szCs w:val="13"/>
              </w:rPr>
              <w:t xml:space="preserve">d subscriber </w:t>
            </w:r>
            <w:r w:rsidRPr="00B33512">
              <w:rPr>
                <w:sz w:val="13"/>
                <w:szCs w:val="13"/>
              </w:rPr>
              <w:t>growth. However,</w:t>
            </w:r>
            <w:r>
              <w:rPr>
                <w:sz w:val="13"/>
                <w:szCs w:val="13"/>
              </w:rPr>
              <w:t xml:space="preserve"> we see continued cost cutting, </w:t>
            </w:r>
            <w:r w:rsidRPr="00B33512">
              <w:rPr>
                <w:sz w:val="13"/>
                <w:szCs w:val="13"/>
              </w:rPr>
              <w:t>merger</w:t>
            </w:r>
            <w:r>
              <w:rPr>
                <w:sz w:val="13"/>
                <w:szCs w:val="13"/>
              </w:rPr>
              <w:t xml:space="preserve"> synergies, and business market </w:t>
            </w:r>
            <w:r w:rsidRPr="00B33512">
              <w:rPr>
                <w:sz w:val="13"/>
                <w:szCs w:val="13"/>
              </w:rPr>
              <w:t>improvem</w:t>
            </w:r>
            <w:r>
              <w:rPr>
                <w:sz w:val="13"/>
                <w:szCs w:val="13"/>
              </w:rPr>
              <w:t xml:space="preserve">ents supporting free cash flow. </w:t>
            </w:r>
            <w:r w:rsidRPr="00B33512">
              <w:rPr>
                <w:sz w:val="13"/>
                <w:szCs w:val="13"/>
              </w:rPr>
              <w:t xml:space="preserve">We expect telecom </w:t>
            </w:r>
            <w:r>
              <w:rPr>
                <w:sz w:val="13"/>
                <w:szCs w:val="13"/>
              </w:rPr>
              <w:t xml:space="preserve">providers to continue to invest </w:t>
            </w:r>
            <w:r w:rsidRPr="00B33512">
              <w:rPr>
                <w:sz w:val="13"/>
                <w:szCs w:val="13"/>
              </w:rPr>
              <w:t xml:space="preserve">in high-demand </w:t>
            </w:r>
            <w:r>
              <w:rPr>
                <w:sz w:val="13"/>
                <w:szCs w:val="13"/>
              </w:rPr>
              <w:t xml:space="preserve">fiber-based services to support </w:t>
            </w:r>
            <w:r w:rsidRPr="00B33512">
              <w:rPr>
                <w:sz w:val="13"/>
                <w:szCs w:val="13"/>
              </w:rPr>
              <w:t>broadband growth, wi</w:t>
            </w:r>
            <w:r>
              <w:rPr>
                <w:sz w:val="13"/>
                <w:szCs w:val="13"/>
              </w:rPr>
              <w:t xml:space="preserve">th a focus on improving both </w:t>
            </w:r>
            <w:r w:rsidRPr="00B33512">
              <w:rPr>
                <w:sz w:val="13"/>
                <w:szCs w:val="13"/>
              </w:rPr>
              <w:t xml:space="preserve">data speeds </w:t>
            </w:r>
            <w:r>
              <w:rPr>
                <w:sz w:val="13"/>
                <w:szCs w:val="13"/>
              </w:rPr>
              <w:t xml:space="preserve">and coverage. The government is </w:t>
            </w:r>
            <w:r w:rsidRPr="00B33512">
              <w:rPr>
                <w:sz w:val="13"/>
                <w:szCs w:val="13"/>
              </w:rPr>
              <w:t>phasing in regulato</w:t>
            </w:r>
            <w:r>
              <w:rPr>
                <w:sz w:val="13"/>
                <w:szCs w:val="13"/>
              </w:rPr>
              <w:t xml:space="preserve">ry changes to universal service </w:t>
            </w:r>
            <w:r w:rsidRPr="00B33512">
              <w:rPr>
                <w:sz w:val="13"/>
                <w:szCs w:val="13"/>
              </w:rPr>
              <w:t>funding to spur b</w:t>
            </w:r>
            <w:r>
              <w:rPr>
                <w:sz w:val="13"/>
                <w:szCs w:val="13"/>
              </w:rPr>
              <w:t xml:space="preserve">roadband availability, which we </w:t>
            </w:r>
            <w:r w:rsidRPr="00B33512">
              <w:rPr>
                <w:sz w:val="13"/>
                <w:szCs w:val="13"/>
              </w:rPr>
              <w:t>see as modest</w:t>
            </w:r>
            <w:r>
              <w:rPr>
                <w:sz w:val="13"/>
                <w:szCs w:val="13"/>
              </w:rPr>
              <w:t xml:space="preserve">ly negative for rural carriers. </w:t>
            </w:r>
            <w:r w:rsidRPr="00B33512">
              <w:rPr>
                <w:sz w:val="13"/>
                <w:szCs w:val="13"/>
              </w:rPr>
              <w:t>After dividend reductions by several m</w:t>
            </w:r>
            <w:r>
              <w:rPr>
                <w:sz w:val="13"/>
                <w:szCs w:val="13"/>
              </w:rPr>
              <w:t xml:space="preserve">id-sized </w:t>
            </w:r>
            <w:r w:rsidRPr="00B33512">
              <w:rPr>
                <w:sz w:val="13"/>
                <w:szCs w:val="13"/>
              </w:rPr>
              <w:t>telecom compan</w:t>
            </w:r>
            <w:r>
              <w:rPr>
                <w:sz w:val="13"/>
                <w:szCs w:val="13"/>
              </w:rPr>
              <w:t xml:space="preserve">ies in recent years, we believe </w:t>
            </w:r>
            <w:r w:rsidRPr="00B33512">
              <w:rPr>
                <w:sz w:val="13"/>
                <w:szCs w:val="13"/>
              </w:rPr>
              <w:t xml:space="preserve">dividend payout ratios </w:t>
            </w:r>
            <w:r>
              <w:rPr>
                <w:sz w:val="13"/>
                <w:szCs w:val="13"/>
              </w:rPr>
              <w:t xml:space="preserve">for most are at levels that can </w:t>
            </w:r>
            <w:r w:rsidRPr="00B33512">
              <w:rPr>
                <w:sz w:val="13"/>
                <w:szCs w:val="13"/>
              </w:rPr>
              <w:t>support current attractive dividends.</w:t>
            </w:r>
            <w:r>
              <w:rPr>
                <w:sz w:val="13"/>
                <w:szCs w:val="13"/>
              </w:rPr>
              <w:t xml:space="preserve"> (S&amp;P Capital IQ)</w:t>
            </w:r>
          </w:p>
          <w:p w14:paraId="2219CC73" w14:textId="77777777" w:rsidR="00C8063B" w:rsidRPr="00842C1A" w:rsidRDefault="00C8063B" w:rsidP="00C8063B">
            <w:pPr>
              <w:rPr>
                <w:sz w:val="13"/>
                <w:szCs w:val="13"/>
              </w:rPr>
            </w:pPr>
          </w:p>
        </w:tc>
      </w:tr>
      <w:tr w:rsidR="00DB5A10" w:rsidRPr="00842C1A" w14:paraId="6A32B295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22F69EB1" w14:textId="5B91B2A3" w:rsidR="00DB5A10" w:rsidRPr="00842C1A" w:rsidRDefault="00DB5A10" w:rsidP="00DB5A10">
            <w:pPr>
              <w:tabs>
                <w:tab w:val="left" w:pos="3225"/>
              </w:tabs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>Investment Thesis:</w:t>
            </w:r>
            <w:r w:rsidRPr="00842C1A">
              <w:rPr>
                <w:b/>
                <w:color w:val="FFFFFF" w:themeColor="background1"/>
                <w:sz w:val="13"/>
                <w:szCs w:val="13"/>
              </w:rPr>
              <w:tab/>
            </w:r>
          </w:p>
        </w:tc>
      </w:tr>
      <w:tr w:rsidR="00DB5A10" w:rsidRPr="00842C1A" w14:paraId="4F0CBDAD" w14:textId="77777777" w:rsidTr="00DB5A10">
        <w:tc>
          <w:tcPr>
            <w:tcW w:w="11700" w:type="dxa"/>
          </w:tcPr>
          <w:p w14:paraId="290AAD6A" w14:textId="6959A843" w:rsidR="00DB5A10" w:rsidRPr="00842C1A" w:rsidRDefault="00DB5A10" w:rsidP="005E114B">
            <w:pPr>
              <w:rPr>
                <w:sz w:val="13"/>
                <w:szCs w:val="13"/>
              </w:rPr>
            </w:pPr>
          </w:p>
          <w:p w14:paraId="0C623195" w14:textId="7E6F8B2C" w:rsidR="00C8063B" w:rsidRDefault="006F0DB7" w:rsidP="00C8063B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Large capital allocations have been made recently, which include the acquisition of </w:t>
            </w:r>
            <w:proofErr w:type="spellStart"/>
            <w:r>
              <w:rPr>
                <w:sz w:val="13"/>
                <w:szCs w:val="13"/>
              </w:rPr>
              <w:t>DirectTV</w:t>
            </w:r>
            <w:proofErr w:type="spellEnd"/>
            <w:r>
              <w:rPr>
                <w:sz w:val="13"/>
                <w:szCs w:val="13"/>
              </w:rPr>
              <w:t xml:space="preserve">, the foray in Mexico, and the substantial sum spent at the AWS-3 spectrum auction.  </w:t>
            </w:r>
            <w:r w:rsidRPr="006F0DB7">
              <w:rPr>
                <w:sz w:val="13"/>
                <w:szCs w:val="13"/>
              </w:rPr>
              <w:t>AT&amp;T's wir</w:t>
            </w:r>
            <w:r>
              <w:rPr>
                <w:sz w:val="13"/>
                <w:szCs w:val="13"/>
              </w:rPr>
              <w:t xml:space="preserve">eless unit, its largest segment </w:t>
            </w:r>
            <w:r w:rsidRPr="006F0DB7">
              <w:rPr>
                <w:sz w:val="13"/>
                <w:szCs w:val="13"/>
              </w:rPr>
              <w:t>at a bit more</w:t>
            </w:r>
            <w:r>
              <w:rPr>
                <w:sz w:val="13"/>
                <w:szCs w:val="13"/>
              </w:rPr>
              <w:t xml:space="preserve"> than 40% of sales, is its most attractive business.  AT&amp;T and Verizon Wireless </w:t>
            </w:r>
            <w:r w:rsidRPr="006F0DB7">
              <w:rPr>
                <w:sz w:val="13"/>
                <w:szCs w:val="13"/>
              </w:rPr>
              <w:t xml:space="preserve">have unmatched </w:t>
            </w:r>
            <w:r>
              <w:rPr>
                <w:sz w:val="13"/>
                <w:szCs w:val="13"/>
              </w:rPr>
              <w:t xml:space="preserve">scale and resources to make the </w:t>
            </w:r>
            <w:r w:rsidRPr="006F0DB7">
              <w:rPr>
                <w:sz w:val="13"/>
                <w:szCs w:val="13"/>
              </w:rPr>
              <w:t>investm</w:t>
            </w:r>
            <w:r>
              <w:rPr>
                <w:sz w:val="13"/>
                <w:szCs w:val="13"/>
              </w:rPr>
              <w:t xml:space="preserve">ents needed to continue meeting customer </w:t>
            </w:r>
            <w:r w:rsidRPr="006F0DB7">
              <w:rPr>
                <w:sz w:val="13"/>
                <w:szCs w:val="13"/>
              </w:rPr>
              <w:t>needs whil</w:t>
            </w:r>
            <w:r>
              <w:rPr>
                <w:sz w:val="13"/>
                <w:szCs w:val="13"/>
              </w:rPr>
              <w:t xml:space="preserve">e generating strong margins and </w:t>
            </w:r>
            <w:r w:rsidRPr="006F0DB7">
              <w:rPr>
                <w:sz w:val="13"/>
                <w:szCs w:val="13"/>
              </w:rPr>
              <w:t xml:space="preserve">cash flow. AT&amp;T has </w:t>
            </w:r>
            <w:r>
              <w:rPr>
                <w:sz w:val="13"/>
                <w:szCs w:val="13"/>
              </w:rPr>
              <w:t xml:space="preserve">done a good job of capitalizing </w:t>
            </w:r>
            <w:r w:rsidRPr="006F0DB7">
              <w:rPr>
                <w:sz w:val="13"/>
                <w:szCs w:val="13"/>
              </w:rPr>
              <w:t>on its wireless posi</w:t>
            </w:r>
            <w:r>
              <w:rPr>
                <w:sz w:val="13"/>
                <w:szCs w:val="13"/>
              </w:rPr>
              <w:t xml:space="preserve">tion, driving improvements </w:t>
            </w:r>
            <w:r w:rsidRPr="006F0DB7">
              <w:rPr>
                <w:sz w:val="13"/>
                <w:szCs w:val="13"/>
              </w:rPr>
              <w:t>in customer serv</w:t>
            </w:r>
            <w:r>
              <w:rPr>
                <w:sz w:val="13"/>
                <w:szCs w:val="13"/>
              </w:rPr>
              <w:t xml:space="preserve">ice and cutting costs. AT&amp;T now </w:t>
            </w:r>
            <w:r w:rsidRPr="006F0DB7">
              <w:rPr>
                <w:sz w:val="13"/>
                <w:szCs w:val="13"/>
              </w:rPr>
              <w:t xml:space="preserve">boasts a postpaid </w:t>
            </w:r>
            <w:r>
              <w:rPr>
                <w:sz w:val="13"/>
                <w:szCs w:val="13"/>
              </w:rPr>
              <w:t>customer base that is nearly as l</w:t>
            </w:r>
            <w:r w:rsidRPr="006F0DB7">
              <w:rPr>
                <w:sz w:val="13"/>
                <w:szCs w:val="13"/>
              </w:rPr>
              <w:t>oyal as Verizon Wireless'.</w:t>
            </w:r>
            <w:r>
              <w:rPr>
                <w:sz w:val="13"/>
                <w:szCs w:val="13"/>
              </w:rPr>
              <w:t xml:space="preserve">  Phone subsidies have </w:t>
            </w:r>
            <w:r w:rsidRPr="006F0DB7">
              <w:rPr>
                <w:sz w:val="13"/>
                <w:szCs w:val="13"/>
              </w:rPr>
              <w:t>hit margins, but the ra</w:t>
            </w:r>
            <w:r>
              <w:rPr>
                <w:sz w:val="13"/>
                <w:szCs w:val="13"/>
              </w:rPr>
              <w:t xml:space="preserve">pid shift to the Next financing </w:t>
            </w:r>
            <w:r w:rsidRPr="006F0DB7">
              <w:rPr>
                <w:sz w:val="13"/>
                <w:szCs w:val="13"/>
              </w:rPr>
              <w:t>model promises to better mat</w:t>
            </w:r>
            <w:r>
              <w:rPr>
                <w:sz w:val="13"/>
                <w:szCs w:val="13"/>
              </w:rPr>
              <w:t xml:space="preserve">ch phone costs </w:t>
            </w:r>
            <w:r w:rsidRPr="006F0DB7">
              <w:rPr>
                <w:sz w:val="13"/>
                <w:szCs w:val="13"/>
              </w:rPr>
              <w:t xml:space="preserve">and revenue. </w:t>
            </w:r>
            <w:r>
              <w:rPr>
                <w:sz w:val="13"/>
                <w:szCs w:val="13"/>
              </w:rPr>
              <w:t xml:space="preserve">AT&amp;T has wrapped up a period of </w:t>
            </w:r>
            <w:r w:rsidRPr="006F0DB7">
              <w:rPr>
                <w:sz w:val="13"/>
                <w:szCs w:val="13"/>
              </w:rPr>
              <w:t>heavy investment</w:t>
            </w:r>
            <w:r>
              <w:rPr>
                <w:sz w:val="13"/>
                <w:szCs w:val="13"/>
              </w:rPr>
              <w:t xml:space="preserve"> in its wireless network, which </w:t>
            </w:r>
            <w:r w:rsidRPr="006F0DB7">
              <w:rPr>
                <w:sz w:val="13"/>
                <w:szCs w:val="13"/>
              </w:rPr>
              <w:t>we expect will pr</w:t>
            </w:r>
            <w:r>
              <w:rPr>
                <w:sz w:val="13"/>
                <w:szCs w:val="13"/>
              </w:rPr>
              <w:t xml:space="preserve">ess its scale advantages versus </w:t>
            </w:r>
            <w:r w:rsidRPr="006F0DB7">
              <w:rPr>
                <w:sz w:val="13"/>
                <w:szCs w:val="13"/>
              </w:rPr>
              <w:t>smaller rivals ove</w:t>
            </w:r>
            <w:r>
              <w:rPr>
                <w:sz w:val="13"/>
                <w:szCs w:val="13"/>
              </w:rPr>
              <w:t xml:space="preserve">r the next couple of years. The </w:t>
            </w:r>
            <w:r w:rsidRPr="006F0DB7">
              <w:rPr>
                <w:sz w:val="13"/>
                <w:szCs w:val="13"/>
              </w:rPr>
              <w:t>wireless industry has grown increasingly competit</w:t>
            </w:r>
            <w:r>
              <w:rPr>
                <w:sz w:val="13"/>
                <w:szCs w:val="13"/>
              </w:rPr>
              <w:t xml:space="preserve">ive </w:t>
            </w:r>
            <w:r w:rsidRPr="006F0DB7">
              <w:rPr>
                <w:sz w:val="13"/>
                <w:szCs w:val="13"/>
              </w:rPr>
              <w:t>recently, with T-Mo</w:t>
            </w:r>
            <w:r>
              <w:rPr>
                <w:sz w:val="13"/>
                <w:szCs w:val="13"/>
              </w:rPr>
              <w:t xml:space="preserve">bile attacking with new pricing </w:t>
            </w:r>
            <w:r w:rsidRPr="006F0DB7">
              <w:rPr>
                <w:sz w:val="13"/>
                <w:szCs w:val="13"/>
              </w:rPr>
              <w:t>options. We d</w:t>
            </w:r>
            <w:r>
              <w:rPr>
                <w:sz w:val="13"/>
                <w:szCs w:val="13"/>
              </w:rPr>
              <w:t xml:space="preserve">on't believe T-Mobile or Sprint </w:t>
            </w:r>
            <w:r w:rsidRPr="006F0DB7">
              <w:rPr>
                <w:sz w:val="13"/>
                <w:szCs w:val="13"/>
              </w:rPr>
              <w:t>can compete eff</w:t>
            </w:r>
            <w:r>
              <w:rPr>
                <w:sz w:val="13"/>
                <w:szCs w:val="13"/>
              </w:rPr>
              <w:t xml:space="preserve">ectively on price over the long </w:t>
            </w:r>
            <w:r w:rsidRPr="006F0DB7">
              <w:rPr>
                <w:sz w:val="13"/>
                <w:szCs w:val="13"/>
              </w:rPr>
              <w:t>term because of t</w:t>
            </w:r>
            <w:r>
              <w:rPr>
                <w:sz w:val="13"/>
                <w:szCs w:val="13"/>
              </w:rPr>
              <w:t xml:space="preserve">he cost disadvantages they face </w:t>
            </w:r>
            <w:r w:rsidRPr="006F0DB7">
              <w:rPr>
                <w:sz w:val="13"/>
                <w:szCs w:val="13"/>
              </w:rPr>
              <w:t>in providing quali</w:t>
            </w:r>
            <w:r>
              <w:rPr>
                <w:sz w:val="13"/>
                <w:szCs w:val="13"/>
              </w:rPr>
              <w:t xml:space="preserve">ty service. We believe AT&amp;T has </w:t>
            </w:r>
            <w:r w:rsidRPr="006F0DB7">
              <w:rPr>
                <w:sz w:val="13"/>
                <w:szCs w:val="13"/>
              </w:rPr>
              <w:t>made intellige</w:t>
            </w:r>
            <w:r>
              <w:rPr>
                <w:sz w:val="13"/>
                <w:szCs w:val="13"/>
              </w:rPr>
              <w:t xml:space="preserve">nt pricing changes, encouraging </w:t>
            </w:r>
            <w:r w:rsidRPr="006F0DB7">
              <w:rPr>
                <w:sz w:val="13"/>
                <w:szCs w:val="13"/>
              </w:rPr>
              <w:t>heavier data usa</w:t>
            </w:r>
            <w:r>
              <w:rPr>
                <w:sz w:val="13"/>
                <w:szCs w:val="13"/>
              </w:rPr>
              <w:t xml:space="preserve">ge, which showcases its network </w:t>
            </w:r>
            <w:r w:rsidRPr="006F0DB7">
              <w:rPr>
                <w:sz w:val="13"/>
                <w:szCs w:val="13"/>
              </w:rPr>
              <w:t>strength. In the fixe</w:t>
            </w:r>
            <w:r>
              <w:rPr>
                <w:sz w:val="13"/>
                <w:szCs w:val="13"/>
              </w:rPr>
              <w:t xml:space="preserve">d-line business, we believe the </w:t>
            </w:r>
            <w:r w:rsidRPr="006F0DB7">
              <w:rPr>
                <w:sz w:val="13"/>
                <w:szCs w:val="13"/>
              </w:rPr>
              <w:t>firm enjoys a strong po</w:t>
            </w:r>
            <w:r>
              <w:rPr>
                <w:sz w:val="13"/>
                <w:szCs w:val="13"/>
              </w:rPr>
              <w:t xml:space="preserve">sition in the business services </w:t>
            </w:r>
            <w:r w:rsidRPr="006F0DB7">
              <w:rPr>
                <w:sz w:val="13"/>
                <w:szCs w:val="13"/>
              </w:rPr>
              <w:t>market thank</w:t>
            </w:r>
            <w:r>
              <w:rPr>
                <w:sz w:val="13"/>
                <w:szCs w:val="13"/>
              </w:rPr>
              <w:t xml:space="preserve">s to the reach of its networks. </w:t>
            </w:r>
            <w:r w:rsidRPr="006F0DB7">
              <w:rPr>
                <w:sz w:val="13"/>
                <w:szCs w:val="13"/>
              </w:rPr>
              <w:t>At the high end of th</w:t>
            </w:r>
            <w:r>
              <w:rPr>
                <w:sz w:val="13"/>
                <w:szCs w:val="13"/>
              </w:rPr>
              <w:t xml:space="preserve">is market, very few competitors </w:t>
            </w:r>
            <w:r w:rsidRPr="006F0DB7">
              <w:rPr>
                <w:sz w:val="13"/>
                <w:szCs w:val="13"/>
              </w:rPr>
              <w:t>can meet customer needs as well.</w:t>
            </w:r>
            <w:r>
              <w:rPr>
                <w:sz w:val="13"/>
                <w:szCs w:val="13"/>
              </w:rPr>
              <w:t xml:space="preserve"> (Morningstar)</w:t>
            </w:r>
          </w:p>
          <w:p w14:paraId="35F9E681" w14:textId="77777777" w:rsidR="00C8063B" w:rsidRPr="00842C1A" w:rsidRDefault="00C8063B" w:rsidP="00C8063B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DB5A10" w:rsidRPr="00842C1A" w14:paraId="3604FAC8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36D57562" w14:textId="69893D12" w:rsidR="00DB5A10" w:rsidRPr="00842C1A" w:rsidRDefault="00DB5A10" w:rsidP="00DB5A10">
            <w:pPr>
              <w:tabs>
                <w:tab w:val="left" w:pos="2235"/>
              </w:tabs>
              <w:rPr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>Investment Risks:</w:t>
            </w:r>
            <w:r w:rsidRPr="00842C1A">
              <w:rPr>
                <w:b/>
                <w:color w:val="FFFFFF" w:themeColor="background1"/>
                <w:sz w:val="13"/>
                <w:szCs w:val="13"/>
              </w:rPr>
              <w:tab/>
            </w:r>
          </w:p>
        </w:tc>
      </w:tr>
      <w:tr w:rsidR="00DB5A10" w:rsidRPr="00842C1A" w14:paraId="7051B972" w14:textId="77777777" w:rsidTr="00DB5A10">
        <w:tc>
          <w:tcPr>
            <w:tcW w:w="11700" w:type="dxa"/>
          </w:tcPr>
          <w:p w14:paraId="6C10EB0E" w14:textId="77777777" w:rsidR="00DB5A10" w:rsidRPr="00842C1A" w:rsidRDefault="00DB5A10" w:rsidP="005E114B">
            <w:pPr>
              <w:rPr>
                <w:sz w:val="13"/>
                <w:szCs w:val="13"/>
              </w:rPr>
            </w:pPr>
          </w:p>
          <w:p w14:paraId="2E31BA04" w14:textId="5663A1A8" w:rsidR="00DB5A10" w:rsidRDefault="006F0DB7" w:rsidP="006F0DB7">
            <w:pPr>
              <w:rPr>
                <w:sz w:val="13"/>
                <w:szCs w:val="13"/>
              </w:rPr>
            </w:pPr>
            <w:r w:rsidRPr="006F0DB7">
              <w:rPr>
                <w:sz w:val="13"/>
                <w:szCs w:val="13"/>
              </w:rPr>
              <w:t>AT&amp;T hopes t</w:t>
            </w:r>
            <w:r>
              <w:rPr>
                <w:sz w:val="13"/>
                <w:szCs w:val="13"/>
              </w:rPr>
              <w:t xml:space="preserve">hat moderating network spending </w:t>
            </w:r>
            <w:r w:rsidRPr="006F0DB7">
              <w:rPr>
                <w:sz w:val="13"/>
                <w:szCs w:val="13"/>
              </w:rPr>
              <w:t xml:space="preserve">and continued </w:t>
            </w:r>
            <w:r>
              <w:rPr>
                <w:sz w:val="13"/>
                <w:szCs w:val="13"/>
              </w:rPr>
              <w:t xml:space="preserve">revenue growth will enable cash </w:t>
            </w:r>
            <w:r w:rsidRPr="006F0DB7">
              <w:rPr>
                <w:sz w:val="13"/>
                <w:szCs w:val="13"/>
              </w:rPr>
              <w:t>flow to rebound in</w:t>
            </w:r>
            <w:r>
              <w:rPr>
                <w:sz w:val="13"/>
                <w:szCs w:val="13"/>
              </w:rPr>
              <w:t xml:space="preserve"> 2015 from a very weak level in </w:t>
            </w:r>
            <w:r w:rsidRPr="006F0DB7">
              <w:rPr>
                <w:sz w:val="13"/>
                <w:szCs w:val="13"/>
              </w:rPr>
              <w:t>2014. However, a sustained drop</w:t>
            </w:r>
            <w:r>
              <w:rPr>
                <w:sz w:val="13"/>
                <w:szCs w:val="13"/>
              </w:rPr>
              <w:t xml:space="preserve"> in cash flow </w:t>
            </w:r>
            <w:r w:rsidRPr="006F0DB7">
              <w:rPr>
                <w:sz w:val="13"/>
                <w:szCs w:val="13"/>
              </w:rPr>
              <w:t>could hinder AT&amp;T's</w:t>
            </w:r>
            <w:r>
              <w:rPr>
                <w:sz w:val="13"/>
                <w:szCs w:val="13"/>
              </w:rPr>
              <w:t xml:space="preserve"> ability to meet debt and other </w:t>
            </w:r>
            <w:r w:rsidRPr="006F0DB7">
              <w:rPr>
                <w:sz w:val="13"/>
                <w:szCs w:val="13"/>
              </w:rPr>
              <w:t>obligations on att</w:t>
            </w:r>
            <w:r>
              <w:rPr>
                <w:sz w:val="13"/>
                <w:szCs w:val="13"/>
              </w:rPr>
              <w:t xml:space="preserve">ractive terms or force the firm </w:t>
            </w:r>
            <w:r w:rsidRPr="006F0DB7">
              <w:rPr>
                <w:sz w:val="13"/>
                <w:szCs w:val="13"/>
              </w:rPr>
              <w:t>to cut its dividen</w:t>
            </w:r>
            <w:r>
              <w:rPr>
                <w:sz w:val="13"/>
                <w:szCs w:val="13"/>
              </w:rPr>
              <w:t xml:space="preserve">d. The ever-shifting market for </w:t>
            </w:r>
            <w:r w:rsidRPr="006F0DB7">
              <w:rPr>
                <w:sz w:val="13"/>
                <w:szCs w:val="13"/>
              </w:rPr>
              <w:t>telecom servi</w:t>
            </w:r>
            <w:r>
              <w:rPr>
                <w:sz w:val="13"/>
                <w:szCs w:val="13"/>
              </w:rPr>
              <w:t xml:space="preserve">ces could hinder future revenue </w:t>
            </w:r>
            <w:r w:rsidRPr="006F0DB7">
              <w:rPr>
                <w:sz w:val="13"/>
                <w:szCs w:val="13"/>
              </w:rPr>
              <w:t xml:space="preserve">growth. If smaller wireless carriers, such as </w:t>
            </w:r>
            <w:r>
              <w:rPr>
                <w:sz w:val="13"/>
                <w:szCs w:val="13"/>
              </w:rPr>
              <w:t xml:space="preserve">Sprint, </w:t>
            </w:r>
            <w:r w:rsidRPr="006F0DB7">
              <w:rPr>
                <w:sz w:val="13"/>
                <w:szCs w:val="13"/>
              </w:rPr>
              <w:t xml:space="preserve">grow desperate </w:t>
            </w:r>
            <w:r>
              <w:rPr>
                <w:sz w:val="13"/>
                <w:szCs w:val="13"/>
              </w:rPr>
              <w:t xml:space="preserve">and decide to compete even more </w:t>
            </w:r>
            <w:r w:rsidRPr="006F0DB7">
              <w:rPr>
                <w:sz w:val="13"/>
                <w:szCs w:val="13"/>
              </w:rPr>
              <w:t>aggressively on</w:t>
            </w:r>
            <w:r>
              <w:rPr>
                <w:sz w:val="13"/>
                <w:szCs w:val="13"/>
              </w:rPr>
              <w:t xml:space="preserve"> price to rebuild market share, </w:t>
            </w:r>
            <w:r w:rsidRPr="006F0DB7">
              <w:rPr>
                <w:sz w:val="13"/>
                <w:szCs w:val="13"/>
              </w:rPr>
              <w:t>AT&amp;T could get c</w:t>
            </w:r>
            <w:r>
              <w:rPr>
                <w:sz w:val="13"/>
                <w:szCs w:val="13"/>
              </w:rPr>
              <w:t xml:space="preserve">aught in a tough spot. We don't </w:t>
            </w:r>
            <w:r w:rsidRPr="006F0DB7">
              <w:rPr>
                <w:sz w:val="13"/>
                <w:szCs w:val="13"/>
              </w:rPr>
              <w:t>expect these c</w:t>
            </w:r>
            <w:r>
              <w:rPr>
                <w:sz w:val="13"/>
                <w:szCs w:val="13"/>
              </w:rPr>
              <w:t xml:space="preserve">arriers will have the financial </w:t>
            </w:r>
            <w:r w:rsidRPr="006F0DB7">
              <w:rPr>
                <w:sz w:val="13"/>
                <w:szCs w:val="13"/>
              </w:rPr>
              <w:t>wherewithal to attack o</w:t>
            </w:r>
            <w:r>
              <w:rPr>
                <w:sz w:val="13"/>
                <w:szCs w:val="13"/>
              </w:rPr>
              <w:t xml:space="preserve">n price indefinitely, but undue </w:t>
            </w:r>
            <w:r w:rsidRPr="006F0DB7">
              <w:rPr>
                <w:sz w:val="13"/>
                <w:szCs w:val="13"/>
              </w:rPr>
              <w:t>retaliation fro</w:t>
            </w:r>
            <w:r>
              <w:rPr>
                <w:sz w:val="13"/>
                <w:szCs w:val="13"/>
              </w:rPr>
              <w:t xml:space="preserve">m AT&amp;T could harm profitability </w:t>
            </w:r>
            <w:r w:rsidRPr="006F0DB7">
              <w:rPr>
                <w:sz w:val="13"/>
                <w:szCs w:val="13"/>
              </w:rPr>
              <w:t>for an extended per</w:t>
            </w:r>
            <w:r>
              <w:rPr>
                <w:sz w:val="13"/>
                <w:szCs w:val="13"/>
              </w:rPr>
              <w:t xml:space="preserve">iod. Competition for high-speed </w:t>
            </w:r>
            <w:r w:rsidRPr="006F0DB7">
              <w:rPr>
                <w:sz w:val="13"/>
                <w:szCs w:val="13"/>
              </w:rPr>
              <w:t>Internet access a</w:t>
            </w:r>
            <w:r>
              <w:rPr>
                <w:sz w:val="13"/>
                <w:szCs w:val="13"/>
              </w:rPr>
              <w:t xml:space="preserve">nd television customers is also </w:t>
            </w:r>
            <w:r w:rsidRPr="006F0DB7">
              <w:rPr>
                <w:sz w:val="13"/>
                <w:szCs w:val="13"/>
              </w:rPr>
              <w:t>stiff. The firm has t</w:t>
            </w:r>
            <w:r>
              <w:rPr>
                <w:sz w:val="13"/>
                <w:szCs w:val="13"/>
              </w:rPr>
              <w:t xml:space="preserve">o balance capital investment to </w:t>
            </w:r>
            <w:r w:rsidRPr="006F0DB7">
              <w:rPr>
                <w:sz w:val="13"/>
                <w:szCs w:val="13"/>
              </w:rPr>
              <w:t>meet future custom</w:t>
            </w:r>
            <w:r>
              <w:rPr>
                <w:sz w:val="13"/>
                <w:szCs w:val="13"/>
              </w:rPr>
              <w:t xml:space="preserve">er demands, which are difficult </w:t>
            </w:r>
            <w:r w:rsidRPr="006F0DB7">
              <w:rPr>
                <w:sz w:val="13"/>
                <w:szCs w:val="13"/>
              </w:rPr>
              <w:t>to predict, and</w:t>
            </w:r>
            <w:r>
              <w:rPr>
                <w:sz w:val="13"/>
                <w:szCs w:val="13"/>
              </w:rPr>
              <w:t xml:space="preserve"> returns on investment. Growing </w:t>
            </w:r>
            <w:r w:rsidRPr="006F0DB7">
              <w:rPr>
                <w:sz w:val="13"/>
                <w:szCs w:val="13"/>
              </w:rPr>
              <w:t>competition fr</w:t>
            </w:r>
            <w:r>
              <w:rPr>
                <w:sz w:val="13"/>
                <w:szCs w:val="13"/>
              </w:rPr>
              <w:t xml:space="preserve">om cable companies and wireless </w:t>
            </w:r>
            <w:r w:rsidRPr="006F0DB7">
              <w:rPr>
                <w:sz w:val="13"/>
                <w:szCs w:val="13"/>
              </w:rPr>
              <w:t>substitution has</w:t>
            </w:r>
            <w:r>
              <w:rPr>
                <w:sz w:val="13"/>
                <w:szCs w:val="13"/>
              </w:rPr>
              <w:t xml:space="preserve"> hurt the local phone business, </w:t>
            </w:r>
            <w:r w:rsidRPr="006F0DB7">
              <w:rPr>
                <w:sz w:val="13"/>
                <w:szCs w:val="13"/>
              </w:rPr>
              <w:t>still a ma</w:t>
            </w:r>
            <w:r>
              <w:rPr>
                <w:sz w:val="13"/>
                <w:szCs w:val="13"/>
              </w:rPr>
              <w:t xml:space="preserve">jor cash cow for AT&amp;T. The firm </w:t>
            </w:r>
            <w:r w:rsidRPr="006F0DB7">
              <w:rPr>
                <w:sz w:val="13"/>
                <w:szCs w:val="13"/>
              </w:rPr>
              <w:t>may struggle to mai</w:t>
            </w:r>
            <w:r>
              <w:rPr>
                <w:sz w:val="13"/>
                <w:szCs w:val="13"/>
              </w:rPr>
              <w:t xml:space="preserve">ntain margins as its fixed-line </w:t>
            </w:r>
            <w:r w:rsidRPr="006F0DB7">
              <w:rPr>
                <w:sz w:val="13"/>
                <w:szCs w:val="13"/>
              </w:rPr>
              <w:t>revenue base shifts to less profi</w:t>
            </w:r>
            <w:r>
              <w:rPr>
                <w:sz w:val="13"/>
                <w:szCs w:val="13"/>
              </w:rPr>
              <w:t xml:space="preserve">table services, such as television. </w:t>
            </w:r>
            <w:r w:rsidRPr="006F0DB7">
              <w:rPr>
                <w:sz w:val="13"/>
                <w:szCs w:val="13"/>
              </w:rPr>
              <w:t>Cha</w:t>
            </w:r>
            <w:r>
              <w:rPr>
                <w:sz w:val="13"/>
                <w:szCs w:val="13"/>
              </w:rPr>
              <w:t xml:space="preserve">nging regulation is also always </w:t>
            </w:r>
            <w:r w:rsidRPr="006F0DB7">
              <w:rPr>
                <w:sz w:val="13"/>
                <w:szCs w:val="13"/>
              </w:rPr>
              <w:t xml:space="preserve">a concern. </w:t>
            </w:r>
            <w:r>
              <w:rPr>
                <w:sz w:val="13"/>
                <w:szCs w:val="13"/>
              </w:rPr>
              <w:t xml:space="preserve">DirecTV introduces a new set of </w:t>
            </w:r>
            <w:r w:rsidRPr="006F0DB7">
              <w:rPr>
                <w:sz w:val="13"/>
                <w:szCs w:val="13"/>
              </w:rPr>
              <w:t>risks to the bu</w:t>
            </w:r>
            <w:r>
              <w:rPr>
                <w:sz w:val="13"/>
                <w:szCs w:val="13"/>
              </w:rPr>
              <w:t xml:space="preserve">siness, as AT&amp;T now relies more </w:t>
            </w:r>
            <w:r w:rsidRPr="006F0DB7">
              <w:rPr>
                <w:sz w:val="13"/>
                <w:szCs w:val="13"/>
              </w:rPr>
              <w:t>heavily on the traditional pay television model.</w:t>
            </w:r>
            <w:r>
              <w:rPr>
                <w:sz w:val="13"/>
                <w:szCs w:val="13"/>
              </w:rPr>
              <w:t xml:space="preserve"> (Morningstar)</w:t>
            </w:r>
          </w:p>
          <w:p w14:paraId="78159DC0" w14:textId="77777777" w:rsidR="00C8063B" w:rsidRPr="00842C1A" w:rsidRDefault="00C8063B" w:rsidP="00C8063B">
            <w:pPr>
              <w:rPr>
                <w:sz w:val="13"/>
                <w:szCs w:val="13"/>
              </w:rPr>
            </w:pPr>
          </w:p>
        </w:tc>
      </w:tr>
      <w:tr w:rsidR="00DB5A10" w:rsidRPr="00842C1A" w14:paraId="76F577E7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0A443D6F" w14:textId="08288C8A" w:rsidR="00DB5A10" w:rsidRPr="00842C1A" w:rsidRDefault="00DB5A10" w:rsidP="00034007">
            <w:pPr>
              <w:jc w:val="both"/>
              <w:rPr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3-5 </w:t>
            </w:r>
            <w:r w:rsidR="00640425" w:rsidRPr="00842C1A">
              <w:rPr>
                <w:b/>
                <w:color w:val="FFFFFF" w:themeColor="background1"/>
                <w:sz w:val="13"/>
                <w:szCs w:val="13"/>
              </w:rPr>
              <w:t>Takeaways From Last Quarter’s Investor Call Transcripts</w:t>
            </w: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: </w:t>
            </w:r>
          </w:p>
        </w:tc>
      </w:tr>
      <w:tr w:rsidR="00DB5A10" w:rsidRPr="00842C1A" w14:paraId="75D76709" w14:textId="77777777" w:rsidTr="00DB5A10">
        <w:trPr>
          <w:trHeight w:val="70"/>
        </w:trPr>
        <w:tc>
          <w:tcPr>
            <w:tcW w:w="11700" w:type="dxa"/>
          </w:tcPr>
          <w:p w14:paraId="7A100AF1" w14:textId="2D5B96FB" w:rsidR="00DB5A10" w:rsidRDefault="00DB5A10" w:rsidP="00987512">
            <w:pPr>
              <w:rPr>
                <w:sz w:val="13"/>
                <w:szCs w:val="13"/>
              </w:rPr>
            </w:pPr>
          </w:p>
          <w:p w14:paraId="09138FC3" w14:textId="484C1A1E" w:rsidR="00987512" w:rsidRDefault="00841FF2" w:rsidP="00987512">
            <w:pPr>
              <w:pStyle w:val="ListParagraph"/>
              <w:numPr>
                <w:ilvl w:val="0"/>
                <w:numId w:val="4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Increased full-year EPS outlook from $2.68 to $2.74 range</w:t>
            </w:r>
            <w:r w:rsidR="00E46573">
              <w:rPr>
                <w:sz w:val="13"/>
                <w:szCs w:val="13"/>
              </w:rPr>
              <w:t>, up from previous range of $2.62 to $2.68.</w:t>
            </w:r>
          </w:p>
          <w:p w14:paraId="0677649D" w14:textId="77777777" w:rsidR="00E46573" w:rsidRDefault="00E46573" w:rsidP="00987512">
            <w:pPr>
              <w:pStyle w:val="ListParagraph"/>
              <w:numPr>
                <w:ilvl w:val="0"/>
                <w:numId w:val="4"/>
              </w:num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Increased full-year free cash flow to $15B+, up from previous range of $13B+.  Currently the company’s payout ratio is 57 percent year-to-date (44 percent for Q3 2015), reassuring sustainable dividends and perhaps a dividend increase in FY2016.</w:t>
            </w:r>
          </w:p>
          <w:p w14:paraId="2A92DC33" w14:textId="01086C04" w:rsidR="00E46573" w:rsidRDefault="00F54548" w:rsidP="00F54548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Wireless EBITDA service margin expanded to record 49.4%, average revenue per user up 5% year-over-year, and more than 40% of smartphone base on Next financing plans (two-thirds off subsidy plans</w:t>
            </w:r>
            <w:proofErr w:type="gramStart"/>
            <w:r>
              <w:rPr>
                <w:sz w:val="13"/>
                <w:szCs w:val="13"/>
              </w:rPr>
              <w:t>)</w:t>
            </w:r>
            <w:r w:rsidR="00E46573">
              <w:rPr>
                <w:sz w:val="13"/>
                <w:szCs w:val="13"/>
              </w:rPr>
              <w:t xml:space="preserve"> </w:t>
            </w:r>
            <w:r w:rsidR="00F7270D">
              <w:rPr>
                <w:sz w:val="13"/>
                <w:szCs w:val="13"/>
              </w:rPr>
              <w:t>.</w:t>
            </w:r>
            <w:proofErr w:type="gramEnd"/>
          </w:p>
          <w:p w14:paraId="6FE96142" w14:textId="67451A22" w:rsidR="00F54548" w:rsidRDefault="00F54548" w:rsidP="00F54548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2.5 million total net adds (289,000 postpaid net adds, with 622,000 tablets and computing devices; Record 1.6 million connected device net adds including 1 million connected cars)</w:t>
            </w:r>
          </w:p>
          <w:p w14:paraId="25B63D50" w14:textId="663E59D0" w:rsidR="00C8063B" w:rsidRDefault="00F54548" w:rsidP="00C8063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Foreign exchange rates have had negative impact on </w:t>
            </w:r>
            <w:proofErr w:type="spellStart"/>
            <w:r>
              <w:rPr>
                <w:sz w:val="13"/>
                <w:szCs w:val="13"/>
              </w:rPr>
              <w:t>DirectTV</w:t>
            </w:r>
            <w:proofErr w:type="spellEnd"/>
            <w:r>
              <w:rPr>
                <w:sz w:val="13"/>
                <w:szCs w:val="13"/>
              </w:rPr>
              <w:t xml:space="preserve"> Latin America results (Revenues down 25% driven by FX; Up 18% on a constant currency basis).  However, it is important to note that this segment signifies a small portion of AT&amp;T’s overall revenues</w:t>
            </w:r>
            <w:r w:rsidR="00F7270D">
              <w:rPr>
                <w:sz w:val="13"/>
                <w:szCs w:val="13"/>
              </w:rPr>
              <w:t xml:space="preserve"> (~2.4% of total revenue).</w:t>
            </w:r>
          </w:p>
          <w:p w14:paraId="4205DC0B" w14:textId="4898B721" w:rsidR="00F54548" w:rsidRPr="00F54548" w:rsidRDefault="00F54548" w:rsidP="00F54548">
            <w:pPr>
              <w:pStyle w:val="ListParagraph"/>
              <w:spacing w:before="240"/>
              <w:ind w:left="360"/>
              <w:rPr>
                <w:sz w:val="13"/>
                <w:szCs w:val="13"/>
              </w:rPr>
            </w:pPr>
          </w:p>
        </w:tc>
      </w:tr>
    </w:tbl>
    <w:p w14:paraId="5873EF7F" w14:textId="77777777" w:rsidR="00B7642F" w:rsidRPr="00842C1A" w:rsidRDefault="00B7642F" w:rsidP="005E114B">
      <w:pPr>
        <w:rPr>
          <w:sz w:val="13"/>
          <w:szCs w:val="13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65"/>
        <w:gridCol w:w="4343"/>
      </w:tblGrid>
      <w:tr w:rsidR="00830F06" w:rsidRPr="00842C1A" w14:paraId="730DB2FF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7CF6246B" w14:textId="38A66325" w:rsidR="00830F06" w:rsidRPr="00842C1A" w:rsidRDefault="00830F06" w:rsidP="00443ED9">
            <w:pPr>
              <w:jc w:val="both"/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>Financial Performance: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09E00ADF" w14:textId="62365A7B" w:rsidR="00830F06" w:rsidRPr="00842C1A" w:rsidRDefault="00830F06" w:rsidP="00443ED9">
            <w:pPr>
              <w:jc w:val="both"/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 xml:space="preserve">Discounted Cash Flow </w:t>
            </w:r>
          </w:p>
        </w:tc>
      </w:tr>
      <w:tr w:rsidR="00830F06" w:rsidRPr="00842C1A" w14:paraId="0538015D" w14:textId="77777777" w:rsidTr="00830F06">
        <w:tc>
          <w:tcPr>
            <w:tcW w:w="7488" w:type="dxa"/>
          </w:tcPr>
          <w:p w14:paraId="6973B10F" w14:textId="77777777" w:rsidR="00830F06" w:rsidRPr="00842C1A" w:rsidRDefault="00830F06" w:rsidP="00443ED9">
            <w:pPr>
              <w:jc w:val="both"/>
              <w:rPr>
                <w:b/>
                <w:sz w:val="13"/>
                <w:szCs w:val="1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7"/>
              <w:gridCol w:w="947"/>
              <w:gridCol w:w="1051"/>
              <w:gridCol w:w="921"/>
              <w:gridCol w:w="921"/>
              <w:gridCol w:w="921"/>
              <w:gridCol w:w="921"/>
            </w:tblGrid>
            <w:tr w:rsidR="00830F06" w:rsidRPr="00842C1A" w14:paraId="23FAEDA0" w14:textId="77777777" w:rsidTr="00CF6BDE">
              <w:tc>
                <w:tcPr>
                  <w:tcW w:w="1557" w:type="dxa"/>
                  <w:shd w:val="clear" w:color="auto" w:fill="DBE5F1" w:themeFill="accent1" w:themeFillTint="33"/>
                </w:tcPr>
                <w:p w14:paraId="165C82C4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947" w:type="dxa"/>
                  <w:shd w:val="clear" w:color="auto" w:fill="DBE5F1" w:themeFill="accent1" w:themeFillTint="33"/>
                </w:tcPr>
                <w:p w14:paraId="76114568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2012</w:t>
                  </w:r>
                </w:p>
              </w:tc>
              <w:tc>
                <w:tcPr>
                  <w:tcW w:w="1051" w:type="dxa"/>
                  <w:shd w:val="clear" w:color="auto" w:fill="DBE5F1" w:themeFill="accent1" w:themeFillTint="33"/>
                </w:tcPr>
                <w:p w14:paraId="0FA0AD6E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2013</w:t>
                  </w:r>
                </w:p>
              </w:tc>
              <w:tc>
                <w:tcPr>
                  <w:tcW w:w="921" w:type="dxa"/>
                  <w:shd w:val="clear" w:color="auto" w:fill="DBE5F1" w:themeFill="accent1" w:themeFillTint="33"/>
                </w:tcPr>
                <w:p w14:paraId="222A182C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2014</w:t>
                  </w:r>
                </w:p>
              </w:tc>
              <w:tc>
                <w:tcPr>
                  <w:tcW w:w="921" w:type="dxa"/>
                  <w:shd w:val="clear" w:color="auto" w:fill="DBE5F1" w:themeFill="accent1" w:themeFillTint="33"/>
                </w:tcPr>
                <w:p w14:paraId="43EE2733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Q1-2015</w:t>
                  </w:r>
                </w:p>
              </w:tc>
              <w:tc>
                <w:tcPr>
                  <w:tcW w:w="921" w:type="dxa"/>
                  <w:shd w:val="clear" w:color="auto" w:fill="DBE5F1" w:themeFill="accent1" w:themeFillTint="33"/>
                </w:tcPr>
                <w:p w14:paraId="2262B9DA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Q2-2015</w:t>
                  </w:r>
                </w:p>
              </w:tc>
              <w:tc>
                <w:tcPr>
                  <w:tcW w:w="921" w:type="dxa"/>
                  <w:shd w:val="clear" w:color="auto" w:fill="DBE5F1" w:themeFill="accent1" w:themeFillTint="33"/>
                </w:tcPr>
                <w:p w14:paraId="4080B05E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Q3-2015</w:t>
                  </w:r>
                </w:p>
              </w:tc>
            </w:tr>
            <w:tr w:rsidR="00BC13CE" w:rsidRPr="00842C1A" w14:paraId="5835BCA6" w14:textId="77777777" w:rsidTr="00F2535B">
              <w:tc>
                <w:tcPr>
                  <w:tcW w:w="1557" w:type="dxa"/>
                </w:tcPr>
                <w:p w14:paraId="6C7AE70B" w14:textId="2C48DA28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Revenue </w:t>
                  </w:r>
                </w:p>
              </w:tc>
              <w:tc>
                <w:tcPr>
                  <w:tcW w:w="947" w:type="dxa"/>
                </w:tcPr>
                <w:p w14:paraId="41FE7B9F" w14:textId="6039C1CA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127,434.0</w:t>
                  </w:r>
                </w:p>
              </w:tc>
              <w:tc>
                <w:tcPr>
                  <w:tcW w:w="1051" w:type="dxa"/>
                </w:tcPr>
                <w:p w14:paraId="5AD94885" w14:textId="120C52EA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128,752.0</w:t>
                  </w:r>
                </w:p>
              </w:tc>
              <w:tc>
                <w:tcPr>
                  <w:tcW w:w="921" w:type="dxa"/>
                </w:tcPr>
                <w:p w14:paraId="5CBFF446" w14:textId="153BD592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132,447.0</w:t>
                  </w:r>
                </w:p>
              </w:tc>
              <w:tc>
                <w:tcPr>
                  <w:tcW w:w="921" w:type="dxa"/>
                  <w:vAlign w:val="bottom"/>
                </w:tcPr>
                <w:p w14:paraId="4B0B1917" w14:textId="2310B63E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32,576.0</w:t>
                  </w:r>
                </w:p>
              </w:tc>
              <w:tc>
                <w:tcPr>
                  <w:tcW w:w="921" w:type="dxa"/>
                  <w:vAlign w:val="bottom"/>
                </w:tcPr>
                <w:p w14:paraId="03CE6445" w14:textId="532C3938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33,015.0</w:t>
                  </w:r>
                </w:p>
              </w:tc>
              <w:tc>
                <w:tcPr>
                  <w:tcW w:w="921" w:type="dxa"/>
                  <w:vAlign w:val="bottom"/>
                </w:tcPr>
                <w:p w14:paraId="1FE96789" w14:textId="629C0B3C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39,091.0</w:t>
                  </w:r>
                </w:p>
              </w:tc>
            </w:tr>
            <w:tr w:rsidR="00BC13CE" w:rsidRPr="00842C1A" w14:paraId="0D74DF99" w14:textId="77777777" w:rsidTr="00F2535B">
              <w:tc>
                <w:tcPr>
                  <w:tcW w:w="1557" w:type="dxa"/>
                </w:tcPr>
                <w:p w14:paraId="209309E4" w14:textId="77777777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Operating Profit</w:t>
                  </w:r>
                </w:p>
              </w:tc>
              <w:tc>
                <w:tcPr>
                  <w:tcW w:w="947" w:type="dxa"/>
                </w:tcPr>
                <w:p w14:paraId="43EF44A6" w14:textId="6F8DAA67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12,997.0</w:t>
                  </w:r>
                </w:p>
              </w:tc>
              <w:tc>
                <w:tcPr>
                  <w:tcW w:w="1051" w:type="dxa"/>
                </w:tcPr>
                <w:p w14:paraId="4D295F75" w14:textId="79091DF5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30,479.0</w:t>
                  </w:r>
                </w:p>
              </w:tc>
              <w:tc>
                <w:tcPr>
                  <w:tcW w:w="921" w:type="dxa"/>
                </w:tcPr>
                <w:p w14:paraId="473FEC76" w14:textId="07BAF16A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11,746.0</w:t>
                  </w:r>
                </w:p>
              </w:tc>
              <w:tc>
                <w:tcPr>
                  <w:tcW w:w="921" w:type="dxa"/>
                  <w:vAlign w:val="bottom"/>
                </w:tcPr>
                <w:p w14:paraId="7A5F465A" w14:textId="1767DA3C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5,456.0</w:t>
                  </w:r>
                </w:p>
              </w:tc>
              <w:tc>
                <w:tcPr>
                  <w:tcW w:w="921" w:type="dxa"/>
                  <w:vAlign w:val="bottom"/>
                </w:tcPr>
                <w:p w14:paraId="341AE295" w14:textId="062BF6A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5,712.0</w:t>
                  </w:r>
                </w:p>
              </w:tc>
              <w:tc>
                <w:tcPr>
                  <w:tcW w:w="921" w:type="dxa"/>
                  <w:vAlign w:val="bottom"/>
                </w:tcPr>
                <w:p w14:paraId="06733996" w14:textId="5FA3449B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5,923.0</w:t>
                  </w:r>
                </w:p>
              </w:tc>
            </w:tr>
            <w:tr w:rsidR="00BC13CE" w:rsidRPr="00842C1A" w14:paraId="329334DC" w14:textId="77777777" w:rsidTr="00F2535B">
              <w:tc>
                <w:tcPr>
                  <w:tcW w:w="1557" w:type="dxa"/>
                </w:tcPr>
                <w:p w14:paraId="57B2BB96" w14:textId="25980E61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Net Income </w:t>
                  </w:r>
                </w:p>
              </w:tc>
              <w:tc>
                <w:tcPr>
                  <w:tcW w:w="947" w:type="dxa"/>
                </w:tcPr>
                <w:p w14:paraId="7ED33C82" w14:textId="638ED423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7,264.0</w:t>
                  </w:r>
                </w:p>
              </w:tc>
              <w:tc>
                <w:tcPr>
                  <w:tcW w:w="1051" w:type="dxa"/>
                </w:tcPr>
                <w:p w14:paraId="08C55153" w14:textId="2969C950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18,249.0</w:t>
                  </w:r>
                </w:p>
              </w:tc>
              <w:tc>
                <w:tcPr>
                  <w:tcW w:w="921" w:type="dxa"/>
                </w:tcPr>
                <w:p w14:paraId="14CD87A4" w14:textId="7E176309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6,224.0</w:t>
                  </w:r>
                </w:p>
              </w:tc>
              <w:tc>
                <w:tcPr>
                  <w:tcW w:w="921" w:type="dxa"/>
                  <w:vAlign w:val="bottom"/>
                </w:tcPr>
                <w:p w14:paraId="2BD951AE" w14:textId="158BCE85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3,200.0</w:t>
                  </w:r>
                </w:p>
              </w:tc>
              <w:tc>
                <w:tcPr>
                  <w:tcW w:w="921" w:type="dxa"/>
                  <w:vAlign w:val="bottom"/>
                </w:tcPr>
                <w:p w14:paraId="4B1F5567" w14:textId="2F7E807C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3,044.0</w:t>
                  </w:r>
                </w:p>
              </w:tc>
              <w:tc>
                <w:tcPr>
                  <w:tcW w:w="921" w:type="dxa"/>
                  <w:vAlign w:val="bottom"/>
                </w:tcPr>
                <w:p w14:paraId="0C1C3E6B" w14:textId="2313E96B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2,994.0</w:t>
                  </w:r>
                </w:p>
              </w:tc>
            </w:tr>
            <w:tr w:rsidR="00BC13CE" w:rsidRPr="00842C1A" w14:paraId="334202CA" w14:textId="77777777" w:rsidTr="00F2535B">
              <w:tc>
                <w:tcPr>
                  <w:tcW w:w="1557" w:type="dxa"/>
                </w:tcPr>
                <w:p w14:paraId="545FB948" w14:textId="2C4FD1E6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Revenue Growth </w:t>
                  </w:r>
                  <w:r w:rsidR="00987512">
                    <w:rPr>
                      <w:sz w:val="13"/>
                      <w:szCs w:val="13"/>
                    </w:rPr>
                    <w:t>(</w:t>
                  </w:r>
                  <w:r w:rsidRPr="00842C1A">
                    <w:rPr>
                      <w:sz w:val="13"/>
                      <w:szCs w:val="13"/>
                    </w:rPr>
                    <w:t>%</w:t>
                  </w:r>
                  <w:r w:rsidR="00987512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947" w:type="dxa"/>
                </w:tcPr>
                <w:p w14:paraId="7753E56E" w14:textId="31DFC566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0.56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1051" w:type="dxa"/>
                </w:tcPr>
                <w:p w14:paraId="6895AAD7" w14:textId="70A4A2CF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1.03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14:paraId="50C7D9F0" w14:textId="7706C759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2.87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1E00B23E" w14:textId="5A1A8DC1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0.31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1BC2B723" w14:textId="47BCF8A8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1.35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17F87F8D" w14:textId="379C332D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18.61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</w:tr>
            <w:tr w:rsidR="00BC13CE" w:rsidRPr="00842C1A" w14:paraId="100621BB" w14:textId="77777777" w:rsidTr="00F2535B">
              <w:tc>
                <w:tcPr>
                  <w:tcW w:w="1557" w:type="dxa"/>
                </w:tcPr>
                <w:p w14:paraId="0671CC90" w14:textId="358FC455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EBITDA</w:t>
                  </w:r>
                  <w:r w:rsidR="00987512">
                    <w:rPr>
                      <w:sz w:val="13"/>
                      <w:szCs w:val="13"/>
                    </w:rPr>
                    <w:t xml:space="preserve"> (</w:t>
                  </w:r>
                  <w:r w:rsidRPr="00842C1A">
                    <w:rPr>
                      <w:sz w:val="13"/>
                      <w:szCs w:val="13"/>
                    </w:rPr>
                    <w:t>%</w:t>
                  </w:r>
                  <w:r w:rsidR="00987512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947" w:type="dxa"/>
                </w:tcPr>
                <w:p w14:paraId="56C1673C" w14:textId="7E641FA2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24.44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1051" w:type="dxa"/>
                </w:tcPr>
                <w:p w14:paraId="54A2481B" w14:textId="621E8555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37.96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14:paraId="70B50F71" w14:textId="47EDF4E8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22.66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6D1E67DF" w14:textId="0ED938C2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30.80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4283BFBC" w14:textId="3E63211A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31.53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535F7486" w14:textId="7BF9A5E1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31.18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</w:tr>
            <w:tr w:rsidR="00BC13CE" w:rsidRPr="00842C1A" w14:paraId="3CD7B755" w14:textId="77777777" w:rsidTr="00F2535B">
              <w:tc>
                <w:tcPr>
                  <w:tcW w:w="1557" w:type="dxa"/>
                </w:tcPr>
                <w:p w14:paraId="5648CFBC" w14:textId="1CC5FD53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Operating Profit </w:t>
                  </w:r>
                  <w:r w:rsidR="00987512">
                    <w:rPr>
                      <w:sz w:val="13"/>
                      <w:szCs w:val="13"/>
                    </w:rPr>
                    <w:t>(</w:t>
                  </w:r>
                  <w:r w:rsidRPr="00842C1A">
                    <w:rPr>
                      <w:sz w:val="13"/>
                      <w:szCs w:val="13"/>
                    </w:rPr>
                    <w:t>%</w:t>
                  </w:r>
                  <w:r w:rsidR="00987512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947" w:type="dxa"/>
                </w:tcPr>
                <w:p w14:paraId="4256401B" w14:textId="335D94DC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10.20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1051" w:type="dxa"/>
                </w:tcPr>
                <w:p w14:paraId="01E6195D" w14:textId="282499F5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23.67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14:paraId="7367B82F" w14:textId="1F332446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37.96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6D11D424" w14:textId="080343DC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16.75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60045D97" w14:textId="004F0BC5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17.30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22875514" w14:textId="7383248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15.15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</w:tr>
            <w:tr w:rsidR="00BC13CE" w:rsidRPr="00842C1A" w14:paraId="17F9D92A" w14:textId="77777777" w:rsidTr="00074AFA">
              <w:tc>
                <w:tcPr>
                  <w:tcW w:w="1557" w:type="dxa"/>
                </w:tcPr>
                <w:p w14:paraId="3AA11444" w14:textId="272FE393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Net Income Margin</w:t>
                  </w:r>
                  <w:r w:rsidR="00EA6E53">
                    <w:rPr>
                      <w:sz w:val="13"/>
                      <w:szCs w:val="13"/>
                    </w:rPr>
                    <w:t xml:space="preserve"> </w:t>
                  </w:r>
                  <w:r w:rsidR="00987512">
                    <w:rPr>
                      <w:sz w:val="13"/>
                      <w:szCs w:val="13"/>
                    </w:rPr>
                    <w:t>(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  <w:r w:rsidR="00987512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947" w:type="dxa"/>
                </w:tcPr>
                <w:p w14:paraId="50934D1E" w14:textId="091E714C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5.70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1051" w:type="dxa"/>
                </w:tcPr>
                <w:p w14:paraId="3E025EA0" w14:textId="6FED2F52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14.17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14:paraId="7BF4FB16" w14:textId="793D5E43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4.70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00516877" w14:textId="42562BB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color w:val="000000"/>
                      <w:sz w:val="13"/>
                      <w:szCs w:val="13"/>
                    </w:rPr>
                    <w:t>9.82</w:t>
                  </w:r>
                  <w:r w:rsidR="00EA6E53">
                    <w:rPr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4E215F3E" w14:textId="7ED91E84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color w:val="000000"/>
                      <w:sz w:val="13"/>
                      <w:szCs w:val="13"/>
                    </w:rPr>
                    <w:t>9.22</w:t>
                  </w:r>
                  <w:r w:rsidR="00EA6E53">
                    <w:rPr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714FA856" w14:textId="6A74AFE0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color w:val="000000"/>
                      <w:sz w:val="13"/>
                      <w:szCs w:val="13"/>
                    </w:rPr>
                    <w:t>7.66</w:t>
                  </w:r>
                  <w:r w:rsidR="00EA6E53">
                    <w:rPr>
                      <w:color w:val="000000"/>
                      <w:sz w:val="13"/>
                      <w:szCs w:val="13"/>
                    </w:rPr>
                    <w:t>%</w:t>
                  </w:r>
                </w:p>
              </w:tc>
            </w:tr>
            <w:tr w:rsidR="00BC13CE" w:rsidRPr="00842C1A" w14:paraId="22A784BE" w14:textId="77777777" w:rsidTr="00E00D6C">
              <w:tc>
                <w:tcPr>
                  <w:tcW w:w="1557" w:type="dxa"/>
                </w:tcPr>
                <w:p w14:paraId="670CE5B7" w14:textId="13E3EC53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D/E</w:t>
                  </w:r>
                  <w:r w:rsidR="00EA6E53">
                    <w:rPr>
                      <w:sz w:val="13"/>
                      <w:szCs w:val="13"/>
                    </w:rPr>
                    <w:t xml:space="preserve"> </w:t>
                  </w:r>
                  <w:r w:rsidR="00987512">
                    <w:rPr>
                      <w:sz w:val="13"/>
                      <w:szCs w:val="13"/>
                    </w:rPr>
                    <w:t>(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  <w:r w:rsidR="00987512">
                    <w:rPr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947" w:type="dxa"/>
                </w:tcPr>
                <w:p w14:paraId="74D585ED" w14:textId="01B8A6A3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75.35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1051" w:type="dxa"/>
                </w:tcPr>
                <w:p w14:paraId="3E7FDD3E" w14:textId="23DD75D0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81.75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</w:tcPr>
                <w:p w14:paraId="4A576F03" w14:textId="01FD61B1" w:rsidR="00BC13CE" w:rsidRPr="00842C1A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sz w:val="13"/>
                      <w:szCs w:val="13"/>
                    </w:rPr>
                    <w:t>94.41</w:t>
                  </w:r>
                  <w:r w:rsidR="00EA6E53">
                    <w:rPr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174A979D" w14:textId="7099857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110.73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23A72D7D" w14:textId="4CA1E89E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129.91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921" w:type="dxa"/>
                  <w:vAlign w:val="bottom"/>
                </w:tcPr>
                <w:p w14:paraId="5F88EAE0" w14:textId="7A65E3C4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103.37</w:t>
                  </w:r>
                  <w:r w:rsidR="00EA6E53">
                    <w:rPr>
                      <w:rFonts w:cs="Arial"/>
                      <w:color w:val="000000"/>
                      <w:sz w:val="13"/>
                      <w:szCs w:val="13"/>
                    </w:rPr>
                    <w:t>%</w:t>
                  </w:r>
                </w:p>
              </w:tc>
            </w:tr>
            <w:tr w:rsidR="00BC13CE" w:rsidRPr="00842C1A" w14:paraId="111BB78D" w14:textId="77777777" w:rsidTr="00E00D6C">
              <w:tc>
                <w:tcPr>
                  <w:tcW w:w="1557" w:type="dxa"/>
                </w:tcPr>
                <w:p w14:paraId="0F9C400C" w14:textId="50266AAA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Interest Coverage </w:t>
                  </w:r>
                </w:p>
              </w:tc>
              <w:tc>
                <w:tcPr>
                  <w:tcW w:w="947" w:type="dxa"/>
                  <w:vAlign w:val="bottom"/>
                </w:tcPr>
                <w:p w14:paraId="7851C9B9" w14:textId="3BF71AE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3.51</w:t>
                  </w:r>
                </w:p>
              </w:tc>
              <w:tc>
                <w:tcPr>
                  <w:tcW w:w="1051" w:type="dxa"/>
                  <w:vAlign w:val="bottom"/>
                </w:tcPr>
                <w:p w14:paraId="74B4B557" w14:textId="11CF5C4C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7.22</w:t>
                  </w:r>
                </w:p>
              </w:tc>
              <w:tc>
                <w:tcPr>
                  <w:tcW w:w="921" w:type="dxa"/>
                  <w:vAlign w:val="bottom"/>
                </w:tcPr>
                <w:p w14:paraId="539DC39D" w14:textId="5B147D50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3.05</w:t>
                  </w:r>
                </w:p>
              </w:tc>
              <w:tc>
                <w:tcPr>
                  <w:tcW w:w="921" w:type="dxa"/>
                  <w:vAlign w:val="bottom"/>
                </w:tcPr>
                <w:p w14:paraId="6666455C" w14:textId="498CA2C1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5.34</w:t>
                  </w:r>
                </w:p>
              </w:tc>
              <w:tc>
                <w:tcPr>
                  <w:tcW w:w="921" w:type="dxa"/>
                  <w:vAlign w:val="bottom"/>
                </w:tcPr>
                <w:p w14:paraId="7C7FC6C4" w14:textId="334CA08E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4.98</w:t>
                  </w:r>
                </w:p>
              </w:tc>
              <w:tc>
                <w:tcPr>
                  <w:tcW w:w="921" w:type="dxa"/>
                  <w:vAlign w:val="bottom"/>
                </w:tcPr>
                <w:p w14:paraId="4CF94011" w14:textId="1DB82448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4.31</w:t>
                  </w:r>
                </w:p>
              </w:tc>
            </w:tr>
            <w:tr w:rsidR="00BC13CE" w:rsidRPr="00842C1A" w14:paraId="4BD993C7" w14:textId="77777777" w:rsidTr="00E00D6C">
              <w:tc>
                <w:tcPr>
                  <w:tcW w:w="1557" w:type="dxa"/>
                </w:tcPr>
                <w:p w14:paraId="6F5D5ADC" w14:textId="09479BC7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EPS</w:t>
                  </w:r>
                </w:p>
              </w:tc>
              <w:tc>
                <w:tcPr>
                  <w:tcW w:w="947" w:type="dxa"/>
                  <w:vAlign w:val="bottom"/>
                </w:tcPr>
                <w:p w14:paraId="6B73A46D" w14:textId="3C185E9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1.25</w:t>
                  </w:r>
                </w:p>
              </w:tc>
              <w:tc>
                <w:tcPr>
                  <w:tcW w:w="1051" w:type="dxa"/>
                  <w:vAlign w:val="bottom"/>
                </w:tcPr>
                <w:p w14:paraId="4E77E933" w14:textId="0DF2DD92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3.39</w:t>
                  </w:r>
                </w:p>
              </w:tc>
              <w:tc>
                <w:tcPr>
                  <w:tcW w:w="921" w:type="dxa"/>
                  <w:vAlign w:val="bottom"/>
                </w:tcPr>
                <w:p w14:paraId="693A3040" w14:textId="392ADB6B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1.19</w:t>
                  </w:r>
                </w:p>
              </w:tc>
              <w:tc>
                <w:tcPr>
                  <w:tcW w:w="921" w:type="dxa"/>
                  <w:vAlign w:val="bottom"/>
                </w:tcPr>
                <w:p w14:paraId="785A0893" w14:textId="3C549694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0.61</w:t>
                  </w:r>
                </w:p>
              </w:tc>
              <w:tc>
                <w:tcPr>
                  <w:tcW w:w="921" w:type="dxa"/>
                  <w:vAlign w:val="bottom"/>
                </w:tcPr>
                <w:p w14:paraId="3107DCE0" w14:textId="14217CFE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0.58</w:t>
                  </w:r>
                </w:p>
              </w:tc>
              <w:tc>
                <w:tcPr>
                  <w:tcW w:w="921" w:type="dxa"/>
                  <w:vAlign w:val="bottom"/>
                </w:tcPr>
                <w:p w14:paraId="15B13F64" w14:textId="63C4CBDA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0.50</w:t>
                  </w:r>
                </w:p>
              </w:tc>
            </w:tr>
            <w:tr w:rsidR="00BC13CE" w:rsidRPr="00842C1A" w14:paraId="3EBC0A0A" w14:textId="77777777" w:rsidTr="00E00D6C">
              <w:tc>
                <w:tcPr>
                  <w:tcW w:w="1557" w:type="dxa"/>
                </w:tcPr>
                <w:p w14:paraId="61AE1051" w14:textId="1B2FE329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PE Ratio </w:t>
                  </w:r>
                </w:p>
              </w:tc>
              <w:tc>
                <w:tcPr>
                  <w:tcW w:w="947" w:type="dxa"/>
                  <w:vAlign w:val="bottom"/>
                </w:tcPr>
                <w:p w14:paraId="6DB4D0DC" w14:textId="3C30663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14.62</w:t>
                  </w:r>
                </w:p>
              </w:tc>
              <w:tc>
                <w:tcPr>
                  <w:tcW w:w="1051" w:type="dxa"/>
                  <w:vAlign w:val="bottom"/>
                </w:tcPr>
                <w:p w14:paraId="4CBD752B" w14:textId="27CF5894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13.45</w:t>
                  </w:r>
                </w:p>
              </w:tc>
              <w:tc>
                <w:tcPr>
                  <w:tcW w:w="921" w:type="dxa"/>
                  <w:vAlign w:val="bottom"/>
                </w:tcPr>
                <w:p w14:paraId="1B44C62B" w14:textId="5885E980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13.38</w:t>
                  </w:r>
                </w:p>
              </w:tc>
              <w:tc>
                <w:tcPr>
                  <w:tcW w:w="921" w:type="dxa"/>
                  <w:vAlign w:val="bottom"/>
                </w:tcPr>
                <w:p w14:paraId="38732767" w14:textId="0FCD512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13.47</w:t>
                  </w:r>
                </w:p>
              </w:tc>
              <w:tc>
                <w:tcPr>
                  <w:tcW w:w="921" w:type="dxa"/>
                  <w:vAlign w:val="bottom"/>
                </w:tcPr>
                <w:p w14:paraId="34BB74B5" w14:textId="52AEE84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14.25</w:t>
                  </w:r>
                </w:p>
              </w:tc>
              <w:tc>
                <w:tcPr>
                  <w:tcW w:w="921" w:type="dxa"/>
                  <w:vAlign w:val="bottom"/>
                </w:tcPr>
                <w:p w14:paraId="167918E0" w14:textId="1B12FFC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13.18</w:t>
                  </w:r>
                </w:p>
              </w:tc>
            </w:tr>
            <w:tr w:rsidR="00BC13CE" w:rsidRPr="00842C1A" w14:paraId="235E2086" w14:textId="77777777" w:rsidTr="00E00D6C">
              <w:tc>
                <w:tcPr>
                  <w:tcW w:w="1557" w:type="dxa"/>
                </w:tcPr>
                <w:p w14:paraId="64A6EBFE" w14:textId="3747C462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Current Ratio</w:t>
                  </w:r>
                </w:p>
              </w:tc>
              <w:tc>
                <w:tcPr>
                  <w:tcW w:w="947" w:type="dxa"/>
                  <w:vAlign w:val="bottom"/>
                </w:tcPr>
                <w:p w14:paraId="72B86E80" w14:textId="245BB522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0.71</w:t>
                  </w:r>
                </w:p>
              </w:tc>
              <w:tc>
                <w:tcPr>
                  <w:tcW w:w="1051" w:type="dxa"/>
                  <w:vAlign w:val="bottom"/>
                </w:tcPr>
                <w:p w14:paraId="28740EAD" w14:textId="6D40A6D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0.66</w:t>
                  </w:r>
                </w:p>
              </w:tc>
              <w:tc>
                <w:tcPr>
                  <w:tcW w:w="921" w:type="dxa"/>
                  <w:vAlign w:val="bottom"/>
                </w:tcPr>
                <w:p w14:paraId="0763C52A" w14:textId="644CE5CF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0.86</w:t>
                  </w:r>
                </w:p>
              </w:tc>
              <w:tc>
                <w:tcPr>
                  <w:tcW w:w="921" w:type="dxa"/>
                  <w:vAlign w:val="bottom"/>
                </w:tcPr>
                <w:p w14:paraId="198F8638" w14:textId="42EC6B4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0.73</w:t>
                  </w:r>
                </w:p>
              </w:tc>
              <w:tc>
                <w:tcPr>
                  <w:tcW w:w="921" w:type="dxa"/>
                  <w:vAlign w:val="bottom"/>
                </w:tcPr>
                <w:p w14:paraId="321CE165" w14:textId="02DBB2A0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1.07</w:t>
                  </w:r>
                </w:p>
              </w:tc>
              <w:tc>
                <w:tcPr>
                  <w:tcW w:w="921" w:type="dxa"/>
                  <w:vAlign w:val="bottom"/>
                </w:tcPr>
                <w:p w14:paraId="18FFAB5F" w14:textId="416049F7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0.73</w:t>
                  </w:r>
                </w:p>
              </w:tc>
            </w:tr>
            <w:tr w:rsidR="00BC13CE" w:rsidRPr="00842C1A" w14:paraId="6A512B42" w14:textId="77777777" w:rsidTr="00E00D6C">
              <w:tc>
                <w:tcPr>
                  <w:tcW w:w="1557" w:type="dxa"/>
                </w:tcPr>
                <w:p w14:paraId="30EB3D41" w14:textId="4D4E57F8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ROE</w:t>
                  </w:r>
                </w:p>
              </w:tc>
              <w:tc>
                <w:tcPr>
                  <w:tcW w:w="947" w:type="dxa"/>
                  <w:vAlign w:val="bottom"/>
                </w:tcPr>
                <w:p w14:paraId="4B99ACE5" w14:textId="75192B7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7.34</w:t>
                  </w:r>
                </w:p>
              </w:tc>
              <w:tc>
                <w:tcPr>
                  <w:tcW w:w="1051" w:type="dxa"/>
                  <w:vAlign w:val="bottom"/>
                </w:tcPr>
                <w:p w14:paraId="618AB591" w14:textId="61A531F8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19.91</w:t>
                  </w:r>
                </w:p>
              </w:tc>
              <w:tc>
                <w:tcPr>
                  <w:tcW w:w="921" w:type="dxa"/>
                  <w:vAlign w:val="bottom"/>
                </w:tcPr>
                <w:p w14:paraId="2164567E" w14:textId="197AEAB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7.02</w:t>
                  </w:r>
                </w:p>
              </w:tc>
              <w:tc>
                <w:tcPr>
                  <w:tcW w:w="921" w:type="dxa"/>
                  <w:vAlign w:val="bottom"/>
                </w:tcPr>
                <w:p w14:paraId="2156D8F2" w14:textId="26025829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6.66</w:t>
                  </w:r>
                </w:p>
              </w:tc>
              <w:tc>
                <w:tcPr>
                  <w:tcW w:w="921" w:type="dxa"/>
                  <w:vAlign w:val="bottom"/>
                </w:tcPr>
                <w:p w14:paraId="1BCD8618" w14:textId="42FCD5B1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6.04</w:t>
                  </w:r>
                </w:p>
              </w:tc>
              <w:tc>
                <w:tcPr>
                  <w:tcW w:w="921" w:type="dxa"/>
                  <w:vAlign w:val="bottom"/>
                </w:tcPr>
                <w:p w14:paraId="369E19D1" w14:textId="789EB500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4.91</w:t>
                  </w:r>
                </w:p>
              </w:tc>
            </w:tr>
            <w:tr w:rsidR="00BC13CE" w:rsidRPr="00842C1A" w14:paraId="059E3A59" w14:textId="77777777" w:rsidTr="00E00D6C">
              <w:tc>
                <w:tcPr>
                  <w:tcW w:w="1557" w:type="dxa"/>
                </w:tcPr>
                <w:p w14:paraId="49C83FCA" w14:textId="51919CFC" w:rsidR="00BC13CE" w:rsidRPr="00842C1A" w:rsidRDefault="00BC13CE" w:rsidP="00BC13CE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ROA</w:t>
                  </w:r>
                </w:p>
              </w:tc>
              <w:tc>
                <w:tcPr>
                  <w:tcW w:w="947" w:type="dxa"/>
                  <w:vAlign w:val="bottom"/>
                </w:tcPr>
                <w:p w14:paraId="2243F7CF" w14:textId="1B8B060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2.68</w:t>
                  </w:r>
                </w:p>
              </w:tc>
              <w:tc>
                <w:tcPr>
                  <w:tcW w:w="1051" w:type="dxa"/>
                  <w:vAlign w:val="bottom"/>
                </w:tcPr>
                <w:p w14:paraId="2486885B" w14:textId="3F7255EA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6.63</w:t>
                  </w:r>
                </w:p>
              </w:tc>
              <w:tc>
                <w:tcPr>
                  <w:tcW w:w="921" w:type="dxa"/>
                  <w:vAlign w:val="bottom"/>
                </w:tcPr>
                <w:p w14:paraId="5829E1D3" w14:textId="2056CE0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2.18</w:t>
                  </w:r>
                </w:p>
              </w:tc>
              <w:tc>
                <w:tcPr>
                  <w:tcW w:w="921" w:type="dxa"/>
                  <w:vAlign w:val="bottom"/>
                </w:tcPr>
                <w:p w14:paraId="59C94287" w14:textId="7B92A8B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1.99</w:t>
                  </w:r>
                </w:p>
              </w:tc>
              <w:tc>
                <w:tcPr>
                  <w:tcW w:w="921" w:type="dxa"/>
                  <w:vAlign w:val="bottom"/>
                </w:tcPr>
                <w:p w14:paraId="190A1DF2" w14:textId="445EC3DA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1.74</w:t>
                  </w:r>
                </w:p>
              </w:tc>
              <w:tc>
                <w:tcPr>
                  <w:tcW w:w="921" w:type="dxa"/>
                  <w:vAlign w:val="bottom"/>
                </w:tcPr>
                <w:p w14:paraId="342B8BC8" w14:textId="028C6089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1.53</w:t>
                  </w:r>
                </w:p>
              </w:tc>
            </w:tr>
            <w:tr w:rsidR="00BC13CE" w:rsidRPr="00842C1A" w14:paraId="3DD5E939" w14:textId="77777777" w:rsidTr="00E00D6C">
              <w:tc>
                <w:tcPr>
                  <w:tcW w:w="1557" w:type="dxa"/>
                </w:tcPr>
                <w:p w14:paraId="5964CDC4" w14:textId="25E3EAD4" w:rsidR="00BC13CE" w:rsidRPr="00842C1A" w:rsidRDefault="00EA6E53" w:rsidP="00BC13CE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Dividend Per S</w:t>
                  </w:r>
                  <w:r w:rsidR="00BC13CE" w:rsidRPr="00842C1A">
                    <w:rPr>
                      <w:sz w:val="13"/>
                      <w:szCs w:val="13"/>
                    </w:rPr>
                    <w:t xml:space="preserve">hare </w:t>
                  </w:r>
                </w:p>
              </w:tc>
              <w:tc>
                <w:tcPr>
                  <w:tcW w:w="947" w:type="dxa"/>
                  <w:vAlign w:val="bottom"/>
                </w:tcPr>
                <w:p w14:paraId="0B36B8CA" w14:textId="3D2A71C1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1.77</w:t>
                  </w:r>
                </w:p>
              </w:tc>
              <w:tc>
                <w:tcPr>
                  <w:tcW w:w="1051" w:type="dxa"/>
                  <w:vAlign w:val="bottom"/>
                </w:tcPr>
                <w:p w14:paraId="4D5BD607" w14:textId="205ACE16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1.81</w:t>
                  </w:r>
                </w:p>
              </w:tc>
              <w:tc>
                <w:tcPr>
                  <w:tcW w:w="921" w:type="dxa"/>
                  <w:vAlign w:val="bottom"/>
                </w:tcPr>
                <w:p w14:paraId="572EB0AB" w14:textId="56A0D4B8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1.85</w:t>
                  </w:r>
                </w:p>
              </w:tc>
              <w:tc>
                <w:tcPr>
                  <w:tcW w:w="921" w:type="dxa"/>
                  <w:vAlign w:val="bottom"/>
                </w:tcPr>
                <w:p w14:paraId="353C8011" w14:textId="5E600F2E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0.47</w:t>
                  </w:r>
                </w:p>
              </w:tc>
              <w:tc>
                <w:tcPr>
                  <w:tcW w:w="921" w:type="dxa"/>
                  <w:vAlign w:val="bottom"/>
                </w:tcPr>
                <w:p w14:paraId="6D09CDE3" w14:textId="26334662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0.47</w:t>
                  </w:r>
                </w:p>
              </w:tc>
              <w:tc>
                <w:tcPr>
                  <w:tcW w:w="921" w:type="dxa"/>
                  <w:vAlign w:val="bottom"/>
                </w:tcPr>
                <w:p w14:paraId="2C2C62C5" w14:textId="181FF2F3" w:rsidR="00BC13CE" w:rsidRPr="00BC13CE" w:rsidRDefault="00BC13CE" w:rsidP="00BC13CE">
                  <w:pPr>
                    <w:jc w:val="right"/>
                    <w:rPr>
                      <w:sz w:val="13"/>
                      <w:szCs w:val="13"/>
                    </w:rPr>
                  </w:pPr>
                  <w:r w:rsidRPr="00BC13CE">
                    <w:rPr>
                      <w:rFonts w:cs="Arial"/>
                      <w:color w:val="000000"/>
                      <w:sz w:val="13"/>
                      <w:szCs w:val="13"/>
                    </w:rPr>
                    <w:t>0.47</w:t>
                  </w:r>
                </w:p>
              </w:tc>
            </w:tr>
          </w:tbl>
          <w:p w14:paraId="6F98E45C" w14:textId="77777777" w:rsidR="00830F06" w:rsidRPr="00842C1A" w:rsidRDefault="00830F06" w:rsidP="00443ED9">
            <w:pPr>
              <w:jc w:val="both"/>
              <w:rPr>
                <w:b/>
                <w:sz w:val="13"/>
                <w:szCs w:val="13"/>
              </w:rPr>
            </w:pPr>
          </w:p>
        </w:tc>
        <w:tc>
          <w:tcPr>
            <w:tcW w:w="4320" w:type="dxa"/>
          </w:tcPr>
          <w:p w14:paraId="3276E349" w14:textId="77777777" w:rsidR="00830F06" w:rsidRPr="00842C1A" w:rsidRDefault="00830F06" w:rsidP="00443ED9">
            <w:pPr>
              <w:jc w:val="both"/>
              <w:rPr>
                <w:b/>
                <w:sz w:val="13"/>
                <w:szCs w:val="1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1129"/>
              <w:gridCol w:w="1080"/>
            </w:tblGrid>
            <w:tr w:rsidR="0060598F" w:rsidRPr="00842C1A" w14:paraId="4C54BF94" w14:textId="77777777" w:rsidTr="0060598F">
              <w:tc>
                <w:tcPr>
                  <w:tcW w:w="1908" w:type="dxa"/>
                  <w:shd w:val="clear" w:color="auto" w:fill="DBE5F1" w:themeFill="accent1" w:themeFillTint="33"/>
                </w:tcPr>
                <w:p w14:paraId="15FA463B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129" w:type="dxa"/>
                  <w:shd w:val="clear" w:color="auto" w:fill="DBE5F1" w:themeFill="accent1" w:themeFillTint="33"/>
                </w:tcPr>
                <w:p w14:paraId="3D650FB0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2001-14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917AD00" w14:textId="03E9B159" w:rsidR="00830F06" w:rsidRPr="00842C1A" w:rsidRDefault="00830F06" w:rsidP="009F74C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2015-</w:t>
                  </w:r>
                  <w:r w:rsidR="009F74C2" w:rsidRPr="00842C1A">
                    <w:rPr>
                      <w:sz w:val="13"/>
                      <w:szCs w:val="13"/>
                    </w:rPr>
                    <w:t>20</w:t>
                  </w:r>
                </w:p>
              </w:tc>
            </w:tr>
            <w:tr w:rsidR="0060598F" w:rsidRPr="00842C1A" w14:paraId="5A9DD5F4" w14:textId="77777777" w:rsidTr="000F7E2C">
              <w:tc>
                <w:tcPr>
                  <w:tcW w:w="1908" w:type="dxa"/>
                </w:tcPr>
                <w:p w14:paraId="6A465DCA" w14:textId="72272EAA" w:rsidR="00830F06" w:rsidRPr="00842C1A" w:rsidRDefault="002F3CA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Avg.  Revenue G</w:t>
                  </w:r>
                  <w:r w:rsidR="00830F06" w:rsidRPr="00842C1A">
                    <w:rPr>
                      <w:sz w:val="13"/>
                      <w:szCs w:val="13"/>
                    </w:rPr>
                    <w:t xml:space="preserve">rowth </w:t>
                  </w:r>
                </w:p>
              </w:tc>
              <w:tc>
                <w:tcPr>
                  <w:tcW w:w="1129" w:type="dxa"/>
                </w:tcPr>
                <w:p w14:paraId="28890419" w14:textId="2DEA0F86" w:rsidR="00830F06" w:rsidRPr="00842C1A" w:rsidRDefault="00EA6E53" w:rsidP="00EA6E53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1.28%</w:t>
                  </w:r>
                </w:p>
              </w:tc>
              <w:tc>
                <w:tcPr>
                  <w:tcW w:w="1080" w:type="dxa"/>
                </w:tcPr>
                <w:p w14:paraId="2B6EF445" w14:textId="437B2A29" w:rsidR="00EA6E53" w:rsidRPr="00842C1A" w:rsidRDefault="00EA6E53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4.20%</w:t>
                  </w:r>
                </w:p>
              </w:tc>
            </w:tr>
            <w:tr w:rsidR="0060598F" w:rsidRPr="00842C1A" w14:paraId="49A71F37" w14:textId="77777777" w:rsidTr="000F7E2C">
              <w:tc>
                <w:tcPr>
                  <w:tcW w:w="1908" w:type="dxa"/>
                </w:tcPr>
                <w:p w14:paraId="7425D824" w14:textId="5FDD2FAF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Avg</w:t>
                  </w:r>
                  <w:r w:rsidR="002F3CA6" w:rsidRPr="00842C1A">
                    <w:rPr>
                      <w:sz w:val="13"/>
                      <w:szCs w:val="13"/>
                    </w:rPr>
                    <w:t>.</w:t>
                  </w:r>
                  <w:r w:rsidRPr="00842C1A">
                    <w:rPr>
                      <w:sz w:val="13"/>
                      <w:szCs w:val="13"/>
                    </w:rPr>
                    <w:t xml:space="preserve">  EBITDA Margin </w:t>
                  </w:r>
                </w:p>
              </w:tc>
              <w:tc>
                <w:tcPr>
                  <w:tcW w:w="1129" w:type="dxa"/>
                </w:tcPr>
                <w:p w14:paraId="6AE1C97F" w14:textId="7EBE0AC6" w:rsidR="00830F06" w:rsidRPr="00842C1A" w:rsidRDefault="002947D2" w:rsidP="00EA6E53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33.0%</w:t>
                  </w:r>
                </w:p>
              </w:tc>
              <w:tc>
                <w:tcPr>
                  <w:tcW w:w="1080" w:type="dxa"/>
                </w:tcPr>
                <w:p w14:paraId="72FC070B" w14:textId="5BB048BC" w:rsidR="00830F06" w:rsidRPr="00842C1A" w:rsidRDefault="002947D2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32.0%</w:t>
                  </w:r>
                </w:p>
              </w:tc>
            </w:tr>
            <w:tr w:rsidR="0060598F" w:rsidRPr="00842C1A" w14:paraId="5B01660D" w14:textId="77777777" w:rsidTr="007D4C34">
              <w:trPr>
                <w:trHeight w:val="170"/>
              </w:trPr>
              <w:tc>
                <w:tcPr>
                  <w:tcW w:w="1908" w:type="dxa"/>
                </w:tcPr>
                <w:p w14:paraId="2B656250" w14:textId="38CF8CA6" w:rsidR="00830F06" w:rsidRPr="00842C1A" w:rsidRDefault="00830F06" w:rsidP="00B73900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Avg</w:t>
                  </w:r>
                  <w:r w:rsidR="002F3CA6" w:rsidRPr="00842C1A">
                    <w:rPr>
                      <w:sz w:val="13"/>
                      <w:szCs w:val="13"/>
                    </w:rPr>
                    <w:t>.</w:t>
                  </w:r>
                  <w:r w:rsidRPr="00842C1A">
                    <w:rPr>
                      <w:sz w:val="13"/>
                      <w:szCs w:val="13"/>
                    </w:rPr>
                    <w:t xml:space="preserve">  </w:t>
                  </w:r>
                  <w:r w:rsidR="00B73900" w:rsidRPr="00842C1A">
                    <w:rPr>
                      <w:sz w:val="13"/>
                      <w:szCs w:val="13"/>
                    </w:rPr>
                    <w:t>NOPAT</w:t>
                  </w:r>
                  <w:r w:rsidRPr="00842C1A">
                    <w:rPr>
                      <w:sz w:val="13"/>
                      <w:szCs w:val="13"/>
                    </w:rPr>
                    <w:t xml:space="preserve"> </w:t>
                  </w:r>
                  <w:r w:rsidR="00B73900" w:rsidRPr="00842C1A">
                    <w:rPr>
                      <w:sz w:val="13"/>
                      <w:szCs w:val="13"/>
                    </w:rPr>
                    <w:t>Margin</w:t>
                  </w:r>
                </w:p>
              </w:tc>
              <w:tc>
                <w:tcPr>
                  <w:tcW w:w="1129" w:type="dxa"/>
                </w:tcPr>
                <w:p w14:paraId="6B796F07" w14:textId="14E3496A" w:rsidR="00830F06" w:rsidRPr="00842C1A" w:rsidRDefault="002947D2" w:rsidP="00EA6E53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12.0%</w:t>
                  </w:r>
                </w:p>
              </w:tc>
              <w:tc>
                <w:tcPr>
                  <w:tcW w:w="1080" w:type="dxa"/>
                </w:tcPr>
                <w:p w14:paraId="2CA542D3" w14:textId="6E84174F" w:rsidR="00830F06" w:rsidRPr="00842C1A" w:rsidRDefault="002947D2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12.0%</w:t>
                  </w:r>
                </w:p>
              </w:tc>
            </w:tr>
            <w:tr w:rsidR="00830F06" w:rsidRPr="00842C1A" w14:paraId="42F79EE5" w14:textId="77777777" w:rsidTr="000F7E2C">
              <w:tc>
                <w:tcPr>
                  <w:tcW w:w="3037" w:type="dxa"/>
                  <w:gridSpan w:val="2"/>
                </w:tcPr>
                <w:p w14:paraId="11317549" w14:textId="7EBEA9FD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Cost of Debt</w:t>
                  </w:r>
                  <w:r w:rsidR="007D4C34">
                    <w:rPr>
                      <w:sz w:val="13"/>
                      <w:szCs w:val="13"/>
                    </w:rPr>
                    <w:t xml:space="preserve"> (After-Tax)</w:t>
                  </w:r>
                </w:p>
              </w:tc>
              <w:tc>
                <w:tcPr>
                  <w:tcW w:w="1080" w:type="dxa"/>
                </w:tcPr>
                <w:p w14:paraId="316D237F" w14:textId="3D0EE35E" w:rsidR="00830F06" w:rsidRPr="00842C1A" w:rsidRDefault="007D4C34" w:rsidP="007D4C3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3.10</w:t>
                  </w:r>
                  <w:r w:rsidR="00DB17FB">
                    <w:rPr>
                      <w:sz w:val="13"/>
                      <w:szCs w:val="13"/>
                    </w:rPr>
                    <w:t>%</w:t>
                  </w:r>
                </w:p>
              </w:tc>
            </w:tr>
            <w:tr w:rsidR="00830F06" w:rsidRPr="00842C1A" w14:paraId="67214880" w14:textId="77777777" w:rsidTr="000F7E2C">
              <w:tc>
                <w:tcPr>
                  <w:tcW w:w="3037" w:type="dxa"/>
                  <w:gridSpan w:val="2"/>
                </w:tcPr>
                <w:p w14:paraId="30979647" w14:textId="5C55E77B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Tax Rate</w:t>
                  </w:r>
                </w:p>
              </w:tc>
              <w:tc>
                <w:tcPr>
                  <w:tcW w:w="1080" w:type="dxa"/>
                </w:tcPr>
                <w:p w14:paraId="426CE887" w14:textId="559C09F9" w:rsidR="00830F06" w:rsidRPr="00842C1A" w:rsidRDefault="00DB17FB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29.95%</w:t>
                  </w:r>
                </w:p>
              </w:tc>
            </w:tr>
            <w:tr w:rsidR="00830F06" w:rsidRPr="00842C1A" w14:paraId="0F9564DE" w14:textId="77777777" w:rsidTr="000F7E2C">
              <w:tc>
                <w:tcPr>
                  <w:tcW w:w="3037" w:type="dxa"/>
                  <w:gridSpan w:val="2"/>
                </w:tcPr>
                <w:p w14:paraId="02E73EF4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Cost of Equity </w:t>
                  </w:r>
                </w:p>
              </w:tc>
              <w:tc>
                <w:tcPr>
                  <w:tcW w:w="1080" w:type="dxa"/>
                </w:tcPr>
                <w:p w14:paraId="7C66D20E" w14:textId="11E1F9E2" w:rsidR="00830F06" w:rsidRPr="00842C1A" w:rsidRDefault="007D4C34" w:rsidP="002929B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7.55</w:t>
                  </w:r>
                  <w:r w:rsidR="00DB17FB">
                    <w:rPr>
                      <w:sz w:val="13"/>
                      <w:szCs w:val="13"/>
                    </w:rPr>
                    <w:t>%</w:t>
                  </w:r>
                </w:p>
              </w:tc>
            </w:tr>
            <w:tr w:rsidR="00830F06" w:rsidRPr="00842C1A" w14:paraId="19A1F6C8" w14:textId="77777777" w:rsidTr="000F7E2C">
              <w:tc>
                <w:tcPr>
                  <w:tcW w:w="3037" w:type="dxa"/>
                  <w:gridSpan w:val="2"/>
                </w:tcPr>
                <w:p w14:paraId="714B53EA" w14:textId="77777777" w:rsidR="00830F06" w:rsidRPr="00842C1A" w:rsidRDefault="00830F06" w:rsidP="00830F06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WACC</w:t>
                  </w:r>
                </w:p>
              </w:tc>
              <w:tc>
                <w:tcPr>
                  <w:tcW w:w="1080" w:type="dxa"/>
                </w:tcPr>
                <w:p w14:paraId="71DF2BD8" w14:textId="3D60F93B" w:rsidR="00830F06" w:rsidRPr="00842C1A" w:rsidRDefault="007D4C34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5.80%</w:t>
                  </w:r>
                </w:p>
              </w:tc>
            </w:tr>
            <w:tr w:rsidR="00830F06" w:rsidRPr="00842C1A" w14:paraId="48232758" w14:textId="77777777" w:rsidTr="002D3CFC">
              <w:trPr>
                <w:trHeight w:val="197"/>
              </w:trPr>
              <w:tc>
                <w:tcPr>
                  <w:tcW w:w="3037" w:type="dxa"/>
                  <w:gridSpan w:val="2"/>
                </w:tcPr>
                <w:p w14:paraId="75850D20" w14:textId="0C27CA3A" w:rsidR="00830F06" w:rsidRPr="00842C1A" w:rsidRDefault="0012425D" w:rsidP="0012425D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Perpetuity Growth Rate (Terminal)</w:t>
                  </w:r>
                </w:p>
              </w:tc>
              <w:tc>
                <w:tcPr>
                  <w:tcW w:w="1080" w:type="dxa"/>
                </w:tcPr>
                <w:p w14:paraId="0C5586DB" w14:textId="49716075" w:rsidR="00830F06" w:rsidRPr="00842C1A" w:rsidRDefault="007D4C34" w:rsidP="002947D2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0.5</w:t>
                  </w:r>
                  <w:r w:rsidR="003D4B65">
                    <w:rPr>
                      <w:sz w:val="13"/>
                      <w:szCs w:val="13"/>
                    </w:rPr>
                    <w:t>0</w:t>
                  </w:r>
                  <w:r>
                    <w:rPr>
                      <w:sz w:val="13"/>
                      <w:szCs w:val="13"/>
                    </w:rPr>
                    <w:t>%</w:t>
                  </w:r>
                </w:p>
              </w:tc>
            </w:tr>
          </w:tbl>
          <w:p w14:paraId="4363BD08" w14:textId="681172B1" w:rsidR="009F0D12" w:rsidRPr="00842C1A" w:rsidRDefault="009F0D12" w:rsidP="009F0D12">
            <w:pPr>
              <w:jc w:val="both"/>
              <w:rPr>
                <w:b/>
                <w:sz w:val="13"/>
                <w:szCs w:val="13"/>
              </w:rPr>
            </w:pPr>
            <w:r w:rsidRPr="00842C1A">
              <w:rPr>
                <w:b/>
                <w:sz w:val="13"/>
                <w:szCs w:val="13"/>
              </w:rPr>
              <w:t xml:space="preserve">Analyst Opinion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363"/>
              <w:gridCol w:w="1363"/>
            </w:tblGrid>
            <w:tr w:rsidR="009F0D12" w:rsidRPr="00842C1A" w14:paraId="2502AA66" w14:textId="77777777" w:rsidTr="00675736">
              <w:tc>
                <w:tcPr>
                  <w:tcW w:w="1363" w:type="dxa"/>
                  <w:shd w:val="clear" w:color="auto" w:fill="DBE5F1" w:themeFill="accent1" w:themeFillTint="33"/>
                </w:tcPr>
                <w:p w14:paraId="6457A1D0" w14:textId="25BCBEEE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Buy: </w:t>
                  </w:r>
                  <w:r w:rsidR="002551C8">
                    <w:rPr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0E79476" w14:textId="798CE2BF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Hold: </w:t>
                  </w:r>
                  <w:r w:rsidR="00860DEA">
                    <w:rPr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F373BED" w14:textId="71035BAC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Sell: </w:t>
                  </w:r>
                  <w:r w:rsidR="00860DEA">
                    <w:rPr>
                      <w:sz w:val="13"/>
                      <w:szCs w:val="13"/>
                    </w:rPr>
                    <w:t>1</w:t>
                  </w:r>
                </w:p>
              </w:tc>
            </w:tr>
          </w:tbl>
          <w:p w14:paraId="724FC07A" w14:textId="77777777" w:rsidR="009F0D12" w:rsidRPr="00842C1A" w:rsidRDefault="009F0D12" w:rsidP="009F0D12">
            <w:pPr>
              <w:jc w:val="both"/>
              <w:rPr>
                <w:b/>
                <w:sz w:val="13"/>
                <w:szCs w:val="13"/>
              </w:rPr>
            </w:pPr>
          </w:p>
          <w:tbl>
            <w:tblPr>
              <w:tblStyle w:val="TableGrid"/>
              <w:tblW w:w="4117" w:type="dxa"/>
              <w:tblLook w:val="04A0" w:firstRow="1" w:lastRow="0" w:firstColumn="1" w:lastColumn="0" w:noHBand="0" w:noVBand="1"/>
            </w:tblPr>
            <w:tblGrid>
              <w:gridCol w:w="1507"/>
              <w:gridCol w:w="1221"/>
              <w:gridCol w:w="1389"/>
            </w:tblGrid>
            <w:tr w:rsidR="009F0D12" w:rsidRPr="00842C1A" w14:paraId="0A705346" w14:textId="77777777" w:rsidTr="00F042AA">
              <w:tc>
                <w:tcPr>
                  <w:tcW w:w="1507" w:type="dxa"/>
                  <w:shd w:val="clear" w:color="auto" w:fill="DBE5F1" w:themeFill="accent1" w:themeFillTint="33"/>
                </w:tcPr>
                <w:p w14:paraId="7897F5B6" w14:textId="77777777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1221" w:type="dxa"/>
                  <w:shd w:val="clear" w:color="auto" w:fill="DBE5F1" w:themeFill="accent1" w:themeFillTint="33"/>
                </w:tcPr>
                <w:p w14:paraId="78BA4ECF" w14:textId="77777777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Rating </w:t>
                  </w:r>
                </w:p>
              </w:tc>
              <w:tc>
                <w:tcPr>
                  <w:tcW w:w="1389" w:type="dxa"/>
                  <w:shd w:val="clear" w:color="auto" w:fill="DBE5F1" w:themeFill="accent1" w:themeFillTint="33"/>
                </w:tcPr>
                <w:p w14:paraId="1E6E599B" w14:textId="69E23BCF" w:rsidR="009F0D12" w:rsidRPr="00842C1A" w:rsidRDefault="00E40BA9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Target</w:t>
                  </w:r>
                </w:p>
              </w:tc>
            </w:tr>
            <w:tr w:rsidR="009F0D12" w:rsidRPr="00842C1A" w14:paraId="18B2C8FA" w14:textId="77777777" w:rsidTr="00A0165D">
              <w:trPr>
                <w:trHeight w:val="215"/>
              </w:trPr>
              <w:tc>
                <w:tcPr>
                  <w:tcW w:w="1507" w:type="dxa"/>
                </w:tcPr>
                <w:p w14:paraId="12374E3E" w14:textId="4C4A02B5" w:rsidR="009F0D12" w:rsidRPr="00842C1A" w:rsidRDefault="00F042AA" w:rsidP="00A0165D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S&amp;P Net</w:t>
                  </w:r>
                  <w:r w:rsidR="009F0D12" w:rsidRPr="00842C1A">
                    <w:rPr>
                      <w:sz w:val="13"/>
                      <w:szCs w:val="13"/>
                    </w:rPr>
                    <w:t xml:space="preserve">Advantage </w:t>
                  </w:r>
                </w:p>
              </w:tc>
              <w:tc>
                <w:tcPr>
                  <w:tcW w:w="1221" w:type="dxa"/>
                </w:tcPr>
                <w:p w14:paraId="6EC161A2" w14:textId="3A1C7BBE" w:rsidR="009F0D12" w:rsidRPr="00842C1A" w:rsidRDefault="00A0165D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4-Star (Buy)</w:t>
                  </w:r>
                </w:p>
              </w:tc>
              <w:tc>
                <w:tcPr>
                  <w:tcW w:w="1389" w:type="dxa"/>
                </w:tcPr>
                <w:p w14:paraId="0BCB7E23" w14:textId="71C3F0C7" w:rsidR="009F0D12" w:rsidRPr="00842C1A" w:rsidRDefault="00A0165D" w:rsidP="00E40BA9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$39.00 (12 month)</w:t>
                  </w:r>
                </w:p>
              </w:tc>
            </w:tr>
            <w:tr w:rsidR="009F0D12" w:rsidRPr="00842C1A" w14:paraId="35B4D85C" w14:textId="77777777" w:rsidTr="00F042AA">
              <w:trPr>
                <w:trHeight w:val="215"/>
              </w:trPr>
              <w:tc>
                <w:tcPr>
                  <w:tcW w:w="1507" w:type="dxa"/>
                </w:tcPr>
                <w:p w14:paraId="1DD4E482" w14:textId="3CAABB83" w:rsidR="009F0D12" w:rsidRPr="00842C1A" w:rsidRDefault="00F042AA" w:rsidP="00F042AA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Mornings</w:t>
                  </w:r>
                  <w:r w:rsidR="0029559F" w:rsidRPr="00842C1A">
                    <w:rPr>
                      <w:sz w:val="13"/>
                      <w:szCs w:val="13"/>
                    </w:rPr>
                    <w:t>tar</w:t>
                  </w:r>
                </w:p>
              </w:tc>
              <w:tc>
                <w:tcPr>
                  <w:tcW w:w="1221" w:type="dxa"/>
                </w:tcPr>
                <w:p w14:paraId="0B4EFFDC" w14:textId="04F8EA72" w:rsidR="009F0D12" w:rsidRPr="00842C1A" w:rsidRDefault="00A0165D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3-Star</w:t>
                  </w:r>
                </w:p>
              </w:tc>
              <w:tc>
                <w:tcPr>
                  <w:tcW w:w="1389" w:type="dxa"/>
                </w:tcPr>
                <w:p w14:paraId="70BA49F9" w14:textId="35FD3715" w:rsidR="009F0D12" w:rsidRPr="00842C1A" w:rsidRDefault="00EC50E6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$33.00 (Fair Value)</w:t>
                  </w:r>
                </w:p>
              </w:tc>
            </w:tr>
            <w:tr w:rsidR="009F0D12" w:rsidRPr="00842C1A" w14:paraId="0BBF9B66" w14:textId="77777777" w:rsidTr="00C07747">
              <w:trPr>
                <w:trHeight w:val="98"/>
              </w:trPr>
              <w:tc>
                <w:tcPr>
                  <w:tcW w:w="1507" w:type="dxa"/>
                </w:tcPr>
                <w:p w14:paraId="0E7E15E7" w14:textId="50B93F2B" w:rsidR="009F0D12" w:rsidRPr="00842C1A" w:rsidRDefault="009F0D12" w:rsidP="009F0D12">
                  <w:pPr>
                    <w:jc w:val="both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Value Line </w:t>
                  </w:r>
                </w:p>
              </w:tc>
              <w:tc>
                <w:tcPr>
                  <w:tcW w:w="1221" w:type="dxa"/>
                </w:tcPr>
                <w:p w14:paraId="485C885B" w14:textId="677B265A" w:rsidR="0001176B" w:rsidRDefault="00860DEA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Safety – 1</w:t>
                  </w:r>
                </w:p>
                <w:p w14:paraId="0638F214" w14:textId="5D57C711" w:rsidR="00860DEA" w:rsidRDefault="00860DEA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Timeliness – 3</w:t>
                  </w:r>
                </w:p>
                <w:p w14:paraId="161AF23F" w14:textId="429203AA" w:rsidR="00C07747" w:rsidRPr="00842C1A" w:rsidRDefault="00C417E1" w:rsidP="009F0D12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Technical – 4 </w:t>
                  </w:r>
                </w:p>
              </w:tc>
              <w:tc>
                <w:tcPr>
                  <w:tcW w:w="1389" w:type="dxa"/>
                </w:tcPr>
                <w:p w14:paraId="22CC1EA0" w14:textId="49692697" w:rsidR="009F0D12" w:rsidRPr="00842C1A" w:rsidRDefault="00C417E1" w:rsidP="00C417E1">
                  <w:pPr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$40- $50 (3-5 year)</w:t>
                  </w:r>
                </w:p>
              </w:tc>
            </w:tr>
          </w:tbl>
          <w:p w14:paraId="577D83D9" w14:textId="6579BC4C" w:rsidR="002D3CFC" w:rsidRPr="00842C1A" w:rsidRDefault="002D3CFC" w:rsidP="00443ED9">
            <w:pPr>
              <w:jc w:val="both"/>
              <w:rPr>
                <w:b/>
                <w:sz w:val="13"/>
                <w:szCs w:val="13"/>
              </w:rPr>
            </w:pPr>
          </w:p>
        </w:tc>
      </w:tr>
    </w:tbl>
    <w:p w14:paraId="2B589A9D" w14:textId="77777777" w:rsidR="00830F06" w:rsidRPr="00842C1A" w:rsidRDefault="00830F06" w:rsidP="00443ED9">
      <w:pPr>
        <w:ind w:left="-1440"/>
        <w:jc w:val="both"/>
        <w:rPr>
          <w:b/>
          <w:sz w:val="13"/>
          <w:szCs w:val="13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83"/>
        <w:gridCol w:w="4392"/>
      </w:tblGrid>
      <w:tr w:rsidR="004F2EAA" w:rsidRPr="00842C1A" w14:paraId="660DEC2C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1BAF6900" w14:textId="27A2E398" w:rsidR="004F2EAA" w:rsidRPr="00842C1A" w:rsidRDefault="004F2EAA" w:rsidP="004F2EAA">
            <w:pPr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>Relative Valuation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335BDBD9" w14:textId="160EB620" w:rsidR="004F2EAA" w:rsidRPr="00842C1A" w:rsidRDefault="000E0407" w:rsidP="000F7E2C">
            <w:pPr>
              <w:jc w:val="both"/>
              <w:rPr>
                <w:b/>
                <w:color w:val="FFFFFF" w:themeColor="background1"/>
                <w:sz w:val="13"/>
                <w:szCs w:val="13"/>
              </w:rPr>
            </w:pPr>
            <w:r w:rsidRPr="00842C1A">
              <w:rPr>
                <w:b/>
                <w:color w:val="FFFFFF" w:themeColor="background1"/>
                <w:sz w:val="13"/>
                <w:szCs w:val="13"/>
              </w:rPr>
              <w:t>Total Return</w:t>
            </w:r>
          </w:p>
        </w:tc>
      </w:tr>
      <w:tr w:rsidR="004F2EAA" w:rsidRPr="00842C1A" w14:paraId="2AA141CB" w14:textId="77777777" w:rsidTr="000F7E2C">
        <w:tc>
          <w:tcPr>
            <w:tcW w:w="7488" w:type="dxa"/>
          </w:tcPr>
          <w:p w14:paraId="3F2A33BE" w14:textId="77777777" w:rsidR="004F2EAA" w:rsidRPr="00842C1A" w:rsidRDefault="004F2EAA" w:rsidP="000F7E2C">
            <w:pPr>
              <w:jc w:val="both"/>
              <w:rPr>
                <w:b/>
                <w:sz w:val="13"/>
                <w:szCs w:val="13"/>
              </w:rPr>
            </w:pPr>
          </w:p>
          <w:tbl>
            <w:tblPr>
              <w:tblStyle w:val="TableGrid"/>
              <w:tblW w:w="7257" w:type="dxa"/>
              <w:tblLook w:val="04A0" w:firstRow="1" w:lastRow="0" w:firstColumn="1" w:lastColumn="0" w:noHBand="0" w:noVBand="1"/>
            </w:tblPr>
            <w:tblGrid>
              <w:gridCol w:w="1610"/>
              <w:gridCol w:w="996"/>
              <w:gridCol w:w="787"/>
              <w:gridCol w:w="860"/>
              <w:gridCol w:w="952"/>
              <w:gridCol w:w="954"/>
              <w:gridCol w:w="1098"/>
            </w:tblGrid>
            <w:tr w:rsidR="008C2798" w:rsidRPr="00842C1A" w14:paraId="03A7F5D8" w14:textId="77777777" w:rsidTr="0089190C">
              <w:tc>
                <w:tcPr>
                  <w:tcW w:w="1677" w:type="dxa"/>
                  <w:shd w:val="clear" w:color="auto" w:fill="DBE5F1" w:themeFill="accent1" w:themeFillTint="33"/>
                </w:tcPr>
                <w:p w14:paraId="18F981FE" w14:textId="6A48FFE7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815" w:type="dxa"/>
                  <w:shd w:val="clear" w:color="auto" w:fill="DBE5F1" w:themeFill="accent1" w:themeFillTint="33"/>
                </w:tcPr>
                <w:p w14:paraId="36FCBD39" w14:textId="611975CF" w:rsidR="004F2EAA" w:rsidRPr="00842C1A" w:rsidRDefault="001427CB" w:rsidP="001427C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VZ US</w:t>
                  </w:r>
                </w:p>
              </w:tc>
              <w:tc>
                <w:tcPr>
                  <w:tcW w:w="804" w:type="dxa"/>
                  <w:shd w:val="clear" w:color="auto" w:fill="DBE5F1" w:themeFill="accent1" w:themeFillTint="33"/>
                </w:tcPr>
                <w:p w14:paraId="18F40648" w14:textId="16D5944A" w:rsidR="004F2EAA" w:rsidRPr="00842C1A" w:rsidRDefault="00794E99" w:rsidP="001427C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BCE CN</w:t>
                  </w:r>
                </w:p>
              </w:tc>
              <w:tc>
                <w:tcPr>
                  <w:tcW w:w="885" w:type="dxa"/>
                  <w:shd w:val="clear" w:color="auto" w:fill="DBE5F1" w:themeFill="accent1" w:themeFillTint="33"/>
                </w:tcPr>
                <w:p w14:paraId="64A1B213" w14:textId="433D3415" w:rsidR="004F2EAA" w:rsidRPr="00842C1A" w:rsidRDefault="00794E99" w:rsidP="001427C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TMUS US</w:t>
                  </w:r>
                </w:p>
              </w:tc>
              <w:tc>
                <w:tcPr>
                  <w:tcW w:w="953" w:type="dxa"/>
                  <w:shd w:val="clear" w:color="auto" w:fill="DBE5F1" w:themeFill="accent1" w:themeFillTint="33"/>
                </w:tcPr>
                <w:p w14:paraId="2A396C67" w14:textId="02685455" w:rsidR="004F2EAA" w:rsidRPr="00842C1A" w:rsidRDefault="00794E99" w:rsidP="001427C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RCI/B CN</w:t>
                  </w:r>
                </w:p>
              </w:tc>
              <w:tc>
                <w:tcPr>
                  <w:tcW w:w="981" w:type="dxa"/>
                  <w:shd w:val="clear" w:color="auto" w:fill="DBE5F1" w:themeFill="accent1" w:themeFillTint="33"/>
                </w:tcPr>
                <w:p w14:paraId="78007BAA" w14:textId="5237D729" w:rsidR="004F2EAA" w:rsidRPr="00842C1A" w:rsidRDefault="005B16A4" w:rsidP="001427CB">
                  <w:pPr>
                    <w:jc w:val="center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Ind.</w:t>
                  </w:r>
                  <w:r w:rsidR="004F2EAA" w:rsidRPr="00842C1A">
                    <w:rPr>
                      <w:sz w:val="13"/>
                      <w:szCs w:val="13"/>
                    </w:rPr>
                    <w:t xml:space="preserve"> Average</w:t>
                  </w:r>
                </w:p>
              </w:tc>
              <w:tc>
                <w:tcPr>
                  <w:tcW w:w="1142" w:type="dxa"/>
                  <w:shd w:val="clear" w:color="auto" w:fill="DBE5F1" w:themeFill="accent1" w:themeFillTint="33"/>
                </w:tcPr>
                <w:p w14:paraId="45951734" w14:textId="4F60DE2A" w:rsidR="004F2EAA" w:rsidRPr="00842C1A" w:rsidRDefault="001427CB" w:rsidP="001427C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 US</w:t>
                  </w:r>
                </w:p>
              </w:tc>
            </w:tr>
            <w:tr w:rsidR="004F2EAA" w:rsidRPr="00842C1A" w14:paraId="5DA42BF7" w14:textId="77777777" w:rsidTr="0089190C">
              <w:tc>
                <w:tcPr>
                  <w:tcW w:w="1677" w:type="dxa"/>
                </w:tcPr>
                <w:p w14:paraId="5D8F0BAD" w14:textId="77777777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P/E</w:t>
                  </w:r>
                </w:p>
              </w:tc>
              <w:tc>
                <w:tcPr>
                  <w:tcW w:w="815" w:type="dxa"/>
                </w:tcPr>
                <w:p w14:paraId="53BFCC21" w14:textId="67683354" w:rsidR="005B16A4" w:rsidRPr="00842C1A" w:rsidRDefault="00794E99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11.42</w:t>
                  </w:r>
                </w:p>
              </w:tc>
              <w:tc>
                <w:tcPr>
                  <w:tcW w:w="804" w:type="dxa"/>
                </w:tcPr>
                <w:p w14:paraId="0006F77E" w14:textId="188985AF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15.55</w:t>
                  </w:r>
                </w:p>
              </w:tc>
              <w:tc>
                <w:tcPr>
                  <w:tcW w:w="885" w:type="dxa"/>
                </w:tcPr>
                <w:p w14:paraId="265146A9" w14:textId="426999F3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42.54</w:t>
                  </w:r>
                </w:p>
              </w:tc>
              <w:tc>
                <w:tcPr>
                  <w:tcW w:w="953" w:type="dxa"/>
                </w:tcPr>
                <w:p w14:paraId="1710897B" w14:textId="30CC6807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16.85</w:t>
                  </w:r>
                </w:p>
              </w:tc>
              <w:tc>
                <w:tcPr>
                  <w:tcW w:w="981" w:type="dxa"/>
                </w:tcPr>
                <w:p w14:paraId="7076EAC1" w14:textId="33963541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37.84</w:t>
                  </w:r>
                </w:p>
              </w:tc>
              <w:tc>
                <w:tcPr>
                  <w:tcW w:w="1142" w:type="dxa"/>
                </w:tcPr>
                <w:p w14:paraId="1D18DB5C" w14:textId="2B26DAB8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13.18</w:t>
                  </w:r>
                </w:p>
              </w:tc>
            </w:tr>
            <w:tr w:rsidR="004F2EAA" w:rsidRPr="00842C1A" w14:paraId="3CF28431" w14:textId="77777777" w:rsidTr="0089190C">
              <w:tc>
                <w:tcPr>
                  <w:tcW w:w="1677" w:type="dxa"/>
                </w:tcPr>
                <w:p w14:paraId="7E3790DF" w14:textId="5EE07BA5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P/B</w:t>
                  </w:r>
                </w:p>
              </w:tc>
              <w:tc>
                <w:tcPr>
                  <w:tcW w:w="815" w:type="dxa"/>
                </w:tcPr>
                <w:p w14:paraId="34BDBBAA" w14:textId="21684B36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13.48</w:t>
                  </w:r>
                </w:p>
              </w:tc>
              <w:tc>
                <w:tcPr>
                  <w:tcW w:w="804" w:type="dxa"/>
                </w:tcPr>
                <w:p w14:paraId="6DD53DF3" w14:textId="3415CF71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3.81</w:t>
                  </w:r>
                </w:p>
              </w:tc>
              <w:tc>
                <w:tcPr>
                  <w:tcW w:w="885" w:type="dxa"/>
                </w:tcPr>
                <w:p w14:paraId="28B68146" w14:textId="736BA09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2.00</w:t>
                  </w:r>
                </w:p>
              </w:tc>
              <w:tc>
                <w:tcPr>
                  <w:tcW w:w="953" w:type="dxa"/>
                </w:tcPr>
                <w:p w14:paraId="7C8A26C7" w14:textId="68023CF5" w:rsidR="004F2EAA" w:rsidRPr="00842C1A" w:rsidRDefault="006774A0" w:rsidP="006774A0">
                  <w:pPr>
                    <w:tabs>
                      <w:tab w:val="left" w:pos="480"/>
                    </w:tabs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ab/>
                  </w:r>
                  <w:r w:rsidRPr="006774A0">
                    <w:rPr>
                      <w:sz w:val="13"/>
                      <w:szCs w:val="13"/>
                    </w:rPr>
                    <w:t>4.12</w:t>
                  </w:r>
                </w:p>
              </w:tc>
              <w:tc>
                <w:tcPr>
                  <w:tcW w:w="981" w:type="dxa"/>
                </w:tcPr>
                <w:p w14:paraId="5AFEA404" w14:textId="32535C1C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3.38</w:t>
                  </w:r>
                </w:p>
              </w:tc>
              <w:tc>
                <w:tcPr>
                  <w:tcW w:w="1142" w:type="dxa"/>
                </w:tcPr>
                <w:p w14:paraId="75E713E1" w14:textId="66522812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1.65</w:t>
                  </w:r>
                </w:p>
              </w:tc>
            </w:tr>
            <w:tr w:rsidR="004F2EAA" w:rsidRPr="00842C1A" w14:paraId="0617F604" w14:textId="77777777" w:rsidTr="0089190C">
              <w:tc>
                <w:tcPr>
                  <w:tcW w:w="1677" w:type="dxa"/>
                </w:tcPr>
                <w:p w14:paraId="3EC6238B" w14:textId="77777777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Dividend Yield </w:t>
                  </w:r>
                </w:p>
              </w:tc>
              <w:tc>
                <w:tcPr>
                  <w:tcW w:w="815" w:type="dxa"/>
                </w:tcPr>
                <w:p w14:paraId="524E59DF" w14:textId="6BD61C09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4.94</w:t>
                  </w:r>
                </w:p>
              </w:tc>
              <w:tc>
                <w:tcPr>
                  <w:tcW w:w="804" w:type="dxa"/>
                </w:tcPr>
                <w:p w14:paraId="22DA99B4" w14:textId="6D8BE7A8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4.53</w:t>
                  </w:r>
                </w:p>
              </w:tc>
              <w:tc>
                <w:tcPr>
                  <w:tcW w:w="885" w:type="dxa"/>
                </w:tcPr>
                <w:p w14:paraId="37475220" w14:textId="1073CDB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0.00</w:t>
                  </w:r>
                </w:p>
              </w:tc>
              <w:tc>
                <w:tcPr>
                  <w:tcW w:w="953" w:type="dxa"/>
                </w:tcPr>
                <w:p w14:paraId="46267742" w14:textId="73F095A2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3.71</w:t>
                  </w:r>
                </w:p>
              </w:tc>
              <w:tc>
                <w:tcPr>
                  <w:tcW w:w="981" w:type="dxa"/>
                </w:tcPr>
                <w:p w14:paraId="4CB9EC74" w14:textId="64E3A010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2.35</w:t>
                  </w:r>
                </w:p>
              </w:tc>
              <w:tc>
                <w:tcPr>
                  <w:tcW w:w="1142" w:type="dxa"/>
                </w:tcPr>
                <w:p w14:paraId="13B0F0F0" w14:textId="4B255BEB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5.75</w:t>
                  </w:r>
                </w:p>
              </w:tc>
            </w:tr>
            <w:tr w:rsidR="004F2EAA" w:rsidRPr="00842C1A" w14:paraId="4505851E" w14:textId="77777777" w:rsidTr="0089190C">
              <w:tc>
                <w:tcPr>
                  <w:tcW w:w="1677" w:type="dxa"/>
                </w:tcPr>
                <w:p w14:paraId="6045AE39" w14:textId="4CB890C2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PEG Ratio </w:t>
                  </w:r>
                  <w:r w:rsidR="007B0685">
                    <w:rPr>
                      <w:sz w:val="13"/>
                      <w:szCs w:val="13"/>
                    </w:rPr>
                    <w:t>(BF12M)</w:t>
                  </w:r>
                </w:p>
              </w:tc>
              <w:tc>
                <w:tcPr>
                  <w:tcW w:w="815" w:type="dxa"/>
                </w:tcPr>
                <w:p w14:paraId="6C39B871" w14:textId="23F2EA2E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1.48</w:t>
                  </w:r>
                </w:p>
              </w:tc>
              <w:tc>
                <w:tcPr>
                  <w:tcW w:w="804" w:type="dxa"/>
                </w:tcPr>
                <w:p w14:paraId="7D65AAED" w14:textId="38B29DE2" w:rsidR="004F2EAA" w:rsidRPr="00842C1A" w:rsidRDefault="006774A0" w:rsidP="00D60F91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3.</w:t>
                  </w:r>
                  <w:r w:rsidR="00D60F91">
                    <w:rPr>
                      <w:sz w:val="13"/>
                      <w:szCs w:val="13"/>
                    </w:rPr>
                    <w:t>02</w:t>
                  </w:r>
                </w:p>
              </w:tc>
              <w:tc>
                <w:tcPr>
                  <w:tcW w:w="885" w:type="dxa"/>
                </w:tcPr>
                <w:p w14:paraId="405B4B3F" w14:textId="6E741AFD" w:rsidR="004F2EAA" w:rsidRPr="00842C1A" w:rsidRDefault="00D60F91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2.70</w:t>
                  </w:r>
                </w:p>
              </w:tc>
              <w:tc>
                <w:tcPr>
                  <w:tcW w:w="953" w:type="dxa"/>
                </w:tcPr>
                <w:p w14:paraId="09628130" w14:textId="604AC601" w:rsidR="004F2EAA" w:rsidRPr="00842C1A" w:rsidRDefault="00D60F91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4.49</w:t>
                  </w:r>
                </w:p>
              </w:tc>
              <w:tc>
                <w:tcPr>
                  <w:tcW w:w="981" w:type="dxa"/>
                </w:tcPr>
                <w:p w14:paraId="2302C4FD" w14:textId="5EA46C05" w:rsidR="004F2EAA" w:rsidRPr="00842C1A" w:rsidRDefault="00D60F91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6.24</w:t>
                  </w:r>
                </w:p>
              </w:tc>
              <w:tc>
                <w:tcPr>
                  <w:tcW w:w="1142" w:type="dxa"/>
                </w:tcPr>
                <w:p w14:paraId="3C4BDA61" w14:textId="39F7B64E" w:rsidR="004F2EAA" w:rsidRPr="007B0685" w:rsidRDefault="00D60F91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2.63</w:t>
                  </w:r>
                </w:p>
              </w:tc>
            </w:tr>
            <w:tr w:rsidR="004F2EAA" w:rsidRPr="00842C1A" w14:paraId="06FF3325" w14:textId="77777777" w:rsidTr="0089190C">
              <w:tc>
                <w:tcPr>
                  <w:tcW w:w="1677" w:type="dxa"/>
                </w:tcPr>
                <w:p w14:paraId="7FD0AD7B" w14:textId="054EB047" w:rsidR="004F2EAA" w:rsidRPr="00842C1A" w:rsidRDefault="004F2EAA" w:rsidP="00FB235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EPS</w:t>
                  </w:r>
                  <w:r w:rsidR="00FB2352" w:rsidRPr="00842C1A">
                    <w:rPr>
                      <w:sz w:val="13"/>
                      <w:szCs w:val="13"/>
                    </w:rPr>
                    <w:t xml:space="preserve"> (Last FY)</w:t>
                  </w:r>
                </w:p>
              </w:tc>
              <w:tc>
                <w:tcPr>
                  <w:tcW w:w="815" w:type="dxa"/>
                </w:tcPr>
                <w:p w14:paraId="039C42DF" w14:textId="48A69E22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2.42</w:t>
                  </w:r>
                </w:p>
              </w:tc>
              <w:tc>
                <w:tcPr>
                  <w:tcW w:w="804" w:type="dxa"/>
                </w:tcPr>
                <w:p w14:paraId="1CBE09CE" w14:textId="2E06DEB0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2.70</w:t>
                  </w:r>
                </w:p>
              </w:tc>
              <w:tc>
                <w:tcPr>
                  <w:tcW w:w="885" w:type="dxa"/>
                </w:tcPr>
                <w:p w14:paraId="418ADE6E" w14:textId="6D5B62F7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0.31</w:t>
                  </w:r>
                </w:p>
              </w:tc>
              <w:tc>
                <w:tcPr>
                  <w:tcW w:w="953" w:type="dxa"/>
                </w:tcPr>
                <w:p w14:paraId="0783FD74" w14:textId="5A77C085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2.35</w:t>
                  </w:r>
                </w:p>
              </w:tc>
              <w:tc>
                <w:tcPr>
                  <w:tcW w:w="981" w:type="dxa"/>
                </w:tcPr>
                <w:p w14:paraId="6D9EF64C" w14:textId="2E6CF22B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0.67</w:t>
                  </w:r>
                </w:p>
              </w:tc>
              <w:tc>
                <w:tcPr>
                  <w:tcW w:w="1142" w:type="dxa"/>
                </w:tcPr>
                <w:p w14:paraId="065BB36E" w14:textId="09113C8C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1.19</w:t>
                  </w:r>
                </w:p>
              </w:tc>
            </w:tr>
            <w:tr w:rsidR="004F2EAA" w:rsidRPr="00842C1A" w14:paraId="777301C1" w14:textId="77777777" w:rsidTr="0089190C">
              <w:tc>
                <w:tcPr>
                  <w:tcW w:w="1677" w:type="dxa"/>
                </w:tcPr>
                <w:p w14:paraId="0759BE0E" w14:textId="7503049A" w:rsidR="004F2EAA" w:rsidRPr="00842C1A" w:rsidRDefault="00674795" w:rsidP="008C2798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Rev</w:t>
                  </w:r>
                  <w:r w:rsidR="00462682" w:rsidRPr="00842C1A">
                    <w:rPr>
                      <w:sz w:val="13"/>
                      <w:szCs w:val="13"/>
                    </w:rPr>
                    <w:t xml:space="preserve"> Gr</w:t>
                  </w:r>
                  <w:r w:rsidR="00913FF8" w:rsidRPr="00842C1A">
                    <w:rPr>
                      <w:sz w:val="13"/>
                      <w:szCs w:val="13"/>
                    </w:rPr>
                    <w:t>ow</w:t>
                  </w:r>
                  <w:r w:rsidR="00462682" w:rsidRPr="00842C1A">
                    <w:rPr>
                      <w:sz w:val="13"/>
                      <w:szCs w:val="13"/>
                    </w:rPr>
                    <w:t xml:space="preserve">th </w:t>
                  </w:r>
                  <w:r w:rsidR="00913FF8" w:rsidRPr="00842C1A">
                    <w:rPr>
                      <w:sz w:val="13"/>
                      <w:szCs w:val="13"/>
                    </w:rPr>
                    <w:t>(</w:t>
                  </w:r>
                  <w:r w:rsidR="008C2798" w:rsidRPr="00842C1A">
                    <w:rPr>
                      <w:sz w:val="13"/>
                      <w:szCs w:val="13"/>
                    </w:rPr>
                    <w:t>Last</w:t>
                  </w:r>
                  <w:r w:rsidR="00913FF8" w:rsidRPr="00842C1A">
                    <w:rPr>
                      <w:sz w:val="13"/>
                      <w:szCs w:val="13"/>
                    </w:rPr>
                    <w:t xml:space="preserve"> </w:t>
                  </w:r>
                  <w:r w:rsidR="008C2798" w:rsidRPr="00842C1A">
                    <w:rPr>
                      <w:sz w:val="13"/>
                      <w:szCs w:val="13"/>
                    </w:rPr>
                    <w:t>FY</w:t>
                  </w:r>
                  <w:r w:rsidR="006774A0">
                    <w:rPr>
                      <w:sz w:val="13"/>
                      <w:szCs w:val="13"/>
                    </w:rPr>
                    <w:t xml:space="preserve"> %</w:t>
                  </w:r>
                  <w:r w:rsidR="00913FF8" w:rsidRPr="00842C1A">
                    <w:rPr>
                      <w:sz w:val="13"/>
                      <w:szCs w:val="13"/>
                    </w:rPr>
                    <w:t>)</w:t>
                  </w:r>
                  <w:r w:rsidR="006774A0">
                    <w:rPr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815" w:type="dxa"/>
                </w:tcPr>
                <w:p w14:paraId="18DCC7A0" w14:textId="6C42B97C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5.42</w:t>
                  </w:r>
                </w:p>
              </w:tc>
              <w:tc>
                <w:tcPr>
                  <w:tcW w:w="804" w:type="dxa"/>
                </w:tcPr>
                <w:p w14:paraId="68E302DD" w14:textId="0F7E3BB6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3.15</w:t>
                  </w:r>
                </w:p>
              </w:tc>
              <w:tc>
                <w:tcPr>
                  <w:tcW w:w="885" w:type="dxa"/>
                </w:tcPr>
                <w:p w14:paraId="67F1CBE6" w14:textId="6B54E8AC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21.06</w:t>
                  </w:r>
                </w:p>
              </w:tc>
              <w:tc>
                <w:tcPr>
                  <w:tcW w:w="953" w:type="dxa"/>
                </w:tcPr>
                <w:p w14:paraId="42281ACF" w14:textId="39F5D3B8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1.13</w:t>
                  </w:r>
                </w:p>
              </w:tc>
              <w:tc>
                <w:tcPr>
                  <w:tcW w:w="981" w:type="dxa"/>
                </w:tcPr>
                <w:p w14:paraId="17995264" w14:textId="382D79D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4.54</w:t>
                  </w:r>
                </w:p>
              </w:tc>
              <w:tc>
                <w:tcPr>
                  <w:tcW w:w="1142" w:type="dxa"/>
                </w:tcPr>
                <w:p w14:paraId="6FFA7BF9" w14:textId="498BB531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2.87</w:t>
                  </w:r>
                </w:p>
              </w:tc>
            </w:tr>
            <w:tr w:rsidR="004F2EAA" w:rsidRPr="00842C1A" w14:paraId="616F0554" w14:textId="77777777" w:rsidTr="0089190C">
              <w:tc>
                <w:tcPr>
                  <w:tcW w:w="1677" w:type="dxa"/>
                </w:tcPr>
                <w:p w14:paraId="12174486" w14:textId="0FD4903E" w:rsidR="004F2EAA" w:rsidRPr="00842C1A" w:rsidRDefault="00462682" w:rsidP="008C2798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NI</w:t>
                  </w:r>
                  <w:r w:rsidR="004F2EAA" w:rsidRPr="00842C1A">
                    <w:rPr>
                      <w:sz w:val="13"/>
                      <w:szCs w:val="13"/>
                    </w:rPr>
                    <w:t xml:space="preserve"> </w:t>
                  </w:r>
                  <w:r w:rsidR="00913FF8" w:rsidRPr="00842C1A">
                    <w:rPr>
                      <w:sz w:val="13"/>
                      <w:szCs w:val="13"/>
                    </w:rPr>
                    <w:t>Growth</w:t>
                  </w:r>
                  <w:r w:rsidR="004F2EAA" w:rsidRPr="00842C1A">
                    <w:rPr>
                      <w:sz w:val="13"/>
                      <w:szCs w:val="13"/>
                    </w:rPr>
                    <w:t xml:space="preserve"> </w:t>
                  </w:r>
                  <w:r w:rsidR="00913FF8" w:rsidRPr="00842C1A">
                    <w:rPr>
                      <w:sz w:val="13"/>
                      <w:szCs w:val="13"/>
                    </w:rPr>
                    <w:t>(</w:t>
                  </w:r>
                  <w:r w:rsidR="008C2798" w:rsidRPr="00842C1A">
                    <w:rPr>
                      <w:sz w:val="13"/>
                      <w:szCs w:val="13"/>
                    </w:rPr>
                    <w:t>Last FY</w:t>
                  </w:r>
                  <w:r w:rsidR="006774A0">
                    <w:rPr>
                      <w:sz w:val="13"/>
                      <w:szCs w:val="13"/>
                    </w:rPr>
                    <w:t xml:space="preserve"> %</w:t>
                  </w:r>
                  <w:r w:rsidR="00913FF8" w:rsidRPr="00842C1A">
                    <w:rPr>
                      <w:sz w:val="13"/>
                      <w:szCs w:val="13"/>
                    </w:rPr>
                    <w:t>)</w:t>
                  </w:r>
                  <w:r w:rsidR="004F2EAA" w:rsidRPr="00842C1A">
                    <w:rPr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815" w:type="dxa"/>
                </w:tcPr>
                <w:p w14:paraId="21AC8274" w14:textId="445D7ED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-16.28</w:t>
                  </w:r>
                </w:p>
              </w:tc>
              <w:tc>
                <w:tcPr>
                  <w:tcW w:w="804" w:type="dxa"/>
                </w:tcPr>
                <w:p w14:paraId="72155156" w14:textId="31FC9474" w:rsidR="008C2798" w:rsidRPr="00842C1A" w:rsidRDefault="006774A0" w:rsidP="008C2798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18.71</w:t>
                  </w:r>
                </w:p>
              </w:tc>
              <w:tc>
                <w:tcPr>
                  <w:tcW w:w="885" w:type="dxa"/>
                </w:tcPr>
                <w:p w14:paraId="36DE4F19" w14:textId="5EAF09B0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605.71</w:t>
                  </w:r>
                </w:p>
              </w:tc>
              <w:tc>
                <w:tcPr>
                  <w:tcW w:w="953" w:type="dxa"/>
                </w:tcPr>
                <w:p w14:paraId="098D397E" w14:textId="28D8C9EF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-19.65</w:t>
                  </w:r>
                </w:p>
              </w:tc>
              <w:tc>
                <w:tcPr>
                  <w:tcW w:w="981" w:type="dxa"/>
                </w:tcPr>
                <w:p w14:paraId="09E34E39" w14:textId="0452F8FB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78.18</w:t>
                  </w:r>
                </w:p>
              </w:tc>
              <w:tc>
                <w:tcPr>
                  <w:tcW w:w="1142" w:type="dxa"/>
                </w:tcPr>
                <w:p w14:paraId="703CA411" w14:textId="3F4BFAD4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-65.89</w:t>
                  </w:r>
                </w:p>
              </w:tc>
            </w:tr>
            <w:tr w:rsidR="004F2EAA" w:rsidRPr="00842C1A" w14:paraId="339AECB6" w14:textId="77777777" w:rsidTr="0089190C">
              <w:tc>
                <w:tcPr>
                  <w:tcW w:w="1677" w:type="dxa"/>
                </w:tcPr>
                <w:p w14:paraId="7B2C49BE" w14:textId="4F6010F8" w:rsidR="004F2EAA" w:rsidRPr="00842C1A" w:rsidRDefault="007B0685" w:rsidP="007B0685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Op Margin (Last FY %)</w:t>
                  </w:r>
                </w:p>
              </w:tc>
              <w:tc>
                <w:tcPr>
                  <w:tcW w:w="815" w:type="dxa"/>
                </w:tcPr>
                <w:p w14:paraId="6D16033E" w14:textId="7B3BFF16" w:rsidR="004F2EAA" w:rsidRPr="00842C1A" w:rsidRDefault="006774A0" w:rsidP="006774A0">
                  <w:pPr>
                    <w:tabs>
                      <w:tab w:val="left" w:pos="465"/>
                    </w:tabs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ab/>
                  </w:r>
                  <w:r w:rsidRPr="006774A0">
                    <w:rPr>
                      <w:sz w:val="13"/>
                      <w:szCs w:val="13"/>
                    </w:rPr>
                    <w:t>15.42</w:t>
                  </w:r>
                </w:p>
              </w:tc>
              <w:tc>
                <w:tcPr>
                  <w:tcW w:w="804" w:type="dxa"/>
                </w:tcPr>
                <w:p w14:paraId="0087603B" w14:textId="001575D8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22.03</w:t>
                  </w:r>
                </w:p>
              </w:tc>
              <w:tc>
                <w:tcPr>
                  <w:tcW w:w="885" w:type="dxa"/>
                </w:tcPr>
                <w:p w14:paraId="648370E7" w14:textId="7A4F7C77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4.79</w:t>
                  </w:r>
                </w:p>
              </w:tc>
              <w:tc>
                <w:tcPr>
                  <w:tcW w:w="953" w:type="dxa"/>
                </w:tcPr>
                <w:p w14:paraId="218F33F9" w14:textId="2EB1B7FF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20.74</w:t>
                  </w:r>
                </w:p>
              </w:tc>
              <w:tc>
                <w:tcPr>
                  <w:tcW w:w="981" w:type="dxa"/>
                </w:tcPr>
                <w:p w14:paraId="0DC9A589" w14:textId="60024F6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7.92</w:t>
                  </w:r>
                </w:p>
              </w:tc>
              <w:tc>
                <w:tcPr>
                  <w:tcW w:w="1142" w:type="dxa"/>
                </w:tcPr>
                <w:p w14:paraId="0BE03697" w14:textId="40001EE9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8.87</w:t>
                  </w:r>
                </w:p>
              </w:tc>
            </w:tr>
            <w:tr w:rsidR="004F2EAA" w:rsidRPr="00842C1A" w14:paraId="064AA80D" w14:textId="77777777" w:rsidTr="0089190C">
              <w:tc>
                <w:tcPr>
                  <w:tcW w:w="1677" w:type="dxa"/>
                </w:tcPr>
                <w:p w14:paraId="5977E240" w14:textId="5CE34D9B" w:rsidR="004F2EAA" w:rsidRPr="00842C1A" w:rsidRDefault="007B0685" w:rsidP="004F2EAA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Debt/</w:t>
                  </w:r>
                  <w:r w:rsidR="004F2EAA" w:rsidRPr="00842C1A">
                    <w:rPr>
                      <w:sz w:val="13"/>
                      <w:szCs w:val="13"/>
                    </w:rPr>
                    <w:t xml:space="preserve">Equity </w:t>
                  </w:r>
                  <w:r>
                    <w:rPr>
                      <w:sz w:val="13"/>
                      <w:szCs w:val="13"/>
                    </w:rPr>
                    <w:t>(Last FY %)</w:t>
                  </w:r>
                </w:p>
              </w:tc>
              <w:tc>
                <w:tcPr>
                  <w:tcW w:w="815" w:type="dxa"/>
                </w:tcPr>
                <w:p w14:paraId="672F8CCF" w14:textId="63561841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828.25</w:t>
                  </w:r>
                </w:p>
              </w:tc>
              <w:tc>
                <w:tcPr>
                  <w:tcW w:w="804" w:type="dxa"/>
                </w:tcPr>
                <w:p w14:paraId="2639E00E" w14:textId="248B6E5B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131.89</w:t>
                  </w:r>
                </w:p>
              </w:tc>
              <w:tc>
                <w:tcPr>
                  <w:tcW w:w="885" w:type="dxa"/>
                </w:tcPr>
                <w:p w14:paraId="1555406C" w14:textId="4B98CD34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156.30</w:t>
                  </w:r>
                </w:p>
              </w:tc>
              <w:tc>
                <w:tcPr>
                  <w:tcW w:w="953" w:type="dxa"/>
                </w:tcPr>
                <w:p w14:paraId="02951FB8" w14:textId="6486D691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285.28</w:t>
                  </w:r>
                </w:p>
              </w:tc>
              <w:tc>
                <w:tcPr>
                  <w:tcW w:w="981" w:type="dxa"/>
                </w:tcPr>
                <w:p w14:paraId="2DEE76F7" w14:textId="5FADBF93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 w:rsidRPr="006774A0">
                    <w:rPr>
                      <w:sz w:val="13"/>
                      <w:szCs w:val="13"/>
                    </w:rPr>
                    <w:t>194.45</w:t>
                  </w:r>
                </w:p>
              </w:tc>
              <w:tc>
                <w:tcPr>
                  <w:tcW w:w="1142" w:type="dxa"/>
                </w:tcPr>
                <w:p w14:paraId="3056A026" w14:textId="105C85E3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 w:rsidRPr="007B0685">
                    <w:rPr>
                      <w:b/>
                      <w:sz w:val="13"/>
                      <w:szCs w:val="13"/>
                    </w:rPr>
                    <w:t>94.41</w:t>
                  </w:r>
                </w:p>
              </w:tc>
            </w:tr>
            <w:tr w:rsidR="004F2EAA" w:rsidRPr="00842C1A" w14:paraId="36B329ED" w14:textId="77777777" w:rsidTr="0089190C">
              <w:tc>
                <w:tcPr>
                  <w:tcW w:w="1677" w:type="dxa"/>
                </w:tcPr>
                <w:p w14:paraId="791DB0D1" w14:textId="17251578" w:rsidR="004F2EAA" w:rsidRPr="00842C1A" w:rsidRDefault="004F2EAA" w:rsidP="004F2EAA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Market Cap</w:t>
                  </w:r>
                  <w:r w:rsidR="007B0685">
                    <w:rPr>
                      <w:sz w:val="13"/>
                      <w:szCs w:val="13"/>
                    </w:rPr>
                    <w:t xml:space="preserve"> (USD)</w:t>
                  </w:r>
                </w:p>
              </w:tc>
              <w:tc>
                <w:tcPr>
                  <w:tcW w:w="815" w:type="dxa"/>
                </w:tcPr>
                <w:p w14:paraId="031547AD" w14:textId="5F6B7210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182.4B</w:t>
                  </w:r>
                </w:p>
              </w:tc>
              <w:tc>
                <w:tcPr>
                  <w:tcW w:w="804" w:type="dxa"/>
                </w:tcPr>
                <w:p w14:paraId="626B742A" w14:textId="3803C66D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36.2B</w:t>
                  </w:r>
                </w:p>
              </w:tc>
              <w:tc>
                <w:tcPr>
                  <w:tcW w:w="885" w:type="dxa"/>
                </w:tcPr>
                <w:p w14:paraId="4F545191" w14:textId="400518A3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31.0B</w:t>
                  </w:r>
                </w:p>
              </w:tc>
              <w:tc>
                <w:tcPr>
                  <w:tcW w:w="953" w:type="dxa"/>
                </w:tcPr>
                <w:p w14:paraId="70C9FE24" w14:textId="23E26F37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19.8B</w:t>
                  </w:r>
                </w:p>
              </w:tc>
              <w:tc>
                <w:tcPr>
                  <w:tcW w:w="981" w:type="dxa"/>
                </w:tcPr>
                <w:p w14:paraId="10279C73" w14:textId="279B4FDB" w:rsidR="004F2EAA" w:rsidRPr="00842C1A" w:rsidRDefault="006774A0" w:rsidP="005B16A4">
                  <w:pPr>
                    <w:jc w:val="righ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46.6B</w:t>
                  </w:r>
                </w:p>
              </w:tc>
              <w:tc>
                <w:tcPr>
                  <w:tcW w:w="1142" w:type="dxa"/>
                </w:tcPr>
                <w:p w14:paraId="5AA99482" w14:textId="48890CB0" w:rsidR="004F2EAA" w:rsidRPr="007B0685" w:rsidRDefault="007B0685" w:rsidP="005B16A4">
                  <w:pPr>
                    <w:jc w:val="righ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201.1B</w:t>
                  </w:r>
                </w:p>
              </w:tc>
            </w:tr>
          </w:tbl>
          <w:p w14:paraId="640918AE" w14:textId="77777777" w:rsidR="004F2EAA" w:rsidRDefault="004F2EAA" w:rsidP="000F7E2C">
            <w:pPr>
              <w:jc w:val="both"/>
              <w:rPr>
                <w:b/>
                <w:sz w:val="13"/>
                <w:szCs w:val="13"/>
              </w:rPr>
            </w:pPr>
          </w:p>
          <w:p w14:paraId="79D95697" w14:textId="11425DFD" w:rsidR="000362B3" w:rsidRDefault="00C8063B" w:rsidP="000F7E2C">
            <w:pPr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Prepared By:</w:t>
            </w:r>
            <w:r w:rsidR="00A0165D">
              <w:rPr>
                <w:b/>
                <w:sz w:val="13"/>
                <w:szCs w:val="13"/>
              </w:rPr>
              <w:t xml:space="preserve">  Alex </w:t>
            </w:r>
            <w:proofErr w:type="spellStart"/>
            <w:r w:rsidR="00A0165D">
              <w:rPr>
                <w:b/>
                <w:sz w:val="13"/>
                <w:szCs w:val="13"/>
              </w:rPr>
              <w:t>Sadowski</w:t>
            </w:r>
            <w:proofErr w:type="spellEnd"/>
            <w:r w:rsidR="00A0165D">
              <w:rPr>
                <w:b/>
                <w:sz w:val="13"/>
                <w:szCs w:val="13"/>
              </w:rPr>
              <w:t>, 11/12/2015</w:t>
            </w:r>
          </w:p>
          <w:p w14:paraId="67108435" w14:textId="21DBE44E" w:rsidR="000362B3" w:rsidRPr="000362B3" w:rsidRDefault="000362B3" w:rsidP="000F7E2C">
            <w:pPr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Sources: Bloomberg, S&amp;P </w:t>
            </w:r>
            <w:proofErr w:type="spellStart"/>
            <w:r>
              <w:rPr>
                <w:b/>
                <w:sz w:val="13"/>
                <w:szCs w:val="13"/>
              </w:rPr>
              <w:t>NetAdvantage</w:t>
            </w:r>
            <w:proofErr w:type="spellEnd"/>
            <w:r>
              <w:rPr>
                <w:b/>
                <w:sz w:val="13"/>
                <w:szCs w:val="13"/>
              </w:rPr>
              <w:t>, VLIS, Morningstar</w:t>
            </w:r>
          </w:p>
        </w:tc>
        <w:tc>
          <w:tcPr>
            <w:tcW w:w="4320" w:type="dxa"/>
          </w:tcPr>
          <w:p w14:paraId="7FACE228" w14:textId="170AD80A" w:rsidR="004F2EAA" w:rsidRPr="00842C1A" w:rsidRDefault="004F2EAA" w:rsidP="000F7E2C">
            <w:pPr>
              <w:jc w:val="both"/>
              <w:rPr>
                <w:b/>
                <w:sz w:val="13"/>
                <w:szCs w:val="13"/>
              </w:rPr>
            </w:pPr>
          </w:p>
          <w:tbl>
            <w:tblPr>
              <w:tblStyle w:val="TableGrid"/>
              <w:tblW w:w="4094" w:type="dxa"/>
              <w:tblLook w:val="04A0" w:firstRow="1" w:lastRow="0" w:firstColumn="1" w:lastColumn="0" w:noHBand="0" w:noVBand="1"/>
            </w:tblPr>
            <w:tblGrid>
              <w:gridCol w:w="1422"/>
              <w:gridCol w:w="900"/>
              <w:gridCol w:w="810"/>
              <w:gridCol w:w="962"/>
            </w:tblGrid>
            <w:tr w:rsidR="00EA5213" w:rsidRPr="00842C1A" w14:paraId="39927E41" w14:textId="77777777" w:rsidTr="0060598F">
              <w:tc>
                <w:tcPr>
                  <w:tcW w:w="1422" w:type="dxa"/>
                  <w:shd w:val="clear" w:color="auto" w:fill="DBE5F1" w:themeFill="accent1" w:themeFillTint="33"/>
                </w:tcPr>
                <w:p w14:paraId="405B542F" w14:textId="7C67957F" w:rsidR="00EA5213" w:rsidRPr="00842C1A" w:rsidRDefault="00EA5213" w:rsidP="00EA5213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0AB96B2A" w14:textId="0840B454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</w:tcPr>
                <w:p w14:paraId="0650E6CE" w14:textId="77777777" w:rsidR="00EA5213" w:rsidRPr="00842C1A" w:rsidRDefault="00EA5213" w:rsidP="00EA5213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Sector </w:t>
                  </w:r>
                </w:p>
              </w:tc>
              <w:tc>
                <w:tcPr>
                  <w:tcW w:w="962" w:type="dxa"/>
                  <w:shd w:val="clear" w:color="auto" w:fill="DBE5F1" w:themeFill="accent1" w:themeFillTint="33"/>
                </w:tcPr>
                <w:p w14:paraId="68B31751" w14:textId="77777777" w:rsidR="00EA5213" w:rsidRPr="00842C1A" w:rsidRDefault="00EA5213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S&amp;P 500</w:t>
                  </w:r>
                </w:p>
              </w:tc>
            </w:tr>
            <w:tr w:rsidR="00EA5213" w:rsidRPr="00842C1A" w14:paraId="47681D86" w14:textId="77777777" w:rsidTr="00371C05">
              <w:tc>
                <w:tcPr>
                  <w:tcW w:w="1422" w:type="dxa"/>
                </w:tcPr>
                <w:p w14:paraId="440258CF" w14:textId="77777777" w:rsidR="00EA5213" w:rsidRPr="00842C1A" w:rsidRDefault="00EA5213" w:rsidP="00EA5213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YTD</w:t>
                  </w:r>
                </w:p>
              </w:tc>
              <w:tc>
                <w:tcPr>
                  <w:tcW w:w="900" w:type="dxa"/>
                </w:tcPr>
                <w:p w14:paraId="2915C4D5" w14:textId="3552A035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2.92%</w:t>
                  </w:r>
                </w:p>
              </w:tc>
              <w:tc>
                <w:tcPr>
                  <w:tcW w:w="810" w:type="dxa"/>
                </w:tcPr>
                <w:p w14:paraId="432CEBBB" w14:textId="37FAC12C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2.72%</w:t>
                  </w:r>
                </w:p>
              </w:tc>
              <w:tc>
                <w:tcPr>
                  <w:tcW w:w="962" w:type="dxa"/>
                </w:tcPr>
                <w:p w14:paraId="2D5C424C" w14:textId="7661565D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2.61%</w:t>
                  </w:r>
                </w:p>
              </w:tc>
            </w:tr>
            <w:tr w:rsidR="0089190C" w:rsidRPr="00842C1A" w14:paraId="7508E285" w14:textId="77777777" w:rsidTr="00371C05">
              <w:tc>
                <w:tcPr>
                  <w:tcW w:w="1422" w:type="dxa"/>
                </w:tcPr>
                <w:p w14:paraId="291748D7" w14:textId="70E71002" w:rsidR="0089190C" w:rsidRPr="00842C1A" w:rsidRDefault="0089190C" w:rsidP="00EA5213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TTM</w:t>
                  </w:r>
                </w:p>
              </w:tc>
              <w:tc>
                <w:tcPr>
                  <w:tcW w:w="900" w:type="dxa"/>
                </w:tcPr>
                <w:p w14:paraId="7D52360B" w14:textId="3DD8D2BE" w:rsidR="0089190C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-2.34%</w:t>
                  </w:r>
                </w:p>
              </w:tc>
              <w:tc>
                <w:tcPr>
                  <w:tcW w:w="810" w:type="dxa"/>
                </w:tcPr>
                <w:p w14:paraId="55F0514F" w14:textId="29D17A5F" w:rsidR="0089190C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-1.84%</w:t>
                  </w:r>
                </w:p>
              </w:tc>
              <w:tc>
                <w:tcPr>
                  <w:tcW w:w="962" w:type="dxa"/>
                </w:tcPr>
                <w:p w14:paraId="7F6C33B7" w14:textId="0D8F53CE" w:rsidR="00860DEA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3.89%</w:t>
                  </w:r>
                </w:p>
              </w:tc>
            </w:tr>
            <w:tr w:rsidR="00EA5213" w:rsidRPr="00842C1A" w14:paraId="0876038A" w14:textId="77777777" w:rsidTr="00371C05">
              <w:tc>
                <w:tcPr>
                  <w:tcW w:w="1422" w:type="dxa"/>
                </w:tcPr>
                <w:p w14:paraId="1F90980B" w14:textId="6A9FA8D4" w:rsidR="00EA5213" w:rsidRPr="00842C1A" w:rsidRDefault="00EA5213" w:rsidP="00EA5213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Last 3 Years </w:t>
                  </w:r>
                </w:p>
              </w:tc>
              <w:tc>
                <w:tcPr>
                  <w:tcW w:w="900" w:type="dxa"/>
                </w:tcPr>
                <w:p w14:paraId="0925A661" w14:textId="4219936C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4.10%</w:t>
                  </w:r>
                </w:p>
              </w:tc>
              <w:tc>
                <w:tcPr>
                  <w:tcW w:w="810" w:type="dxa"/>
                </w:tcPr>
                <w:p w14:paraId="046C9C8D" w14:textId="645049A1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5.35%</w:t>
                  </w:r>
                </w:p>
              </w:tc>
              <w:tc>
                <w:tcPr>
                  <w:tcW w:w="962" w:type="dxa"/>
                </w:tcPr>
                <w:p w14:paraId="55BE815F" w14:textId="4E8EB7E3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17.02%</w:t>
                  </w:r>
                </w:p>
              </w:tc>
            </w:tr>
            <w:tr w:rsidR="00EA5213" w:rsidRPr="00842C1A" w14:paraId="28B8CB1E" w14:textId="77777777" w:rsidTr="00371C05">
              <w:tc>
                <w:tcPr>
                  <w:tcW w:w="1422" w:type="dxa"/>
                </w:tcPr>
                <w:p w14:paraId="3272796F" w14:textId="77777777" w:rsidR="00EA5213" w:rsidRPr="00842C1A" w:rsidRDefault="00EA5213" w:rsidP="00EA5213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Last 5 Years </w:t>
                  </w:r>
                </w:p>
              </w:tc>
              <w:tc>
                <w:tcPr>
                  <w:tcW w:w="900" w:type="dxa"/>
                </w:tcPr>
                <w:p w14:paraId="6CA968EB" w14:textId="6A396C40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7.50%</w:t>
                  </w:r>
                </w:p>
              </w:tc>
              <w:tc>
                <w:tcPr>
                  <w:tcW w:w="810" w:type="dxa"/>
                </w:tcPr>
                <w:p w14:paraId="3A2AF828" w14:textId="77258B63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3.93%</w:t>
                  </w:r>
                </w:p>
              </w:tc>
              <w:tc>
                <w:tcPr>
                  <w:tcW w:w="962" w:type="dxa"/>
                </w:tcPr>
                <w:p w14:paraId="1D7EE8E1" w14:textId="54316631" w:rsidR="00EA5213" w:rsidRPr="00842C1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13.71%</w:t>
                  </w:r>
                </w:p>
              </w:tc>
            </w:tr>
            <w:tr w:rsidR="00860DEA" w:rsidRPr="00842C1A" w14:paraId="5DC4A188" w14:textId="77777777" w:rsidTr="00371C05">
              <w:tc>
                <w:tcPr>
                  <w:tcW w:w="1422" w:type="dxa"/>
                </w:tcPr>
                <w:p w14:paraId="3259DE20" w14:textId="5B75C2E2" w:rsidR="00860DEA" w:rsidRPr="00842C1A" w:rsidRDefault="00860DEA" w:rsidP="00EA5213">
                  <w:pPr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Last 10 Years</w:t>
                  </w:r>
                </w:p>
              </w:tc>
              <w:tc>
                <w:tcPr>
                  <w:tcW w:w="900" w:type="dxa"/>
                </w:tcPr>
                <w:p w14:paraId="3CAB3B6E" w14:textId="4FC24832" w:rsidR="00860DE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7.50%</w:t>
                  </w:r>
                </w:p>
              </w:tc>
              <w:tc>
                <w:tcPr>
                  <w:tcW w:w="810" w:type="dxa"/>
                </w:tcPr>
                <w:p w14:paraId="1013C195" w14:textId="6B5875CF" w:rsidR="00860DE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6.33%</w:t>
                  </w:r>
                </w:p>
              </w:tc>
              <w:tc>
                <w:tcPr>
                  <w:tcW w:w="962" w:type="dxa"/>
                </w:tcPr>
                <w:p w14:paraId="60F623B4" w14:textId="3BAC89A0" w:rsidR="00860DEA" w:rsidRDefault="00860DEA" w:rsidP="00860DEA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7.58%</w:t>
                  </w:r>
                </w:p>
              </w:tc>
            </w:tr>
          </w:tbl>
          <w:p w14:paraId="51BB9526" w14:textId="77777777" w:rsidR="00096901" w:rsidRPr="00842C1A" w:rsidRDefault="00096901" w:rsidP="000F7E2C">
            <w:pPr>
              <w:jc w:val="both"/>
              <w:rPr>
                <w:b/>
                <w:sz w:val="13"/>
                <w:szCs w:val="13"/>
              </w:rPr>
            </w:pPr>
          </w:p>
          <w:p w14:paraId="221910A7" w14:textId="368D2A1A" w:rsidR="009F0D12" w:rsidRPr="00842C1A" w:rsidRDefault="009F0D12" w:rsidP="000F7E2C">
            <w:pPr>
              <w:jc w:val="both"/>
              <w:rPr>
                <w:b/>
                <w:sz w:val="13"/>
                <w:szCs w:val="13"/>
              </w:rPr>
            </w:pPr>
            <w:r w:rsidRPr="00842C1A">
              <w:rPr>
                <w:b/>
                <w:sz w:val="13"/>
                <w:szCs w:val="13"/>
              </w:rPr>
              <w:t>CSR Characteristics</w:t>
            </w:r>
          </w:p>
          <w:tbl>
            <w:tblPr>
              <w:tblStyle w:val="TableGrid"/>
              <w:tblW w:w="4166" w:type="dxa"/>
              <w:tblLook w:val="04A0" w:firstRow="1" w:lastRow="0" w:firstColumn="1" w:lastColumn="0" w:noHBand="0" w:noVBand="1"/>
            </w:tblPr>
            <w:tblGrid>
              <w:gridCol w:w="2497"/>
              <w:gridCol w:w="862"/>
              <w:gridCol w:w="807"/>
            </w:tblGrid>
            <w:tr w:rsidR="009F0D12" w:rsidRPr="00842C1A" w14:paraId="45EE1C47" w14:textId="77777777" w:rsidTr="009F0D12">
              <w:tc>
                <w:tcPr>
                  <w:tcW w:w="2497" w:type="dxa"/>
                  <w:shd w:val="clear" w:color="auto" w:fill="DBE5F1" w:themeFill="accent1" w:themeFillTint="33"/>
                </w:tcPr>
                <w:p w14:paraId="48F472B3" w14:textId="77777777" w:rsidR="009F0D12" w:rsidRPr="00842C1A" w:rsidRDefault="009F0D12" w:rsidP="009F0D12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862" w:type="dxa"/>
                  <w:shd w:val="clear" w:color="auto" w:fill="DBE5F1" w:themeFill="accent1" w:themeFillTint="33"/>
                </w:tcPr>
                <w:p w14:paraId="64E10A6D" w14:textId="0476AB6E" w:rsidR="009F0D12" w:rsidRPr="00842C1A" w:rsidRDefault="00F12806" w:rsidP="00F12806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807" w:type="dxa"/>
                  <w:shd w:val="clear" w:color="auto" w:fill="DBE5F1" w:themeFill="accent1" w:themeFillTint="33"/>
                </w:tcPr>
                <w:p w14:paraId="2859E9CA" w14:textId="46E55C19" w:rsidR="009F0D12" w:rsidRPr="00842C1A" w:rsidRDefault="009F0D12" w:rsidP="009F0D1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 xml:space="preserve">Industry  </w:t>
                  </w:r>
                </w:p>
              </w:tc>
            </w:tr>
            <w:tr w:rsidR="009F0D12" w:rsidRPr="00842C1A" w14:paraId="7789B7FE" w14:textId="77777777" w:rsidTr="009F0D12">
              <w:tc>
                <w:tcPr>
                  <w:tcW w:w="2497" w:type="dxa"/>
                </w:tcPr>
                <w:p w14:paraId="6E37B1E0" w14:textId="321D190E" w:rsidR="009F0D12" w:rsidRPr="00842C1A" w:rsidRDefault="00BA7CED" w:rsidP="009F0D1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ESG Disclosure</w:t>
                  </w:r>
                </w:p>
              </w:tc>
              <w:tc>
                <w:tcPr>
                  <w:tcW w:w="862" w:type="dxa"/>
                </w:tcPr>
                <w:p w14:paraId="69AFC6D3" w14:textId="579B4C90" w:rsidR="009F0D12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50.62</w:t>
                  </w:r>
                </w:p>
              </w:tc>
              <w:tc>
                <w:tcPr>
                  <w:tcW w:w="807" w:type="dxa"/>
                </w:tcPr>
                <w:p w14:paraId="176B6E96" w14:textId="7BD51397" w:rsidR="009F0D12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30.34</w:t>
                  </w:r>
                </w:p>
              </w:tc>
            </w:tr>
            <w:tr w:rsidR="00BA7CED" w:rsidRPr="00842C1A" w14:paraId="56095003" w14:textId="77777777" w:rsidTr="009F0D12">
              <w:tc>
                <w:tcPr>
                  <w:tcW w:w="2497" w:type="dxa"/>
                </w:tcPr>
                <w:p w14:paraId="01F06376" w14:textId="3ABF203A" w:rsidR="00BA7CED" w:rsidRPr="00842C1A" w:rsidRDefault="00E02ABF" w:rsidP="009F0D1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Governance Disclosure Score</w:t>
                  </w:r>
                </w:p>
              </w:tc>
              <w:tc>
                <w:tcPr>
                  <w:tcW w:w="862" w:type="dxa"/>
                </w:tcPr>
                <w:p w14:paraId="7E2457FE" w14:textId="385D7B8C" w:rsidR="00BA7CED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66.07</w:t>
                  </w:r>
                </w:p>
              </w:tc>
              <w:tc>
                <w:tcPr>
                  <w:tcW w:w="807" w:type="dxa"/>
                </w:tcPr>
                <w:p w14:paraId="535098F8" w14:textId="75596EB7" w:rsidR="00BA7CED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57.47</w:t>
                  </w:r>
                </w:p>
              </w:tc>
            </w:tr>
            <w:tr w:rsidR="009F0D12" w:rsidRPr="00842C1A" w14:paraId="2AED786D" w14:textId="77777777" w:rsidTr="009F0D12">
              <w:tc>
                <w:tcPr>
                  <w:tcW w:w="2497" w:type="dxa"/>
                </w:tcPr>
                <w:p w14:paraId="1512DF1C" w14:textId="514427D6" w:rsidR="009F0D12" w:rsidRPr="00842C1A" w:rsidRDefault="00E02ABF" w:rsidP="009F0D1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Social Disclosure Score</w:t>
                  </w:r>
                </w:p>
              </w:tc>
              <w:tc>
                <w:tcPr>
                  <w:tcW w:w="862" w:type="dxa"/>
                </w:tcPr>
                <w:p w14:paraId="1005E3B5" w14:textId="02F95FEA" w:rsidR="009F0D12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56.25</w:t>
                  </w:r>
                </w:p>
              </w:tc>
              <w:tc>
                <w:tcPr>
                  <w:tcW w:w="807" w:type="dxa"/>
                </w:tcPr>
                <w:p w14:paraId="4CFD4283" w14:textId="33E14A2F" w:rsidR="009F0D12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38.19</w:t>
                  </w:r>
                </w:p>
              </w:tc>
            </w:tr>
            <w:tr w:rsidR="00E02ABF" w:rsidRPr="00842C1A" w14:paraId="51ECD4C4" w14:textId="77777777" w:rsidTr="009F0D12">
              <w:tc>
                <w:tcPr>
                  <w:tcW w:w="2497" w:type="dxa"/>
                </w:tcPr>
                <w:p w14:paraId="141C9522" w14:textId="183B7621" w:rsidR="00E02ABF" w:rsidRPr="00842C1A" w:rsidRDefault="00E02ABF" w:rsidP="009F0D12">
                  <w:pPr>
                    <w:rPr>
                      <w:sz w:val="13"/>
                      <w:szCs w:val="13"/>
                    </w:rPr>
                  </w:pPr>
                  <w:r w:rsidRPr="00842C1A">
                    <w:rPr>
                      <w:sz w:val="13"/>
                      <w:szCs w:val="13"/>
                    </w:rPr>
                    <w:t>Environmental Disclosure Score</w:t>
                  </w:r>
                </w:p>
              </w:tc>
              <w:tc>
                <w:tcPr>
                  <w:tcW w:w="862" w:type="dxa"/>
                </w:tcPr>
                <w:p w14:paraId="2791F153" w14:textId="64E7AD10" w:rsidR="00E02ABF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40.65</w:t>
                  </w:r>
                </w:p>
              </w:tc>
              <w:tc>
                <w:tcPr>
                  <w:tcW w:w="807" w:type="dxa"/>
                </w:tcPr>
                <w:p w14:paraId="24E3CAEE" w14:textId="26E7344D" w:rsidR="00E02ABF" w:rsidRPr="00842C1A" w:rsidRDefault="00F12806" w:rsidP="0001176B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38.54</w:t>
                  </w:r>
                </w:p>
              </w:tc>
            </w:tr>
          </w:tbl>
          <w:p w14:paraId="62EFF545" w14:textId="453E5262" w:rsidR="009F0D12" w:rsidRPr="00842C1A" w:rsidRDefault="009F0D12" w:rsidP="000F7E2C">
            <w:pPr>
              <w:jc w:val="both"/>
              <w:rPr>
                <w:b/>
                <w:sz w:val="13"/>
                <w:szCs w:val="13"/>
              </w:rPr>
            </w:pPr>
          </w:p>
        </w:tc>
      </w:tr>
    </w:tbl>
    <w:p w14:paraId="5C1E381E" w14:textId="36A09156" w:rsidR="00830F06" w:rsidRPr="00842C1A" w:rsidRDefault="00830F06" w:rsidP="000362B3">
      <w:pPr>
        <w:jc w:val="both"/>
        <w:rPr>
          <w:b/>
          <w:sz w:val="13"/>
          <w:szCs w:val="13"/>
        </w:rPr>
      </w:pPr>
    </w:p>
    <w:sectPr w:rsidR="00830F06" w:rsidRPr="00842C1A" w:rsidSect="00920D13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37B"/>
    <w:multiLevelType w:val="hybridMultilevel"/>
    <w:tmpl w:val="F432C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7E75FD"/>
    <w:multiLevelType w:val="hybridMultilevel"/>
    <w:tmpl w:val="9D1A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75878"/>
    <w:multiLevelType w:val="hybridMultilevel"/>
    <w:tmpl w:val="71B4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8"/>
    <w:rsid w:val="0001176B"/>
    <w:rsid w:val="000145A7"/>
    <w:rsid w:val="00022508"/>
    <w:rsid w:val="00026F5E"/>
    <w:rsid w:val="00034007"/>
    <w:rsid w:val="00034A52"/>
    <w:rsid w:val="000362B3"/>
    <w:rsid w:val="00056CE9"/>
    <w:rsid w:val="00066CC4"/>
    <w:rsid w:val="00071029"/>
    <w:rsid w:val="00071F4F"/>
    <w:rsid w:val="00096901"/>
    <w:rsid w:val="000A0372"/>
    <w:rsid w:val="000E0407"/>
    <w:rsid w:val="000E0631"/>
    <w:rsid w:val="000E0C3A"/>
    <w:rsid w:val="0012425D"/>
    <w:rsid w:val="0013332F"/>
    <w:rsid w:val="001366A3"/>
    <w:rsid w:val="001427CB"/>
    <w:rsid w:val="0014778C"/>
    <w:rsid w:val="0015239F"/>
    <w:rsid w:val="001654DC"/>
    <w:rsid w:val="00197A37"/>
    <w:rsid w:val="001A0951"/>
    <w:rsid w:val="001A4CD7"/>
    <w:rsid w:val="001A54DB"/>
    <w:rsid w:val="001C5C89"/>
    <w:rsid w:val="001E7B80"/>
    <w:rsid w:val="001F411C"/>
    <w:rsid w:val="001F4C8C"/>
    <w:rsid w:val="001F6872"/>
    <w:rsid w:val="00202280"/>
    <w:rsid w:val="00214834"/>
    <w:rsid w:val="00231ED5"/>
    <w:rsid w:val="00245DD4"/>
    <w:rsid w:val="002535D2"/>
    <w:rsid w:val="00254456"/>
    <w:rsid w:val="002551C8"/>
    <w:rsid w:val="00274740"/>
    <w:rsid w:val="002929B4"/>
    <w:rsid w:val="002947D2"/>
    <w:rsid w:val="0029559F"/>
    <w:rsid w:val="002B04FE"/>
    <w:rsid w:val="002D3CFC"/>
    <w:rsid w:val="002F3CA6"/>
    <w:rsid w:val="002F48F8"/>
    <w:rsid w:val="003073EA"/>
    <w:rsid w:val="003173DA"/>
    <w:rsid w:val="0033512A"/>
    <w:rsid w:val="00371C05"/>
    <w:rsid w:val="00375DB5"/>
    <w:rsid w:val="00384388"/>
    <w:rsid w:val="00392411"/>
    <w:rsid w:val="00392719"/>
    <w:rsid w:val="003B2587"/>
    <w:rsid w:val="003B3070"/>
    <w:rsid w:val="003D4B65"/>
    <w:rsid w:val="003E5DB4"/>
    <w:rsid w:val="003E7CA1"/>
    <w:rsid w:val="00401063"/>
    <w:rsid w:val="00411C48"/>
    <w:rsid w:val="00443ED9"/>
    <w:rsid w:val="00462682"/>
    <w:rsid w:val="004D3729"/>
    <w:rsid w:val="004D7282"/>
    <w:rsid w:val="004F2EAA"/>
    <w:rsid w:val="0050052A"/>
    <w:rsid w:val="00501519"/>
    <w:rsid w:val="00547B13"/>
    <w:rsid w:val="005509E7"/>
    <w:rsid w:val="0056019E"/>
    <w:rsid w:val="00575123"/>
    <w:rsid w:val="005A335E"/>
    <w:rsid w:val="005A72F9"/>
    <w:rsid w:val="005B16A4"/>
    <w:rsid w:val="005C11BA"/>
    <w:rsid w:val="005D6DDB"/>
    <w:rsid w:val="005E114B"/>
    <w:rsid w:val="0060598F"/>
    <w:rsid w:val="00640425"/>
    <w:rsid w:val="00674795"/>
    <w:rsid w:val="006774A0"/>
    <w:rsid w:val="006953F0"/>
    <w:rsid w:val="006A37B5"/>
    <w:rsid w:val="006A61A4"/>
    <w:rsid w:val="006C1408"/>
    <w:rsid w:val="006E2939"/>
    <w:rsid w:val="006E44B8"/>
    <w:rsid w:val="006E5EA1"/>
    <w:rsid w:val="006F0DB7"/>
    <w:rsid w:val="00704289"/>
    <w:rsid w:val="0076327C"/>
    <w:rsid w:val="00794E99"/>
    <w:rsid w:val="007B0685"/>
    <w:rsid w:val="007B2A6D"/>
    <w:rsid w:val="007B6409"/>
    <w:rsid w:val="007D4C34"/>
    <w:rsid w:val="007F4659"/>
    <w:rsid w:val="00802DA3"/>
    <w:rsid w:val="00804E00"/>
    <w:rsid w:val="00806665"/>
    <w:rsid w:val="00815FF3"/>
    <w:rsid w:val="00830F06"/>
    <w:rsid w:val="00832142"/>
    <w:rsid w:val="00835134"/>
    <w:rsid w:val="00841FF2"/>
    <w:rsid w:val="00842C1A"/>
    <w:rsid w:val="00857BC1"/>
    <w:rsid w:val="00860DEA"/>
    <w:rsid w:val="00874223"/>
    <w:rsid w:val="0089190C"/>
    <w:rsid w:val="008B72AE"/>
    <w:rsid w:val="008B796D"/>
    <w:rsid w:val="008C2798"/>
    <w:rsid w:val="008D49EF"/>
    <w:rsid w:val="00900789"/>
    <w:rsid w:val="009007A6"/>
    <w:rsid w:val="00911AF8"/>
    <w:rsid w:val="00913FF8"/>
    <w:rsid w:val="00915605"/>
    <w:rsid w:val="00920D13"/>
    <w:rsid w:val="00923CAB"/>
    <w:rsid w:val="00924700"/>
    <w:rsid w:val="00987512"/>
    <w:rsid w:val="009A4F52"/>
    <w:rsid w:val="009C57C6"/>
    <w:rsid w:val="009D5A45"/>
    <w:rsid w:val="009D7A72"/>
    <w:rsid w:val="009F0D12"/>
    <w:rsid w:val="009F2E51"/>
    <w:rsid w:val="009F39E0"/>
    <w:rsid w:val="009F74C2"/>
    <w:rsid w:val="00A008CA"/>
    <w:rsid w:val="00A0165D"/>
    <w:rsid w:val="00A30926"/>
    <w:rsid w:val="00A56542"/>
    <w:rsid w:val="00A603A6"/>
    <w:rsid w:val="00A63E9D"/>
    <w:rsid w:val="00A8460D"/>
    <w:rsid w:val="00A85575"/>
    <w:rsid w:val="00AA0C48"/>
    <w:rsid w:val="00AA5ED5"/>
    <w:rsid w:val="00AB003F"/>
    <w:rsid w:val="00AB2EAC"/>
    <w:rsid w:val="00AC6D0C"/>
    <w:rsid w:val="00AF2149"/>
    <w:rsid w:val="00B22327"/>
    <w:rsid w:val="00B33512"/>
    <w:rsid w:val="00B502EC"/>
    <w:rsid w:val="00B73900"/>
    <w:rsid w:val="00B7642F"/>
    <w:rsid w:val="00B87084"/>
    <w:rsid w:val="00B94DBA"/>
    <w:rsid w:val="00BA6F89"/>
    <w:rsid w:val="00BA7CED"/>
    <w:rsid w:val="00BB3908"/>
    <w:rsid w:val="00BB61F8"/>
    <w:rsid w:val="00BC13CE"/>
    <w:rsid w:val="00BC5E50"/>
    <w:rsid w:val="00BD126F"/>
    <w:rsid w:val="00BF2DE5"/>
    <w:rsid w:val="00C07747"/>
    <w:rsid w:val="00C15E83"/>
    <w:rsid w:val="00C161B3"/>
    <w:rsid w:val="00C2195E"/>
    <w:rsid w:val="00C352F3"/>
    <w:rsid w:val="00C417E1"/>
    <w:rsid w:val="00C441B3"/>
    <w:rsid w:val="00C8063B"/>
    <w:rsid w:val="00C9117C"/>
    <w:rsid w:val="00CE4435"/>
    <w:rsid w:val="00CF27D4"/>
    <w:rsid w:val="00CF2F28"/>
    <w:rsid w:val="00CF6BDE"/>
    <w:rsid w:val="00D16B81"/>
    <w:rsid w:val="00D34136"/>
    <w:rsid w:val="00D363A8"/>
    <w:rsid w:val="00D570FE"/>
    <w:rsid w:val="00D60F91"/>
    <w:rsid w:val="00D636EF"/>
    <w:rsid w:val="00D64477"/>
    <w:rsid w:val="00DA56AC"/>
    <w:rsid w:val="00DB17FB"/>
    <w:rsid w:val="00DB5A10"/>
    <w:rsid w:val="00E02ABF"/>
    <w:rsid w:val="00E14AC6"/>
    <w:rsid w:val="00E349B1"/>
    <w:rsid w:val="00E3542E"/>
    <w:rsid w:val="00E40BA9"/>
    <w:rsid w:val="00E46573"/>
    <w:rsid w:val="00E51FAC"/>
    <w:rsid w:val="00E5675C"/>
    <w:rsid w:val="00E8555E"/>
    <w:rsid w:val="00E90970"/>
    <w:rsid w:val="00E96739"/>
    <w:rsid w:val="00EA31B0"/>
    <w:rsid w:val="00EA4E2F"/>
    <w:rsid w:val="00EA5213"/>
    <w:rsid w:val="00EA6E53"/>
    <w:rsid w:val="00EC2755"/>
    <w:rsid w:val="00EC50E6"/>
    <w:rsid w:val="00EC75B4"/>
    <w:rsid w:val="00EF303F"/>
    <w:rsid w:val="00F042AA"/>
    <w:rsid w:val="00F04E1E"/>
    <w:rsid w:val="00F12806"/>
    <w:rsid w:val="00F41BA6"/>
    <w:rsid w:val="00F54548"/>
    <w:rsid w:val="00F56067"/>
    <w:rsid w:val="00F61AE2"/>
    <w:rsid w:val="00F65A7F"/>
    <w:rsid w:val="00F7270D"/>
    <w:rsid w:val="00F77D0C"/>
    <w:rsid w:val="00F856C9"/>
    <w:rsid w:val="00F92EDE"/>
    <w:rsid w:val="00F96F5E"/>
    <w:rsid w:val="00FA7540"/>
    <w:rsid w:val="00FB2352"/>
    <w:rsid w:val="00FC20D0"/>
    <w:rsid w:val="00FC33EF"/>
    <w:rsid w:val="00FC4084"/>
    <w:rsid w:val="00FF2C25"/>
    <w:rsid w:val="00FF480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F21C9-F410-4D22-A9FE-967885C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Alex Sadowski</cp:lastModifiedBy>
  <cp:revision>12</cp:revision>
  <cp:lastPrinted>2015-11-18T23:54:00Z</cp:lastPrinted>
  <dcterms:created xsi:type="dcterms:W3CDTF">2015-11-13T01:14:00Z</dcterms:created>
  <dcterms:modified xsi:type="dcterms:W3CDTF">2015-11-18T23:55:00Z</dcterms:modified>
</cp:coreProperties>
</file>