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700" w:type="dxa"/>
        <w:tblInd w:w="-1332" w:type="dxa"/>
        <w:tblLayout w:type="fixed"/>
        <w:tblLook w:val="04A0" w:firstRow="1" w:lastRow="0" w:firstColumn="1" w:lastColumn="0" w:noHBand="0" w:noVBand="1"/>
      </w:tblPr>
      <w:tblGrid>
        <w:gridCol w:w="3283"/>
        <w:gridCol w:w="2977"/>
        <w:gridCol w:w="2835"/>
        <w:gridCol w:w="2605"/>
      </w:tblGrid>
      <w:tr w:rsidR="00BD22CE" w:rsidRPr="00E5675C" w14:paraId="3AA29E37" w14:textId="77777777" w:rsidTr="00920E56">
        <w:trPr>
          <w:trHeight w:val="80"/>
        </w:trPr>
        <w:tc>
          <w:tcPr>
            <w:tcW w:w="3283" w:type="dxa"/>
            <w:shd w:val="clear" w:color="auto" w:fill="365F91" w:themeFill="accent1" w:themeFillShade="BF"/>
          </w:tcPr>
          <w:p w14:paraId="2E49CA38" w14:textId="08AC60A7" w:rsidR="000E4C0C" w:rsidRPr="00E8555E" w:rsidRDefault="00E8555E" w:rsidP="00920E56">
            <w:pPr>
              <w:rPr>
                <w:b/>
                <w:color w:val="FFFFFF" w:themeColor="background1"/>
                <w:sz w:val="16"/>
                <w:szCs w:val="16"/>
                <w:lang w:eastAsia="zh-CN"/>
              </w:rPr>
            </w:pPr>
            <w:r w:rsidRPr="00E8555E">
              <w:rPr>
                <w:b/>
                <w:color w:val="FFFFFF" w:themeColor="background1"/>
                <w:sz w:val="16"/>
                <w:szCs w:val="16"/>
              </w:rPr>
              <w:t xml:space="preserve">Company: </w:t>
            </w:r>
            <w:r w:rsidR="0010720B">
              <w:rPr>
                <w:b/>
                <w:color w:val="FFFFFF" w:themeColor="background1"/>
                <w:sz w:val="16"/>
                <w:szCs w:val="16"/>
              </w:rPr>
              <w:t xml:space="preserve"> </w:t>
            </w:r>
            <w:r w:rsidR="00920E56">
              <w:rPr>
                <w:b/>
                <w:color w:val="FFFFFF" w:themeColor="background1"/>
                <w:sz w:val="16"/>
                <w:szCs w:val="16"/>
                <w:lang w:eastAsia="zh-CN"/>
              </w:rPr>
              <w:t>Starbucks</w:t>
            </w:r>
          </w:p>
        </w:tc>
        <w:tc>
          <w:tcPr>
            <w:tcW w:w="2977" w:type="dxa"/>
            <w:shd w:val="clear" w:color="auto" w:fill="365F91" w:themeFill="accent1" w:themeFillShade="BF"/>
          </w:tcPr>
          <w:p w14:paraId="5FDF97F0" w14:textId="05F4181E" w:rsidR="00E8555E" w:rsidRPr="00E8555E" w:rsidRDefault="00E8555E">
            <w:pPr>
              <w:rPr>
                <w:color w:val="FFFFFF" w:themeColor="background1"/>
                <w:sz w:val="16"/>
                <w:szCs w:val="16"/>
                <w:lang w:eastAsia="zh-CN"/>
              </w:rPr>
            </w:pPr>
            <w:r>
              <w:rPr>
                <w:color w:val="FFFFFF" w:themeColor="background1"/>
                <w:sz w:val="16"/>
                <w:szCs w:val="16"/>
              </w:rPr>
              <w:t xml:space="preserve">Ticker:  </w:t>
            </w:r>
            <w:r w:rsidR="006E75EA">
              <w:rPr>
                <w:color w:val="FFFFFF" w:themeColor="background1"/>
                <w:sz w:val="16"/>
                <w:szCs w:val="16"/>
              </w:rPr>
              <w:t>SBUX</w:t>
            </w:r>
            <w:r w:rsidR="00BD22CE">
              <w:rPr>
                <w:color w:val="FFFFFF" w:themeColor="background1"/>
                <w:sz w:val="16"/>
                <w:szCs w:val="16"/>
              </w:rPr>
              <w:t xml:space="preserve">     </w:t>
            </w:r>
            <w:r>
              <w:rPr>
                <w:color w:val="FFFFFF" w:themeColor="background1"/>
                <w:sz w:val="16"/>
                <w:szCs w:val="16"/>
              </w:rPr>
              <w:t xml:space="preserve"> Current Price:</w:t>
            </w:r>
            <w:r w:rsidR="00CA4BBF">
              <w:rPr>
                <w:color w:val="FFFFFF" w:themeColor="background1"/>
                <w:sz w:val="16"/>
                <w:szCs w:val="16"/>
              </w:rPr>
              <w:t xml:space="preserve"> $</w:t>
            </w:r>
            <w:r w:rsidR="00920E56">
              <w:rPr>
                <w:rFonts w:hint="eastAsia"/>
                <w:color w:val="FFFFFF" w:themeColor="background1"/>
                <w:sz w:val="16"/>
                <w:szCs w:val="16"/>
                <w:lang w:eastAsia="zh-CN"/>
              </w:rPr>
              <w:t>57.63</w:t>
            </w:r>
          </w:p>
        </w:tc>
        <w:tc>
          <w:tcPr>
            <w:tcW w:w="2835" w:type="dxa"/>
            <w:shd w:val="clear" w:color="auto" w:fill="365F91" w:themeFill="accent1" w:themeFillShade="BF"/>
          </w:tcPr>
          <w:p w14:paraId="1FD4CAF9" w14:textId="3BD4ADFB" w:rsidR="00E8555E" w:rsidRPr="00E8555E" w:rsidRDefault="00E8555E">
            <w:pPr>
              <w:rPr>
                <w:color w:val="FFFFFF" w:themeColor="background1"/>
                <w:sz w:val="16"/>
                <w:szCs w:val="16"/>
                <w:lang w:eastAsia="zh-CN"/>
              </w:rPr>
            </w:pPr>
            <w:r>
              <w:rPr>
                <w:color w:val="FFFFFF" w:themeColor="background1"/>
                <w:sz w:val="16"/>
                <w:szCs w:val="16"/>
              </w:rPr>
              <w:t>Industry:</w:t>
            </w:r>
            <w:r w:rsidR="00920E56">
              <w:rPr>
                <w:color w:val="FFFFFF" w:themeColor="background1"/>
                <w:sz w:val="16"/>
                <w:szCs w:val="16"/>
              </w:rPr>
              <w:t xml:space="preserve"> Consumer Discretionary</w:t>
            </w:r>
          </w:p>
        </w:tc>
        <w:tc>
          <w:tcPr>
            <w:tcW w:w="2605" w:type="dxa"/>
            <w:shd w:val="clear" w:color="auto" w:fill="365F91" w:themeFill="accent1" w:themeFillShade="BF"/>
          </w:tcPr>
          <w:p w14:paraId="417B84CE" w14:textId="568B5524" w:rsidR="00E8555E" w:rsidRPr="00E8555E" w:rsidRDefault="00E8555E" w:rsidP="00920E56">
            <w:pPr>
              <w:rPr>
                <w:color w:val="FFFFFF" w:themeColor="background1"/>
                <w:sz w:val="16"/>
                <w:szCs w:val="16"/>
                <w:lang w:eastAsia="zh-CN"/>
              </w:rPr>
            </w:pPr>
            <w:r>
              <w:rPr>
                <w:color w:val="FFFFFF" w:themeColor="background1"/>
                <w:sz w:val="16"/>
                <w:szCs w:val="16"/>
              </w:rPr>
              <w:t xml:space="preserve">Sub Industry: </w:t>
            </w:r>
            <w:r w:rsidR="00920E56">
              <w:rPr>
                <w:color w:val="FFFFFF" w:themeColor="background1"/>
                <w:sz w:val="16"/>
                <w:szCs w:val="16"/>
                <w:lang w:eastAsia="zh-CN"/>
              </w:rPr>
              <w:t>Restaurants</w:t>
            </w:r>
            <w:r w:rsidR="00BD22CE" w:rsidRPr="00BD22CE">
              <w:rPr>
                <w:color w:val="FFFFFF" w:themeColor="background1"/>
                <w:sz w:val="16"/>
                <w:szCs w:val="16"/>
                <w:lang w:eastAsia="zh-CN"/>
              </w:rPr>
              <w:t> </w:t>
            </w:r>
          </w:p>
        </w:tc>
      </w:tr>
      <w:tr w:rsidR="00BD22CE" w:rsidRPr="00E5675C" w14:paraId="185E94E4" w14:textId="77777777" w:rsidTr="00920E56">
        <w:trPr>
          <w:trHeight w:val="512"/>
        </w:trPr>
        <w:tc>
          <w:tcPr>
            <w:tcW w:w="3283" w:type="dxa"/>
          </w:tcPr>
          <w:p w14:paraId="159CAB82" w14:textId="0BECBA68" w:rsidR="00E8555E" w:rsidRDefault="00E8555E" w:rsidP="00E8555E">
            <w:pPr>
              <w:rPr>
                <w:sz w:val="16"/>
                <w:szCs w:val="16"/>
                <w:lang w:eastAsia="zh-CN"/>
              </w:rPr>
            </w:pPr>
            <w:r>
              <w:rPr>
                <w:sz w:val="16"/>
                <w:szCs w:val="16"/>
              </w:rPr>
              <w:t>Target Price</w:t>
            </w:r>
            <w:r w:rsidR="00C161B3">
              <w:rPr>
                <w:sz w:val="16"/>
                <w:szCs w:val="16"/>
              </w:rPr>
              <w:t>:</w:t>
            </w:r>
            <w:r w:rsidR="00D8492B">
              <w:rPr>
                <w:sz w:val="16"/>
                <w:szCs w:val="16"/>
              </w:rPr>
              <w:t xml:space="preserve"> $</w:t>
            </w:r>
            <w:r w:rsidR="00920E56">
              <w:rPr>
                <w:rFonts w:hint="eastAsia"/>
                <w:sz w:val="16"/>
                <w:szCs w:val="16"/>
                <w:lang w:eastAsia="zh-CN"/>
              </w:rPr>
              <w:t>68</w:t>
            </w:r>
          </w:p>
          <w:p w14:paraId="366C508D" w14:textId="53B69600" w:rsidR="00E8555E" w:rsidRPr="00E5675C" w:rsidRDefault="00C161B3" w:rsidP="00E8555E">
            <w:pPr>
              <w:rPr>
                <w:sz w:val="16"/>
                <w:szCs w:val="16"/>
                <w:lang w:eastAsia="zh-CN"/>
              </w:rPr>
            </w:pPr>
            <w:r>
              <w:rPr>
                <w:sz w:val="16"/>
                <w:szCs w:val="16"/>
              </w:rPr>
              <w:t>Stop Loss:</w:t>
            </w:r>
            <w:r w:rsidR="00287C09">
              <w:rPr>
                <w:sz w:val="16"/>
                <w:szCs w:val="16"/>
              </w:rPr>
              <w:t xml:space="preserve"> $</w:t>
            </w:r>
            <w:r w:rsidR="00D52F55">
              <w:rPr>
                <w:sz w:val="16"/>
                <w:szCs w:val="16"/>
                <w:lang w:eastAsia="zh-CN"/>
              </w:rPr>
              <w:t>46.1</w:t>
            </w:r>
          </w:p>
          <w:p w14:paraId="7E50A51D" w14:textId="45BD3686" w:rsidR="006E44B8" w:rsidRPr="00E5675C" w:rsidRDefault="00E8555E" w:rsidP="00E8555E">
            <w:pPr>
              <w:rPr>
                <w:sz w:val="16"/>
                <w:szCs w:val="16"/>
                <w:lang w:eastAsia="zh-CN"/>
              </w:rPr>
            </w:pPr>
            <w:r>
              <w:rPr>
                <w:sz w:val="16"/>
                <w:szCs w:val="16"/>
              </w:rPr>
              <w:t xml:space="preserve">52 Week High/ Low: </w:t>
            </w:r>
            <w:r w:rsidR="008304CC">
              <w:rPr>
                <w:sz w:val="16"/>
                <w:szCs w:val="16"/>
              </w:rPr>
              <w:t>$</w:t>
            </w:r>
            <w:r w:rsidR="00D52F55">
              <w:rPr>
                <w:rFonts w:hint="eastAsia"/>
                <w:sz w:val="16"/>
                <w:szCs w:val="16"/>
                <w:lang w:eastAsia="zh-CN"/>
              </w:rPr>
              <w:t>42.05</w:t>
            </w:r>
            <w:r w:rsidR="00747220">
              <w:rPr>
                <w:rFonts w:hint="eastAsia"/>
                <w:sz w:val="16"/>
                <w:szCs w:val="16"/>
                <w:lang w:eastAsia="zh-CN"/>
              </w:rPr>
              <w:t>-</w:t>
            </w:r>
            <w:r w:rsidR="00D52F55">
              <w:rPr>
                <w:sz w:val="16"/>
                <w:szCs w:val="16"/>
                <w:lang w:eastAsia="zh-CN"/>
              </w:rPr>
              <w:t>64.00</w:t>
            </w:r>
          </w:p>
        </w:tc>
        <w:tc>
          <w:tcPr>
            <w:tcW w:w="2977" w:type="dxa"/>
          </w:tcPr>
          <w:p w14:paraId="461A4200" w14:textId="0E5510CF" w:rsidR="00E8555E" w:rsidRDefault="00E8555E" w:rsidP="00E8555E">
            <w:pPr>
              <w:rPr>
                <w:sz w:val="16"/>
                <w:szCs w:val="16"/>
                <w:lang w:eastAsia="zh-CN"/>
              </w:rPr>
            </w:pPr>
            <w:r>
              <w:rPr>
                <w:sz w:val="16"/>
                <w:szCs w:val="16"/>
              </w:rPr>
              <w:t xml:space="preserve">TTM P/E: </w:t>
            </w:r>
            <w:r w:rsidR="00920E56">
              <w:rPr>
                <w:rFonts w:hint="eastAsia"/>
                <w:sz w:val="16"/>
                <w:szCs w:val="16"/>
                <w:lang w:eastAsia="zh-CN"/>
              </w:rPr>
              <w:t>34.3</w:t>
            </w:r>
          </w:p>
          <w:p w14:paraId="7862C274" w14:textId="00652735" w:rsidR="00E8555E" w:rsidRPr="00FC20D0" w:rsidRDefault="00E8555E" w:rsidP="00E8555E">
            <w:pPr>
              <w:rPr>
                <w:sz w:val="16"/>
                <w:szCs w:val="16"/>
                <w:highlight w:val="yellow"/>
                <w:lang w:eastAsia="zh-CN"/>
              </w:rPr>
            </w:pPr>
            <w:r>
              <w:rPr>
                <w:sz w:val="16"/>
                <w:szCs w:val="16"/>
              </w:rPr>
              <w:t xml:space="preserve">Forward P/E: </w:t>
            </w:r>
            <w:r w:rsidR="00D52F55">
              <w:rPr>
                <w:sz w:val="16"/>
                <w:szCs w:val="16"/>
              </w:rPr>
              <w:t>29.7</w:t>
            </w:r>
          </w:p>
          <w:p w14:paraId="5AA3FEF7" w14:textId="27C70C73" w:rsidR="006E44B8" w:rsidRPr="00E5675C" w:rsidRDefault="00E8555E" w:rsidP="00E8555E">
            <w:pPr>
              <w:rPr>
                <w:sz w:val="16"/>
                <w:szCs w:val="16"/>
                <w:lang w:eastAsia="zh-CN"/>
              </w:rPr>
            </w:pPr>
            <w:r>
              <w:rPr>
                <w:sz w:val="16"/>
                <w:szCs w:val="16"/>
              </w:rPr>
              <w:t xml:space="preserve">EPS: </w:t>
            </w:r>
            <w:r w:rsidR="00D52F55">
              <w:rPr>
                <w:sz w:val="16"/>
                <w:szCs w:val="16"/>
              </w:rPr>
              <w:t>$1.63</w:t>
            </w:r>
          </w:p>
        </w:tc>
        <w:tc>
          <w:tcPr>
            <w:tcW w:w="2835" w:type="dxa"/>
          </w:tcPr>
          <w:p w14:paraId="25238E11" w14:textId="77CF5CF0" w:rsidR="00E8555E" w:rsidRDefault="00923CAB" w:rsidP="00E8555E">
            <w:pPr>
              <w:rPr>
                <w:sz w:val="16"/>
                <w:szCs w:val="16"/>
                <w:lang w:eastAsia="zh-CN"/>
              </w:rPr>
            </w:pPr>
            <w:r>
              <w:rPr>
                <w:sz w:val="16"/>
                <w:szCs w:val="16"/>
              </w:rPr>
              <w:t xml:space="preserve">Beta: </w:t>
            </w:r>
            <w:r w:rsidR="00D52F55">
              <w:rPr>
                <w:rFonts w:hint="eastAsia"/>
                <w:sz w:val="16"/>
                <w:szCs w:val="16"/>
                <w:lang w:eastAsia="zh-CN"/>
              </w:rPr>
              <w:t>0.77</w:t>
            </w:r>
          </w:p>
          <w:p w14:paraId="61C6D51C" w14:textId="00DE9EC0" w:rsidR="00A30926" w:rsidRDefault="00E8555E" w:rsidP="00E8555E">
            <w:pPr>
              <w:rPr>
                <w:sz w:val="16"/>
                <w:szCs w:val="16"/>
                <w:lang w:eastAsia="zh-CN"/>
              </w:rPr>
            </w:pPr>
            <w:r>
              <w:rPr>
                <w:sz w:val="16"/>
                <w:szCs w:val="16"/>
              </w:rPr>
              <w:t>Credit Rating:</w:t>
            </w:r>
            <w:r w:rsidR="00EB7E76">
              <w:rPr>
                <w:sz w:val="16"/>
                <w:szCs w:val="16"/>
              </w:rPr>
              <w:t xml:space="preserve"> </w:t>
            </w:r>
            <w:r w:rsidR="009C3267">
              <w:rPr>
                <w:sz w:val="16"/>
                <w:szCs w:val="16"/>
              </w:rPr>
              <w:t>A-</w:t>
            </w:r>
          </w:p>
          <w:p w14:paraId="5BFE3D7B" w14:textId="777CEAD6" w:rsidR="003073EA" w:rsidRPr="00E5675C" w:rsidRDefault="003073EA" w:rsidP="00E8555E">
            <w:pPr>
              <w:rPr>
                <w:sz w:val="16"/>
                <w:szCs w:val="16"/>
                <w:lang w:eastAsia="zh-CN"/>
              </w:rPr>
            </w:pPr>
            <w:r>
              <w:rPr>
                <w:sz w:val="16"/>
                <w:szCs w:val="16"/>
              </w:rPr>
              <w:t xml:space="preserve">Rating Outlook: </w:t>
            </w:r>
            <w:r w:rsidR="009C3267">
              <w:rPr>
                <w:sz w:val="16"/>
                <w:szCs w:val="16"/>
              </w:rPr>
              <w:t>Stable</w:t>
            </w:r>
          </w:p>
        </w:tc>
        <w:tc>
          <w:tcPr>
            <w:tcW w:w="2605" w:type="dxa"/>
          </w:tcPr>
          <w:p w14:paraId="438980BC" w14:textId="0B7ED9C5" w:rsidR="006E44B8" w:rsidRDefault="0013332F">
            <w:pPr>
              <w:rPr>
                <w:sz w:val="16"/>
                <w:szCs w:val="16"/>
              </w:rPr>
            </w:pPr>
            <w:r>
              <w:rPr>
                <w:sz w:val="16"/>
                <w:szCs w:val="16"/>
              </w:rPr>
              <w:t xml:space="preserve">Market Cap: </w:t>
            </w:r>
            <w:r w:rsidR="00287C09">
              <w:rPr>
                <w:sz w:val="16"/>
                <w:szCs w:val="16"/>
              </w:rPr>
              <w:t>$</w:t>
            </w:r>
            <w:r w:rsidR="00D52F55">
              <w:rPr>
                <w:rFonts w:hint="eastAsia"/>
                <w:sz w:val="16"/>
                <w:szCs w:val="16"/>
                <w:lang w:eastAsia="zh-CN"/>
              </w:rPr>
              <w:t>85.18</w:t>
            </w:r>
            <w:r w:rsidR="00F56E16">
              <w:rPr>
                <w:sz w:val="16"/>
                <w:szCs w:val="16"/>
              </w:rPr>
              <w:t>(B)</w:t>
            </w:r>
          </w:p>
          <w:p w14:paraId="37B82920" w14:textId="3F94649F" w:rsidR="00C441B3" w:rsidRPr="00501519" w:rsidRDefault="00501519">
            <w:pPr>
              <w:rPr>
                <w:rFonts w:asciiTheme="majorHAnsi" w:hAnsiTheme="majorHAnsi"/>
                <w:sz w:val="16"/>
                <w:szCs w:val="16"/>
              </w:rPr>
            </w:pPr>
            <w:proofErr w:type="spellStart"/>
            <w:r w:rsidRPr="00501519">
              <w:rPr>
                <w:rFonts w:asciiTheme="majorHAnsi" w:hAnsiTheme="majorHAnsi" w:cs="UniversLTStd-BoldCn"/>
                <w:bCs/>
                <w:sz w:val="16"/>
                <w:szCs w:val="16"/>
              </w:rPr>
              <w:t>Avg</w:t>
            </w:r>
            <w:proofErr w:type="spellEnd"/>
            <w:r w:rsidRPr="00501519">
              <w:rPr>
                <w:rFonts w:asciiTheme="majorHAnsi" w:hAnsiTheme="majorHAnsi" w:cs="UniversLTStd-BoldCn"/>
                <w:bCs/>
                <w:sz w:val="16"/>
                <w:szCs w:val="16"/>
              </w:rPr>
              <w:t xml:space="preserve"> </w:t>
            </w:r>
            <w:proofErr w:type="spellStart"/>
            <w:r w:rsidRPr="00501519">
              <w:rPr>
                <w:rFonts w:asciiTheme="majorHAnsi" w:hAnsiTheme="majorHAnsi" w:cs="UniversLTStd-BoldCn"/>
                <w:bCs/>
                <w:sz w:val="16"/>
                <w:szCs w:val="16"/>
              </w:rPr>
              <w:t>Vol</w:t>
            </w:r>
            <w:proofErr w:type="spellEnd"/>
            <w:r w:rsidRPr="00501519">
              <w:rPr>
                <w:rFonts w:asciiTheme="majorHAnsi" w:hAnsiTheme="majorHAnsi" w:cs="UniversLTStd-BoldCn"/>
                <w:bCs/>
                <w:sz w:val="16"/>
                <w:szCs w:val="16"/>
              </w:rPr>
              <w:t xml:space="preserve"> (</w:t>
            </w:r>
            <w:r w:rsidR="008304CC">
              <w:rPr>
                <w:rFonts w:asciiTheme="majorHAnsi" w:hAnsiTheme="majorHAnsi" w:cs="UniversLTStd-BoldCn" w:hint="eastAsia"/>
                <w:bCs/>
                <w:sz w:val="16"/>
                <w:szCs w:val="16"/>
                <w:lang w:eastAsia="zh-CN"/>
              </w:rPr>
              <w:t>3</w:t>
            </w:r>
            <w:r w:rsidR="00C441B3" w:rsidRPr="00501519">
              <w:rPr>
                <w:rFonts w:asciiTheme="majorHAnsi" w:hAnsiTheme="majorHAnsi" w:cs="UniversLTStd-BoldCn"/>
                <w:bCs/>
                <w:sz w:val="16"/>
                <w:szCs w:val="16"/>
              </w:rPr>
              <w:t xml:space="preserve"> M</w:t>
            </w:r>
            <w:r w:rsidRPr="00501519">
              <w:rPr>
                <w:rFonts w:asciiTheme="majorHAnsi" w:hAnsiTheme="majorHAnsi" w:cs="UniversLTStd-BoldCn"/>
                <w:bCs/>
                <w:sz w:val="16"/>
                <w:szCs w:val="16"/>
              </w:rPr>
              <w:t>onth</w:t>
            </w:r>
            <w:r w:rsidR="00C441B3" w:rsidRPr="00501519">
              <w:rPr>
                <w:rFonts w:asciiTheme="majorHAnsi" w:hAnsiTheme="majorHAnsi" w:cs="UniversLTStd-BoldCn"/>
                <w:bCs/>
                <w:sz w:val="16"/>
                <w:szCs w:val="16"/>
              </w:rPr>
              <w:t>)</w:t>
            </w:r>
            <w:r w:rsidR="00BF2DE5" w:rsidRPr="00501519">
              <w:rPr>
                <w:rFonts w:asciiTheme="majorHAnsi" w:hAnsiTheme="majorHAnsi" w:cs="UniversLTStd-BoldCn"/>
                <w:bCs/>
                <w:sz w:val="16"/>
                <w:szCs w:val="16"/>
              </w:rPr>
              <w:t>:</w:t>
            </w:r>
            <w:r w:rsidR="00F56E16">
              <w:rPr>
                <w:rFonts w:asciiTheme="majorHAnsi" w:hAnsiTheme="majorHAnsi" w:cs="UniversLTStd-BoldCn"/>
                <w:bCs/>
                <w:sz w:val="16"/>
                <w:szCs w:val="16"/>
              </w:rPr>
              <w:t xml:space="preserve"> </w:t>
            </w:r>
            <w:r w:rsidR="008304CC">
              <w:rPr>
                <w:rFonts w:asciiTheme="majorHAnsi" w:hAnsiTheme="majorHAnsi" w:cs="UniversLTStd-BoldCn"/>
                <w:bCs/>
                <w:sz w:val="16"/>
                <w:szCs w:val="16"/>
              </w:rPr>
              <w:t xml:space="preserve"> </w:t>
            </w:r>
            <w:r w:rsidR="00D52F55">
              <w:rPr>
                <w:rFonts w:asciiTheme="majorHAnsi" w:hAnsiTheme="majorHAnsi" w:cs="UniversLTStd-BoldCn" w:hint="eastAsia"/>
                <w:bCs/>
                <w:sz w:val="16"/>
                <w:szCs w:val="16"/>
                <w:lang w:eastAsia="zh-CN"/>
              </w:rPr>
              <w:t>10.66</w:t>
            </w:r>
            <w:r w:rsidR="00AB159E">
              <w:rPr>
                <w:rFonts w:asciiTheme="majorHAnsi" w:hAnsiTheme="majorHAnsi" w:cs="UniversLTStd-BoldCn"/>
                <w:bCs/>
                <w:sz w:val="16"/>
                <w:szCs w:val="16"/>
              </w:rPr>
              <w:t xml:space="preserve"> mil</w:t>
            </w:r>
          </w:p>
          <w:p w14:paraId="0D1C791A" w14:textId="182EB12B" w:rsidR="00E5675C" w:rsidRPr="00E5675C" w:rsidRDefault="00E5675C" w:rsidP="00BF2DE5">
            <w:pPr>
              <w:rPr>
                <w:sz w:val="16"/>
                <w:szCs w:val="16"/>
              </w:rPr>
            </w:pPr>
            <w:r>
              <w:rPr>
                <w:sz w:val="16"/>
                <w:szCs w:val="16"/>
              </w:rPr>
              <w:t xml:space="preserve">Dividend Yield: </w:t>
            </w:r>
            <w:r w:rsidR="00D52F55">
              <w:rPr>
                <w:rFonts w:hint="eastAsia"/>
                <w:sz w:val="16"/>
                <w:szCs w:val="16"/>
                <w:lang w:eastAsia="zh-CN"/>
              </w:rPr>
              <w:t>1.43</w:t>
            </w:r>
            <w:r w:rsidR="00D8492B">
              <w:rPr>
                <w:sz w:val="16"/>
                <w:szCs w:val="16"/>
              </w:rPr>
              <w:t>%</w:t>
            </w:r>
          </w:p>
        </w:tc>
      </w:tr>
    </w:tbl>
    <w:p w14:paraId="4F402887" w14:textId="77777777" w:rsidR="00443ED9" w:rsidRDefault="00443ED9" w:rsidP="005E114B">
      <w:pPr>
        <w:rPr>
          <w:sz w:val="16"/>
          <w:szCs w:val="16"/>
        </w:rPr>
      </w:pPr>
    </w:p>
    <w:tbl>
      <w:tblPr>
        <w:tblStyle w:val="TableGrid"/>
        <w:tblW w:w="11700" w:type="dxa"/>
        <w:tblInd w:w="-1332" w:type="dxa"/>
        <w:tblLook w:val="04A0" w:firstRow="1" w:lastRow="0" w:firstColumn="1" w:lastColumn="0" w:noHBand="0" w:noVBand="1"/>
      </w:tblPr>
      <w:tblGrid>
        <w:gridCol w:w="11700"/>
      </w:tblGrid>
      <w:tr w:rsidR="00DB5A10" w14:paraId="311194DC" w14:textId="77777777" w:rsidTr="00DB5A10">
        <w:trPr>
          <w:trHeight w:val="197"/>
        </w:trPr>
        <w:tc>
          <w:tcPr>
            <w:tcW w:w="11700" w:type="dxa"/>
            <w:shd w:val="clear" w:color="auto" w:fill="365F91" w:themeFill="accent1" w:themeFillShade="BF"/>
          </w:tcPr>
          <w:p w14:paraId="14342F91" w14:textId="5A8BBA7A" w:rsidR="00DB5A10" w:rsidRPr="00DB5A10" w:rsidRDefault="00DB5A10" w:rsidP="00DB5A10">
            <w:pPr>
              <w:tabs>
                <w:tab w:val="left" w:pos="3690"/>
              </w:tabs>
              <w:jc w:val="both"/>
              <w:rPr>
                <w:color w:val="FFFFFF" w:themeColor="background1"/>
                <w:sz w:val="16"/>
                <w:szCs w:val="16"/>
              </w:rPr>
            </w:pPr>
            <w:r w:rsidRPr="00DB5A10">
              <w:rPr>
                <w:b/>
                <w:color w:val="FFFFFF" w:themeColor="background1"/>
                <w:sz w:val="16"/>
                <w:szCs w:val="16"/>
              </w:rPr>
              <w:t xml:space="preserve">Company Background:  </w:t>
            </w:r>
            <w:r w:rsidRPr="00DB5A10">
              <w:rPr>
                <w:b/>
                <w:color w:val="FFFFFF" w:themeColor="background1"/>
                <w:sz w:val="16"/>
                <w:szCs w:val="16"/>
              </w:rPr>
              <w:tab/>
            </w:r>
          </w:p>
        </w:tc>
      </w:tr>
      <w:tr w:rsidR="00DB5A10" w14:paraId="325C88BE" w14:textId="77777777" w:rsidTr="00DB5A10">
        <w:tc>
          <w:tcPr>
            <w:tcW w:w="11700" w:type="dxa"/>
          </w:tcPr>
          <w:p w14:paraId="6DA30C88" w14:textId="77777777" w:rsidR="00D04F99" w:rsidRDefault="00D04F99" w:rsidP="005E114B">
            <w:pPr>
              <w:rPr>
                <w:sz w:val="16"/>
                <w:szCs w:val="16"/>
              </w:rPr>
            </w:pPr>
          </w:p>
          <w:p w14:paraId="7912D456" w14:textId="1FE3BC04" w:rsidR="004B0ACB" w:rsidRPr="004B0ACB" w:rsidRDefault="004E4FA4" w:rsidP="004B0ACB">
            <w:pPr>
              <w:rPr>
                <w:sz w:val="16"/>
                <w:szCs w:val="16"/>
                <w:lang w:eastAsia="zh-CN"/>
              </w:rPr>
            </w:pPr>
            <w:r w:rsidRPr="004E4FA4">
              <w:rPr>
                <w:sz w:val="16"/>
                <w:szCs w:val="16"/>
                <w:lang w:eastAsia="zh-CN"/>
              </w:rPr>
              <w:t>Starbucks is a leading retailer of specialty coff</w:t>
            </w:r>
            <w:r w:rsidR="00BF5A31">
              <w:rPr>
                <w:sz w:val="16"/>
                <w:szCs w:val="16"/>
                <w:lang w:eastAsia="zh-CN"/>
              </w:rPr>
              <w:t>ee in the world, operating in 70</w:t>
            </w:r>
            <w:r w:rsidRPr="004E4FA4">
              <w:rPr>
                <w:sz w:val="16"/>
                <w:szCs w:val="16"/>
                <w:lang w:eastAsia="zh-CN"/>
              </w:rPr>
              <w:t xml:space="preserve"> countries. The company sells high-quality coffees, tea, and other beverages along with a variety of fresh food items through company-operated and licensed stores. </w:t>
            </w:r>
            <w:r w:rsidR="00543417">
              <w:rPr>
                <w:sz w:val="16"/>
                <w:szCs w:val="16"/>
                <w:lang w:eastAsia="zh-CN"/>
              </w:rPr>
              <w:t>It h</w:t>
            </w:r>
            <w:r w:rsidR="00543417" w:rsidRPr="00543417">
              <w:rPr>
                <w:sz w:val="16"/>
                <w:szCs w:val="16"/>
                <w:lang w:eastAsia="zh-CN"/>
              </w:rPr>
              <w:t xml:space="preserve">as 8,671 company-owned stores in the Americas and 3,564 elsewhere. Also </w:t>
            </w:r>
            <w:proofErr w:type="gramStart"/>
            <w:r w:rsidR="00543417" w:rsidRPr="00543417">
              <w:rPr>
                <w:sz w:val="16"/>
                <w:szCs w:val="16"/>
                <w:lang w:eastAsia="zh-CN"/>
              </w:rPr>
              <w:t>has</w:t>
            </w:r>
            <w:proofErr w:type="gramEnd"/>
            <w:r w:rsidR="00543417" w:rsidRPr="00543417">
              <w:rPr>
                <w:sz w:val="16"/>
                <w:szCs w:val="16"/>
                <w:lang w:eastAsia="zh-CN"/>
              </w:rPr>
              <w:t xml:space="preserve"> 10</w:t>
            </w:r>
            <w:r w:rsidR="00543417">
              <w:rPr>
                <w:sz w:val="16"/>
                <w:szCs w:val="16"/>
                <w:lang w:eastAsia="zh-CN"/>
              </w:rPr>
              <w:t>,808 licensed stores worldwide.</w:t>
            </w:r>
            <w:r w:rsidR="004B0ACB" w:rsidRPr="004B0ACB">
              <w:rPr>
                <w:sz w:val="16"/>
                <w:szCs w:val="16"/>
                <w:lang w:eastAsia="zh-CN"/>
              </w:rPr>
              <w:t xml:space="preserve"> Revenue from retail licensees was approximately</w:t>
            </w:r>
            <w:r w:rsidR="004B0ACB">
              <w:rPr>
                <w:sz w:val="16"/>
                <w:szCs w:val="16"/>
                <w:lang w:eastAsia="zh-CN"/>
              </w:rPr>
              <w:t xml:space="preserve"> </w:t>
            </w:r>
            <w:r w:rsidR="00543417">
              <w:rPr>
                <w:sz w:val="16"/>
                <w:szCs w:val="16"/>
                <w:lang w:eastAsia="zh-CN"/>
              </w:rPr>
              <w:t>10% of total revenues.</w:t>
            </w:r>
          </w:p>
          <w:p w14:paraId="0A8884D5" w14:textId="509D6924" w:rsidR="009F0830" w:rsidRDefault="009F0830" w:rsidP="004E4FA4">
            <w:pPr>
              <w:rPr>
                <w:sz w:val="16"/>
                <w:szCs w:val="16"/>
                <w:lang w:eastAsia="zh-CN"/>
              </w:rPr>
            </w:pPr>
          </w:p>
        </w:tc>
      </w:tr>
      <w:tr w:rsidR="00274740" w14:paraId="4EB61633" w14:textId="77777777" w:rsidTr="00274740">
        <w:tc>
          <w:tcPr>
            <w:tcW w:w="11700" w:type="dxa"/>
            <w:shd w:val="clear" w:color="auto" w:fill="365F91" w:themeFill="accent1" w:themeFillShade="BF"/>
          </w:tcPr>
          <w:p w14:paraId="38206B03" w14:textId="7B341966" w:rsidR="00274740" w:rsidRPr="00274740" w:rsidRDefault="00274740" w:rsidP="00BB61F8">
            <w:pPr>
              <w:tabs>
                <w:tab w:val="left" w:pos="3225"/>
              </w:tabs>
              <w:rPr>
                <w:b/>
                <w:color w:val="FFFFFF" w:themeColor="background1"/>
                <w:sz w:val="16"/>
                <w:szCs w:val="16"/>
              </w:rPr>
            </w:pPr>
            <w:r w:rsidRPr="00274740">
              <w:rPr>
                <w:b/>
                <w:color w:val="FFFFFF" w:themeColor="background1"/>
                <w:sz w:val="16"/>
                <w:szCs w:val="16"/>
              </w:rPr>
              <w:t xml:space="preserve">Industry </w:t>
            </w:r>
            <w:r w:rsidR="00BB3908">
              <w:rPr>
                <w:b/>
                <w:color w:val="FFFFFF" w:themeColor="background1"/>
                <w:sz w:val="16"/>
                <w:szCs w:val="16"/>
              </w:rPr>
              <w:t>Outlook:</w:t>
            </w:r>
            <w:r w:rsidRPr="00274740">
              <w:rPr>
                <w:b/>
                <w:color w:val="FFFFFF" w:themeColor="background1"/>
                <w:sz w:val="16"/>
                <w:szCs w:val="16"/>
              </w:rPr>
              <w:t xml:space="preserve"> </w:t>
            </w:r>
          </w:p>
        </w:tc>
      </w:tr>
      <w:tr w:rsidR="00274740" w14:paraId="52C52C72" w14:textId="77777777" w:rsidTr="00DB5A10">
        <w:tc>
          <w:tcPr>
            <w:tcW w:w="11700" w:type="dxa"/>
          </w:tcPr>
          <w:p w14:paraId="7146F4FE" w14:textId="77777777" w:rsidR="00274740" w:rsidRDefault="00274740" w:rsidP="005E114B">
            <w:pPr>
              <w:rPr>
                <w:sz w:val="16"/>
                <w:szCs w:val="16"/>
              </w:rPr>
            </w:pPr>
          </w:p>
          <w:p w14:paraId="05893A87" w14:textId="623F8EC2" w:rsidR="006830DB" w:rsidRPr="006830DB" w:rsidRDefault="006830DB" w:rsidP="006830DB">
            <w:pPr>
              <w:rPr>
                <w:sz w:val="16"/>
                <w:szCs w:val="16"/>
                <w:lang w:eastAsia="zh-CN"/>
              </w:rPr>
            </w:pPr>
            <w:r w:rsidRPr="006830DB">
              <w:rPr>
                <w:sz w:val="16"/>
                <w:szCs w:val="16"/>
                <w:lang w:eastAsia="zh-CN"/>
              </w:rPr>
              <w:t>Our fundamental outlook for the restaurants sub-industry is positive. We project low single digit same-store sales growth in 2015. We think the U.S. economy will expand at a moderate pace. For the quick-service restaurant segment, we expect same-store s</w:t>
            </w:r>
            <w:r>
              <w:rPr>
                <w:sz w:val="16"/>
                <w:szCs w:val="16"/>
                <w:lang w:eastAsia="zh-CN"/>
              </w:rPr>
              <w:t xml:space="preserve">ales to rise 2%-3% for the year. </w:t>
            </w:r>
            <w:r w:rsidRPr="006830DB">
              <w:rPr>
                <w:sz w:val="16"/>
                <w:szCs w:val="16"/>
                <w:lang w:eastAsia="zh-CN"/>
              </w:rPr>
              <w:t xml:space="preserve">We see further growth opportunities in international markets, in particular China, with Yum! Brands, McDonald's and Starbucks opening more stores in that country. </w:t>
            </w:r>
          </w:p>
          <w:p w14:paraId="2219CC73" w14:textId="77777777" w:rsidR="00274740" w:rsidRDefault="00274740" w:rsidP="006830DB">
            <w:pPr>
              <w:rPr>
                <w:sz w:val="16"/>
                <w:szCs w:val="16"/>
                <w:lang w:eastAsia="zh-CN"/>
              </w:rPr>
            </w:pPr>
          </w:p>
        </w:tc>
      </w:tr>
      <w:tr w:rsidR="00DB5A10" w14:paraId="6A32B295" w14:textId="77777777" w:rsidTr="00DB5A10">
        <w:tc>
          <w:tcPr>
            <w:tcW w:w="11700" w:type="dxa"/>
            <w:shd w:val="clear" w:color="auto" w:fill="365F91" w:themeFill="accent1" w:themeFillShade="BF"/>
          </w:tcPr>
          <w:p w14:paraId="22F69EB1" w14:textId="5B91B2A3" w:rsidR="00DB5A10" w:rsidRPr="00DB5A10" w:rsidRDefault="00DB5A10" w:rsidP="00DB5A10">
            <w:pPr>
              <w:tabs>
                <w:tab w:val="left" w:pos="3225"/>
              </w:tabs>
              <w:rPr>
                <w:b/>
                <w:color w:val="FFFFFF" w:themeColor="background1"/>
                <w:sz w:val="16"/>
                <w:szCs w:val="16"/>
              </w:rPr>
            </w:pPr>
            <w:r w:rsidRPr="00DB5A10">
              <w:rPr>
                <w:b/>
                <w:color w:val="FFFFFF" w:themeColor="background1"/>
                <w:sz w:val="16"/>
                <w:szCs w:val="16"/>
              </w:rPr>
              <w:t>Investment Thesis:</w:t>
            </w:r>
            <w:r w:rsidRPr="00DB5A10">
              <w:rPr>
                <w:b/>
                <w:color w:val="FFFFFF" w:themeColor="background1"/>
                <w:sz w:val="16"/>
                <w:szCs w:val="16"/>
              </w:rPr>
              <w:tab/>
            </w:r>
          </w:p>
        </w:tc>
      </w:tr>
      <w:tr w:rsidR="00DB5A10" w14:paraId="4F0CBDAD" w14:textId="77777777" w:rsidTr="00DB5A10">
        <w:tc>
          <w:tcPr>
            <w:tcW w:w="11700" w:type="dxa"/>
          </w:tcPr>
          <w:p w14:paraId="290AAD6A" w14:textId="6B39DB40" w:rsidR="00DB5A10" w:rsidRDefault="00DB5A10" w:rsidP="005E114B">
            <w:pPr>
              <w:rPr>
                <w:sz w:val="16"/>
                <w:szCs w:val="16"/>
              </w:rPr>
            </w:pPr>
          </w:p>
          <w:p w14:paraId="46D31C22" w14:textId="1AD0084F" w:rsidR="00BF5A31" w:rsidRPr="00BF5A31" w:rsidRDefault="0084410F" w:rsidP="00BF5A31">
            <w:pPr>
              <w:pStyle w:val="ListParagraph"/>
              <w:numPr>
                <w:ilvl w:val="0"/>
                <w:numId w:val="5"/>
              </w:numPr>
              <w:rPr>
                <w:sz w:val="16"/>
                <w:szCs w:val="16"/>
                <w:lang w:eastAsia="zh-CN"/>
              </w:rPr>
            </w:pPr>
            <w:r>
              <w:rPr>
                <w:rFonts w:hint="eastAsia"/>
                <w:sz w:val="16"/>
                <w:szCs w:val="16"/>
                <w:lang w:eastAsia="zh-CN"/>
              </w:rPr>
              <w:t>From the perspective of a value investor, I</w:t>
            </w:r>
            <w:r>
              <w:rPr>
                <w:sz w:val="16"/>
                <w:szCs w:val="16"/>
                <w:lang w:eastAsia="zh-CN"/>
              </w:rPr>
              <w:t>’</w:t>
            </w:r>
            <w:r>
              <w:rPr>
                <w:rFonts w:hint="eastAsia"/>
                <w:sz w:val="16"/>
                <w:szCs w:val="16"/>
                <w:lang w:eastAsia="zh-CN"/>
              </w:rPr>
              <w:t>m enthusiastic about Starbucks</w:t>
            </w:r>
            <w:r>
              <w:rPr>
                <w:sz w:val="16"/>
                <w:szCs w:val="16"/>
                <w:lang w:eastAsia="zh-CN"/>
              </w:rPr>
              <w:t>’</w:t>
            </w:r>
            <w:r>
              <w:rPr>
                <w:rFonts w:hint="eastAsia"/>
                <w:sz w:val="16"/>
                <w:szCs w:val="16"/>
                <w:lang w:eastAsia="zh-CN"/>
              </w:rPr>
              <w:t xml:space="preserve"> future. </w:t>
            </w:r>
            <w:r>
              <w:rPr>
                <w:sz w:val="16"/>
                <w:szCs w:val="16"/>
                <w:lang w:eastAsia="zh-CN"/>
              </w:rPr>
              <w:t>T</w:t>
            </w:r>
            <w:r w:rsidR="00BF5A31" w:rsidRPr="00BF5A31">
              <w:rPr>
                <w:sz w:val="16"/>
                <w:szCs w:val="16"/>
                <w:lang w:eastAsia="zh-CN"/>
              </w:rPr>
              <w:t xml:space="preserve">he company's strengths can be seen in multiple areas, such as its revenue growth, good cash flow from operations, largely solid financial position with reasonable debt levels by most measures, solid stock price performance and notable return on equity. </w:t>
            </w:r>
          </w:p>
          <w:p w14:paraId="419E11CB" w14:textId="18E4815F" w:rsidR="00891308" w:rsidRDefault="00891308" w:rsidP="00891308">
            <w:pPr>
              <w:pStyle w:val="ListParagraph"/>
              <w:numPr>
                <w:ilvl w:val="0"/>
                <w:numId w:val="5"/>
              </w:numPr>
              <w:rPr>
                <w:sz w:val="16"/>
                <w:szCs w:val="16"/>
                <w:lang w:eastAsia="zh-CN"/>
              </w:rPr>
            </w:pPr>
            <w:r>
              <w:rPr>
                <w:sz w:val="16"/>
                <w:szCs w:val="16"/>
                <w:lang w:eastAsia="zh-CN"/>
              </w:rPr>
              <w:t>W</w:t>
            </w:r>
            <w:r w:rsidRPr="00891308">
              <w:rPr>
                <w:sz w:val="16"/>
                <w:szCs w:val="16"/>
                <w:lang w:eastAsia="zh-CN"/>
              </w:rPr>
              <w:t xml:space="preserve">hen many large restaurant chains are experiencing a slowdown at home and overseas, </w:t>
            </w:r>
            <w:r>
              <w:rPr>
                <w:sz w:val="16"/>
                <w:szCs w:val="16"/>
                <w:lang w:eastAsia="zh-CN"/>
              </w:rPr>
              <w:t>Starbucks’ revenue increased by 16.5% in 2015, and we project total revenue growth of 13% in 2016;</w:t>
            </w:r>
          </w:p>
          <w:p w14:paraId="09EEB3A1" w14:textId="7A60691B" w:rsidR="00891308" w:rsidRPr="00891308" w:rsidRDefault="00891308" w:rsidP="00891308">
            <w:pPr>
              <w:pStyle w:val="ListParagraph"/>
              <w:numPr>
                <w:ilvl w:val="0"/>
                <w:numId w:val="5"/>
              </w:numPr>
              <w:rPr>
                <w:sz w:val="16"/>
                <w:szCs w:val="16"/>
                <w:lang w:eastAsia="zh-CN"/>
              </w:rPr>
            </w:pPr>
            <w:r>
              <w:rPr>
                <w:sz w:val="16"/>
                <w:szCs w:val="16"/>
                <w:lang w:eastAsia="zh-CN"/>
              </w:rPr>
              <w:t xml:space="preserve">The company’s </w:t>
            </w:r>
            <w:r w:rsidR="00AF5942">
              <w:rPr>
                <w:rFonts w:hint="eastAsia"/>
                <w:sz w:val="16"/>
                <w:szCs w:val="16"/>
                <w:lang w:eastAsia="zh-CN"/>
              </w:rPr>
              <w:t xml:space="preserve">new </w:t>
            </w:r>
            <w:r w:rsidRPr="00891308">
              <w:rPr>
                <w:sz w:val="16"/>
                <w:szCs w:val="16"/>
                <w:lang w:eastAsia="zh-CN"/>
              </w:rPr>
              <w:t xml:space="preserve">Mobile Order and Pay (MOP) </w:t>
            </w:r>
            <w:r>
              <w:rPr>
                <w:sz w:val="16"/>
                <w:szCs w:val="16"/>
                <w:lang w:eastAsia="zh-CN"/>
              </w:rPr>
              <w:t>program</w:t>
            </w:r>
            <w:r w:rsidRPr="00891308">
              <w:rPr>
                <w:sz w:val="16"/>
                <w:szCs w:val="16"/>
                <w:lang w:eastAsia="zh-CN"/>
              </w:rPr>
              <w:t xml:space="preserve">, </w:t>
            </w:r>
            <w:r w:rsidR="00AF5942">
              <w:rPr>
                <w:rFonts w:hint="eastAsia"/>
                <w:sz w:val="16"/>
                <w:szCs w:val="16"/>
                <w:lang w:eastAsia="zh-CN"/>
              </w:rPr>
              <w:t>which allows customers to pre-order their beverages and food, successfully solves the</w:t>
            </w:r>
            <w:r w:rsidR="00AF5942">
              <w:rPr>
                <w:sz w:val="16"/>
                <w:szCs w:val="16"/>
                <w:lang w:eastAsia="zh-CN"/>
              </w:rPr>
              <w:t xml:space="preserve"> long wait time</w:t>
            </w:r>
            <w:r w:rsidR="00AF5942">
              <w:rPr>
                <w:rFonts w:hint="eastAsia"/>
                <w:sz w:val="16"/>
                <w:szCs w:val="16"/>
                <w:lang w:eastAsia="zh-CN"/>
              </w:rPr>
              <w:t xml:space="preserve"> issue, especially in the urban center</w:t>
            </w:r>
            <w:r w:rsidRPr="00891308">
              <w:rPr>
                <w:sz w:val="16"/>
                <w:szCs w:val="16"/>
                <w:lang w:eastAsia="zh-CN"/>
              </w:rPr>
              <w:t xml:space="preserve">. </w:t>
            </w:r>
            <w:r>
              <w:rPr>
                <w:sz w:val="16"/>
                <w:szCs w:val="16"/>
                <w:lang w:eastAsia="zh-CN"/>
              </w:rPr>
              <w:t>And t</w:t>
            </w:r>
            <w:r w:rsidRPr="00891308">
              <w:rPr>
                <w:sz w:val="16"/>
                <w:szCs w:val="16"/>
                <w:lang w:eastAsia="zh-CN"/>
              </w:rPr>
              <w:t xml:space="preserve">his MOP opportunity is a big reason why we think that </w:t>
            </w:r>
            <w:r w:rsidR="00E13617">
              <w:rPr>
                <w:sz w:val="16"/>
                <w:szCs w:val="16"/>
                <w:lang w:eastAsia="zh-CN"/>
              </w:rPr>
              <w:t>its revenue can keep growing in 2016;</w:t>
            </w:r>
          </w:p>
          <w:p w14:paraId="640594C4" w14:textId="375E047B" w:rsidR="00891308" w:rsidRPr="00891308" w:rsidRDefault="00AF5942" w:rsidP="00891308">
            <w:pPr>
              <w:pStyle w:val="ListParagraph"/>
              <w:numPr>
                <w:ilvl w:val="0"/>
                <w:numId w:val="5"/>
              </w:numPr>
              <w:rPr>
                <w:sz w:val="16"/>
                <w:szCs w:val="16"/>
                <w:lang w:eastAsia="zh-CN"/>
              </w:rPr>
            </w:pPr>
            <w:r>
              <w:rPr>
                <w:rFonts w:hint="eastAsia"/>
                <w:sz w:val="16"/>
                <w:szCs w:val="16"/>
                <w:lang w:eastAsia="zh-CN"/>
              </w:rPr>
              <w:t xml:space="preserve">It keeps expanding, and </w:t>
            </w:r>
            <w:r>
              <w:rPr>
                <w:sz w:val="16"/>
                <w:szCs w:val="16"/>
                <w:lang w:eastAsia="zh-CN"/>
              </w:rPr>
              <w:t>p</w:t>
            </w:r>
            <w:r w:rsidR="00F6473E">
              <w:rPr>
                <w:sz w:val="16"/>
                <w:szCs w:val="16"/>
                <w:lang w:eastAsia="zh-CN"/>
              </w:rPr>
              <w:t>lan</w:t>
            </w:r>
            <w:r>
              <w:rPr>
                <w:rFonts w:hint="eastAsia"/>
                <w:sz w:val="16"/>
                <w:szCs w:val="16"/>
                <w:lang w:eastAsia="zh-CN"/>
              </w:rPr>
              <w:t>s</w:t>
            </w:r>
            <w:r w:rsidR="00F6473E">
              <w:rPr>
                <w:sz w:val="16"/>
                <w:szCs w:val="16"/>
                <w:lang w:eastAsia="zh-CN"/>
              </w:rPr>
              <w:t xml:space="preserve"> to open 1800 new stores this year, 700 in America, 900 in China/Asia Pacific, and 200 </w:t>
            </w:r>
            <w:r w:rsidR="0084410F">
              <w:rPr>
                <w:rFonts w:hint="eastAsia"/>
                <w:sz w:val="16"/>
                <w:szCs w:val="16"/>
                <w:lang w:eastAsia="zh-CN"/>
              </w:rPr>
              <w:t xml:space="preserve">in </w:t>
            </w:r>
            <w:r w:rsidR="00F6473E">
              <w:rPr>
                <w:sz w:val="16"/>
                <w:szCs w:val="16"/>
                <w:lang w:eastAsia="zh-CN"/>
              </w:rPr>
              <w:t>EMEA;</w:t>
            </w:r>
          </w:p>
          <w:p w14:paraId="35F9E681" w14:textId="2D13FF1C" w:rsidR="00DE0586" w:rsidRPr="00F6473E" w:rsidRDefault="00DE0586" w:rsidP="00F6473E">
            <w:pPr>
              <w:pStyle w:val="ListParagraph"/>
              <w:ind w:left="360"/>
              <w:rPr>
                <w:sz w:val="16"/>
                <w:szCs w:val="16"/>
                <w:lang w:eastAsia="zh-CN"/>
              </w:rPr>
            </w:pPr>
          </w:p>
        </w:tc>
      </w:tr>
      <w:tr w:rsidR="00DB5A10" w14:paraId="3604FAC8" w14:textId="77777777" w:rsidTr="00DB5A10">
        <w:tc>
          <w:tcPr>
            <w:tcW w:w="11700" w:type="dxa"/>
            <w:shd w:val="clear" w:color="auto" w:fill="365F91" w:themeFill="accent1" w:themeFillShade="BF"/>
          </w:tcPr>
          <w:p w14:paraId="36D57562" w14:textId="69893D12" w:rsidR="00DB5A10" w:rsidRDefault="00DB5A10" w:rsidP="00DB5A10">
            <w:pPr>
              <w:tabs>
                <w:tab w:val="left" w:pos="2235"/>
              </w:tabs>
              <w:rPr>
                <w:sz w:val="16"/>
                <w:szCs w:val="16"/>
              </w:rPr>
            </w:pPr>
            <w:r w:rsidRPr="00DB5A10">
              <w:rPr>
                <w:b/>
                <w:color w:val="FFFFFF" w:themeColor="background1"/>
                <w:sz w:val="16"/>
                <w:szCs w:val="16"/>
              </w:rPr>
              <w:t>Investment Risks:</w:t>
            </w:r>
            <w:r w:rsidRPr="00DB5A10">
              <w:rPr>
                <w:b/>
                <w:color w:val="FFFFFF" w:themeColor="background1"/>
                <w:sz w:val="16"/>
                <w:szCs w:val="16"/>
              </w:rPr>
              <w:tab/>
            </w:r>
          </w:p>
        </w:tc>
      </w:tr>
      <w:tr w:rsidR="00DB5A10" w14:paraId="7051B972" w14:textId="77777777" w:rsidTr="00DB5A10">
        <w:tc>
          <w:tcPr>
            <w:tcW w:w="11700" w:type="dxa"/>
          </w:tcPr>
          <w:p w14:paraId="6C10EB0E" w14:textId="77777777" w:rsidR="00DB5A10" w:rsidRDefault="00DB5A10" w:rsidP="005E114B">
            <w:pPr>
              <w:rPr>
                <w:sz w:val="16"/>
                <w:szCs w:val="16"/>
              </w:rPr>
            </w:pPr>
          </w:p>
          <w:p w14:paraId="4B5C4836" w14:textId="053E951F" w:rsidR="00231874" w:rsidRPr="00231874" w:rsidRDefault="00231874" w:rsidP="00231874">
            <w:pPr>
              <w:pStyle w:val="ListParagraph"/>
              <w:numPr>
                <w:ilvl w:val="0"/>
                <w:numId w:val="3"/>
              </w:numPr>
              <w:rPr>
                <w:sz w:val="16"/>
                <w:szCs w:val="16"/>
              </w:rPr>
            </w:pPr>
            <w:r>
              <w:rPr>
                <w:sz w:val="16"/>
                <w:szCs w:val="16"/>
              </w:rPr>
              <w:t>A</w:t>
            </w:r>
            <w:r w:rsidRPr="00231874">
              <w:rPr>
                <w:sz w:val="16"/>
                <w:szCs w:val="16"/>
              </w:rPr>
              <w:t xml:space="preserve"> worse-than-expected slowdown in global consumer discretionary spending</w:t>
            </w:r>
            <w:r>
              <w:rPr>
                <w:sz w:val="16"/>
                <w:szCs w:val="16"/>
              </w:rPr>
              <w:t>;</w:t>
            </w:r>
            <w:r w:rsidRPr="00231874">
              <w:rPr>
                <w:sz w:val="16"/>
                <w:szCs w:val="16"/>
              </w:rPr>
              <w:t xml:space="preserve"> </w:t>
            </w:r>
          </w:p>
          <w:p w14:paraId="7E7F524A" w14:textId="796B5EDB" w:rsidR="00231874" w:rsidRPr="00231874" w:rsidRDefault="00231874" w:rsidP="00231874">
            <w:pPr>
              <w:pStyle w:val="ListParagraph"/>
              <w:numPr>
                <w:ilvl w:val="0"/>
                <w:numId w:val="3"/>
              </w:numPr>
              <w:rPr>
                <w:sz w:val="16"/>
                <w:szCs w:val="16"/>
              </w:rPr>
            </w:pPr>
            <w:r>
              <w:rPr>
                <w:sz w:val="16"/>
                <w:szCs w:val="16"/>
              </w:rPr>
              <w:t>H</w:t>
            </w:r>
            <w:r w:rsidRPr="00231874">
              <w:rPr>
                <w:sz w:val="16"/>
                <w:szCs w:val="16"/>
              </w:rPr>
              <w:t xml:space="preserve">igher- than-expected inflation in coffee prices; </w:t>
            </w:r>
          </w:p>
          <w:p w14:paraId="008E07F0" w14:textId="14419072" w:rsidR="00231874" w:rsidRPr="00231874" w:rsidRDefault="00231874" w:rsidP="00231874">
            <w:pPr>
              <w:pStyle w:val="ListParagraph"/>
              <w:numPr>
                <w:ilvl w:val="0"/>
                <w:numId w:val="3"/>
              </w:numPr>
              <w:rPr>
                <w:sz w:val="16"/>
                <w:szCs w:val="16"/>
              </w:rPr>
            </w:pPr>
            <w:r>
              <w:rPr>
                <w:sz w:val="16"/>
                <w:szCs w:val="16"/>
              </w:rPr>
              <w:t>P</w:t>
            </w:r>
            <w:r w:rsidRPr="00231874">
              <w:rPr>
                <w:sz w:val="16"/>
                <w:szCs w:val="16"/>
              </w:rPr>
              <w:t>otent</w:t>
            </w:r>
            <w:r>
              <w:rPr>
                <w:sz w:val="16"/>
                <w:szCs w:val="16"/>
              </w:rPr>
              <w:t>ially severe currency headwinds;</w:t>
            </w:r>
          </w:p>
          <w:p w14:paraId="78159DC0" w14:textId="3B0FAB21" w:rsidR="001A0791" w:rsidRPr="001A0791" w:rsidRDefault="001A0791" w:rsidP="00231874">
            <w:pPr>
              <w:pStyle w:val="ListParagraph"/>
              <w:ind w:left="360"/>
              <w:rPr>
                <w:sz w:val="16"/>
                <w:szCs w:val="16"/>
              </w:rPr>
            </w:pPr>
          </w:p>
        </w:tc>
        <w:bookmarkStart w:id="0" w:name="_GoBack"/>
        <w:bookmarkEnd w:id="0"/>
      </w:tr>
      <w:tr w:rsidR="00DB5A10" w14:paraId="76F577E7" w14:textId="77777777" w:rsidTr="00DB5A10">
        <w:tc>
          <w:tcPr>
            <w:tcW w:w="11700" w:type="dxa"/>
            <w:shd w:val="clear" w:color="auto" w:fill="365F91" w:themeFill="accent1" w:themeFillShade="BF"/>
          </w:tcPr>
          <w:p w14:paraId="0A443D6F" w14:textId="4EB2A931" w:rsidR="00DB5A10" w:rsidRPr="00DB5A10" w:rsidRDefault="00DB5A10" w:rsidP="00DB5A10">
            <w:pPr>
              <w:ind w:left="72"/>
              <w:jc w:val="both"/>
              <w:rPr>
                <w:color w:val="FFFFFF" w:themeColor="background1"/>
                <w:sz w:val="16"/>
                <w:szCs w:val="16"/>
              </w:rPr>
            </w:pPr>
            <w:r w:rsidRPr="00DB5A10">
              <w:rPr>
                <w:b/>
                <w:color w:val="FFFFFF" w:themeColor="background1"/>
                <w:sz w:val="16"/>
                <w:szCs w:val="16"/>
              </w:rPr>
              <w:t xml:space="preserve">3-5 take </w:t>
            </w:r>
            <w:r w:rsidR="00274740" w:rsidRPr="00DB5A10">
              <w:rPr>
                <w:b/>
                <w:color w:val="FFFFFF" w:themeColor="background1"/>
                <w:sz w:val="16"/>
                <w:szCs w:val="16"/>
              </w:rPr>
              <w:t>away</w:t>
            </w:r>
            <w:r w:rsidRPr="00DB5A10">
              <w:rPr>
                <w:b/>
                <w:color w:val="FFFFFF" w:themeColor="background1"/>
                <w:sz w:val="16"/>
                <w:szCs w:val="16"/>
              </w:rPr>
              <w:t xml:space="preserve"> from last quarter investor call transcript: </w:t>
            </w:r>
          </w:p>
        </w:tc>
      </w:tr>
      <w:tr w:rsidR="00DB5A10" w14:paraId="75D76709" w14:textId="77777777" w:rsidTr="00DB5A10">
        <w:trPr>
          <w:trHeight w:val="70"/>
        </w:trPr>
        <w:tc>
          <w:tcPr>
            <w:tcW w:w="11700" w:type="dxa"/>
          </w:tcPr>
          <w:p w14:paraId="7A100AF1" w14:textId="3333CC8F" w:rsidR="00DB5A10" w:rsidRDefault="00DB5A10" w:rsidP="005E114B">
            <w:pPr>
              <w:rPr>
                <w:sz w:val="16"/>
                <w:szCs w:val="16"/>
              </w:rPr>
            </w:pPr>
          </w:p>
          <w:p w14:paraId="6DCB3900" w14:textId="147C5C71" w:rsidR="00F6473E" w:rsidRPr="00F6473E" w:rsidRDefault="00F6473E" w:rsidP="00F6473E">
            <w:pPr>
              <w:pStyle w:val="ListParagraph"/>
              <w:numPr>
                <w:ilvl w:val="0"/>
                <w:numId w:val="4"/>
              </w:numPr>
              <w:rPr>
                <w:sz w:val="16"/>
                <w:szCs w:val="16"/>
              </w:rPr>
            </w:pPr>
            <w:r w:rsidRPr="00F6473E">
              <w:rPr>
                <w:sz w:val="16"/>
                <w:szCs w:val="16"/>
              </w:rPr>
              <w:t>The company repurchased 4.5 million shares of common stock in Q1 FY16; 48 million shares remain available for purcha</w:t>
            </w:r>
            <w:r>
              <w:rPr>
                <w:sz w:val="16"/>
                <w:szCs w:val="16"/>
              </w:rPr>
              <w:t>se under current authorizations</w:t>
            </w:r>
            <w:proofErr w:type="gramStart"/>
            <w:r>
              <w:rPr>
                <w:sz w:val="16"/>
                <w:szCs w:val="16"/>
              </w:rPr>
              <w:t>;</w:t>
            </w:r>
            <w:r w:rsidRPr="00F6473E">
              <w:rPr>
                <w:sz w:val="16"/>
                <w:szCs w:val="16"/>
              </w:rPr>
              <w:t> </w:t>
            </w:r>
            <w:proofErr w:type="gramEnd"/>
          </w:p>
          <w:p w14:paraId="4177BBEB" w14:textId="77777777" w:rsidR="001A0791" w:rsidRDefault="002936C8" w:rsidP="001A0791">
            <w:pPr>
              <w:pStyle w:val="ListParagraph"/>
              <w:numPr>
                <w:ilvl w:val="0"/>
                <w:numId w:val="4"/>
              </w:numPr>
              <w:rPr>
                <w:sz w:val="16"/>
                <w:szCs w:val="16"/>
              </w:rPr>
            </w:pPr>
            <w:r w:rsidRPr="002936C8">
              <w:rPr>
                <w:sz w:val="16"/>
                <w:szCs w:val="16"/>
              </w:rPr>
              <w:t>I strongly believe that the Chinese government's commitment to true economic reform is genuine and that its goal of doubling 2010 per capita income by 2021 resulting in a middle-class in China approaching 600 million Chinese people, or almost twice the size of the entire current U.S. population, is attainable.</w:t>
            </w:r>
          </w:p>
          <w:p w14:paraId="25493EA5" w14:textId="77777777" w:rsidR="002936C8" w:rsidRDefault="00054A41" w:rsidP="001A0791">
            <w:pPr>
              <w:pStyle w:val="ListParagraph"/>
              <w:numPr>
                <w:ilvl w:val="0"/>
                <w:numId w:val="4"/>
              </w:numPr>
              <w:rPr>
                <w:sz w:val="16"/>
                <w:szCs w:val="16"/>
              </w:rPr>
            </w:pPr>
            <w:r w:rsidRPr="00054A41">
              <w:rPr>
                <w:sz w:val="16"/>
                <w:szCs w:val="16"/>
              </w:rPr>
              <w:t>Technology innovation is further strengthening our brand, improving our efficiency and in-store execution, increasing our profitability and most importantly, enabling us to deliver an elevated Starbucks experience to our customers</w:t>
            </w:r>
            <w:r>
              <w:rPr>
                <w:sz w:val="16"/>
                <w:szCs w:val="16"/>
              </w:rPr>
              <w:t>;</w:t>
            </w:r>
          </w:p>
          <w:p w14:paraId="4205DC0B" w14:textId="1F7E9F70" w:rsidR="00643A41" w:rsidRPr="001A0791" w:rsidRDefault="00643A41" w:rsidP="00643A41">
            <w:pPr>
              <w:pStyle w:val="ListParagraph"/>
              <w:ind w:left="360"/>
              <w:rPr>
                <w:sz w:val="16"/>
                <w:szCs w:val="16"/>
              </w:rPr>
            </w:pPr>
          </w:p>
        </w:tc>
      </w:tr>
    </w:tbl>
    <w:p w14:paraId="5873EF7F" w14:textId="77777777" w:rsidR="00B7642F" w:rsidRDefault="00B7642F" w:rsidP="005E114B">
      <w:pPr>
        <w:rPr>
          <w:sz w:val="16"/>
          <w:szCs w:val="16"/>
        </w:rPr>
      </w:pPr>
    </w:p>
    <w:tbl>
      <w:tblPr>
        <w:tblStyle w:val="TableGrid"/>
        <w:tblW w:w="11808" w:type="dxa"/>
        <w:tblInd w:w="-1440" w:type="dxa"/>
        <w:tblLook w:val="04A0" w:firstRow="1" w:lastRow="0" w:firstColumn="1" w:lastColumn="0" w:noHBand="0" w:noVBand="1"/>
      </w:tblPr>
      <w:tblGrid>
        <w:gridCol w:w="7465"/>
        <w:gridCol w:w="4343"/>
      </w:tblGrid>
      <w:tr w:rsidR="00830F06" w14:paraId="730DB2FF" w14:textId="77777777" w:rsidTr="00034A52">
        <w:tc>
          <w:tcPr>
            <w:tcW w:w="7488" w:type="dxa"/>
            <w:shd w:val="clear" w:color="auto" w:fill="365F91" w:themeFill="accent1" w:themeFillShade="BF"/>
          </w:tcPr>
          <w:p w14:paraId="7CF6246B" w14:textId="38A66325" w:rsidR="00830F06" w:rsidRPr="00034A52" w:rsidRDefault="00830F06" w:rsidP="00443ED9">
            <w:pPr>
              <w:jc w:val="both"/>
              <w:rPr>
                <w:b/>
                <w:color w:val="FFFFFF" w:themeColor="background1"/>
                <w:sz w:val="16"/>
                <w:szCs w:val="16"/>
              </w:rPr>
            </w:pPr>
            <w:r w:rsidRPr="00034A52">
              <w:rPr>
                <w:b/>
                <w:color w:val="FFFFFF" w:themeColor="background1"/>
                <w:sz w:val="16"/>
                <w:szCs w:val="16"/>
              </w:rPr>
              <w:t>Financial Performance:</w:t>
            </w:r>
          </w:p>
        </w:tc>
        <w:tc>
          <w:tcPr>
            <w:tcW w:w="4320" w:type="dxa"/>
            <w:shd w:val="clear" w:color="auto" w:fill="365F91" w:themeFill="accent1" w:themeFillShade="BF"/>
          </w:tcPr>
          <w:p w14:paraId="09E00ADF" w14:textId="62365A7B" w:rsidR="00830F06" w:rsidRPr="00034A52" w:rsidRDefault="00830F06" w:rsidP="00443ED9">
            <w:pPr>
              <w:jc w:val="both"/>
              <w:rPr>
                <w:b/>
                <w:color w:val="FFFFFF" w:themeColor="background1"/>
                <w:sz w:val="16"/>
                <w:szCs w:val="16"/>
              </w:rPr>
            </w:pPr>
            <w:r w:rsidRPr="00034A52">
              <w:rPr>
                <w:b/>
                <w:color w:val="FFFFFF" w:themeColor="background1"/>
                <w:sz w:val="16"/>
                <w:szCs w:val="16"/>
              </w:rPr>
              <w:t xml:space="preserve">Discounted Cash Flow </w:t>
            </w:r>
          </w:p>
        </w:tc>
      </w:tr>
      <w:tr w:rsidR="00830F06" w14:paraId="0538015D" w14:textId="77777777" w:rsidTr="00830F06">
        <w:tc>
          <w:tcPr>
            <w:tcW w:w="7488" w:type="dxa"/>
          </w:tcPr>
          <w:p w14:paraId="6973B10F" w14:textId="77777777" w:rsidR="00830F06" w:rsidRPr="002F062C" w:rsidRDefault="00830F06" w:rsidP="00443ED9">
            <w:pPr>
              <w:jc w:val="both"/>
              <w:rPr>
                <w:sz w:val="16"/>
                <w:szCs w:val="16"/>
              </w:rPr>
            </w:pPr>
          </w:p>
          <w:tbl>
            <w:tblPr>
              <w:tblStyle w:val="TableGrid"/>
              <w:tblW w:w="0" w:type="auto"/>
              <w:tblLook w:val="04A0" w:firstRow="1" w:lastRow="0" w:firstColumn="1" w:lastColumn="0" w:noHBand="0" w:noVBand="1"/>
            </w:tblPr>
            <w:tblGrid>
              <w:gridCol w:w="1562"/>
              <w:gridCol w:w="1007"/>
              <w:gridCol w:w="990"/>
              <w:gridCol w:w="920"/>
              <w:gridCol w:w="920"/>
              <w:gridCol w:w="920"/>
              <w:gridCol w:w="920"/>
            </w:tblGrid>
            <w:tr w:rsidR="00830F06" w:rsidRPr="002F062C" w14:paraId="23FAEDA0" w14:textId="77777777" w:rsidTr="00054A41">
              <w:tc>
                <w:tcPr>
                  <w:tcW w:w="1562" w:type="dxa"/>
                  <w:shd w:val="clear" w:color="auto" w:fill="DBE5F1" w:themeFill="accent1" w:themeFillTint="33"/>
                </w:tcPr>
                <w:p w14:paraId="165C82C4" w14:textId="77777777" w:rsidR="00830F06" w:rsidRDefault="00830F06" w:rsidP="00830F06">
                  <w:pPr>
                    <w:rPr>
                      <w:sz w:val="16"/>
                      <w:szCs w:val="16"/>
                    </w:rPr>
                  </w:pPr>
                </w:p>
              </w:tc>
              <w:tc>
                <w:tcPr>
                  <w:tcW w:w="1007" w:type="dxa"/>
                  <w:tcBorders>
                    <w:bottom w:val="single" w:sz="4" w:space="0" w:color="auto"/>
                  </w:tcBorders>
                  <w:shd w:val="clear" w:color="auto" w:fill="DBE5F1" w:themeFill="accent1" w:themeFillTint="33"/>
                </w:tcPr>
                <w:p w14:paraId="76114568" w14:textId="77777777" w:rsidR="00830F06" w:rsidRDefault="00830F06" w:rsidP="00830F06">
                  <w:pPr>
                    <w:rPr>
                      <w:sz w:val="16"/>
                      <w:szCs w:val="16"/>
                    </w:rPr>
                  </w:pPr>
                  <w:r>
                    <w:rPr>
                      <w:sz w:val="16"/>
                      <w:szCs w:val="16"/>
                    </w:rPr>
                    <w:t>2012</w:t>
                  </w:r>
                </w:p>
              </w:tc>
              <w:tc>
                <w:tcPr>
                  <w:tcW w:w="990" w:type="dxa"/>
                  <w:tcBorders>
                    <w:bottom w:val="single" w:sz="4" w:space="0" w:color="auto"/>
                  </w:tcBorders>
                  <w:shd w:val="clear" w:color="auto" w:fill="DBE5F1" w:themeFill="accent1" w:themeFillTint="33"/>
                </w:tcPr>
                <w:p w14:paraId="0FA0AD6E" w14:textId="77777777" w:rsidR="00830F06" w:rsidRDefault="00830F06" w:rsidP="00830F06">
                  <w:pPr>
                    <w:rPr>
                      <w:sz w:val="16"/>
                      <w:szCs w:val="16"/>
                    </w:rPr>
                  </w:pPr>
                  <w:r>
                    <w:rPr>
                      <w:sz w:val="16"/>
                      <w:szCs w:val="16"/>
                    </w:rPr>
                    <w:t>2013</w:t>
                  </w:r>
                </w:p>
              </w:tc>
              <w:tc>
                <w:tcPr>
                  <w:tcW w:w="920" w:type="dxa"/>
                  <w:tcBorders>
                    <w:bottom w:val="single" w:sz="4" w:space="0" w:color="auto"/>
                  </w:tcBorders>
                  <w:shd w:val="clear" w:color="auto" w:fill="DBE5F1" w:themeFill="accent1" w:themeFillTint="33"/>
                </w:tcPr>
                <w:p w14:paraId="222A182C" w14:textId="77777777" w:rsidR="00830F06" w:rsidRDefault="00830F06" w:rsidP="00830F06">
                  <w:pPr>
                    <w:rPr>
                      <w:sz w:val="16"/>
                      <w:szCs w:val="16"/>
                    </w:rPr>
                  </w:pPr>
                  <w:r>
                    <w:rPr>
                      <w:sz w:val="16"/>
                      <w:szCs w:val="16"/>
                    </w:rPr>
                    <w:t>2014</w:t>
                  </w:r>
                </w:p>
              </w:tc>
              <w:tc>
                <w:tcPr>
                  <w:tcW w:w="920" w:type="dxa"/>
                  <w:tcBorders>
                    <w:bottom w:val="single" w:sz="4" w:space="0" w:color="auto"/>
                  </w:tcBorders>
                  <w:shd w:val="clear" w:color="auto" w:fill="DBE5F1" w:themeFill="accent1" w:themeFillTint="33"/>
                </w:tcPr>
                <w:p w14:paraId="43EE2733" w14:textId="4B126721" w:rsidR="00830F06" w:rsidRDefault="00830F06" w:rsidP="00830F06">
                  <w:pPr>
                    <w:rPr>
                      <w:sz w:val="16"/>
                      <w:szCs w:val="16"/>
                    </w:rPr>
                  </w:pPr>
                  <w:r>
                    <w:rPr>
                      <w:sz w:val="16"/>
                      <w:szCs w:val="16"/>
                    </w:rPr>
                    <w:t>2015</w:t>
                  </w:r>
                </w:p>
              </w:tc>
              <w:tc>
                <w:tcPr>
                  <w:tcW w:w="920" w:type="dxa"/>
                  <w:tcBorders>
                    <w:bottom w:val="single" w:sz="4" w:space="0" w:color="auto"/>
                  </w:tcBorders>
                  <w:shd w:val="clear" w:color="auto" w:fill="DBE5F1" w:themeFill="accent1" w:themeFillTint="33"/>
                </w:tcPr>
                <w:p w14:paraId="2262B9DA" w14:textId="542FC787" w:rsidR="00830F06" w:rsidRDefault="002E16BA" w:rsidP="00830F06">
                  <w:pPr>
                    <w:rPr>
                      <w:sz w:val="16"/>
                      <w:szCs w:val="16"/>
                      <w:lang w:eastAsia="zh-CN"/>
                    </w:rPr>
                  </w:pPr>
                  <w:r>
                    <w:rPr>
                      <w:sz w:val="16"/>
                      <w:szCs w:val="16"/>
                    </w:rPr>
                    <w:t>201</w:t>
                  </w:r>
                  <w:r>
                    <w:rPr>
                      <w:rFonts w:hint="eastAsia"/>
                      <w:sz w:val="16"/>
                      <w:szCs w:val="16"/>
                      <w:lang w:eastAsia="zh-CN"/>
                    </w:rPr>
                    <w:t>6Est</w:t>
                  </w:r>
                </w:p>
              </w:tc>
              <w:tc>
                <w:tcPr>
                  <w:tcW w:w="920" w:type="dxa"/>
                  <w:tcBorders>
                    <w:bottom w:val="single" w:sz="4" w:space="0" w:color="auto"/>
                  </w:tcBorders>
                  <w:shd w:val="clear" w:color="auto" w:fill="DBE5F1" w:themeFill="accent1" w:themeFillTint="33"/>
                </w:tcPr>
                <w:p w14:paraId="4080B05E" w14:textId="2016E56D" w:rsidR="00830F06" w:rsidRDefault="002E16BA" w:rsidP="00830F06">
                  <w:pPr>
                    <w:rPr>
                      <w:sz w:val="16"/>
                      <w:szCs w:val="16"/>
                      <w:lang w:eastAsia="zh-CN"/>
                    </w:rPr>
                  </w:pPr>
                  <w:r>
                    <w:rPr>
                      <w:sz w:val="16"/>
                      <w:szCs w:val="16"/>
                    </w:rPr>
                    <w:t>201</w:t>
                  </w:r>
                  <w:r>
                    <w:rPr>
                      <w:rFonts w:hint="eastAsia"/>
                      <w:sz w:val="16"/>
                      <w:szCs w:val="16"/>
                      <w:lang w:eastAsia="zh-CN"/>
                    </w:rPr>
                    <w:t>7Est</w:t>
                  </w:r>
                </w:p>
              </w:tc>
            </w:tr>
            <w:tr w:rsidR="00054A41" w:rsidRPr="002F062C" w14:paraId="5835BCA6" w14:textId="77777777" w:rsidTr="00054A41">
              <w:tc>
                <w:tcPr>
                  <w:tcW w:w="1562" w:type="dxa"/>
                </w:tcPr>
                <w:p w14:paraId="6C7AE70B" w14:textId="713192A3" w:rsidR="00054A41" w:rsidRDefault="00054A41" w:rsidP="002F062C">
                  <w:pPr>
                    <w:rPr>
                      <w:sz w:val="16"/>
                      <w:szCs w:val="16"/>
                    </w:rPr>
                  </w:pPr>
                  <w:r>
                    <w:rPr>
                      <w:sz w:val="16"/>
                      <w:szCs w:val="16"/>
                    </w:rPr>
                    <w:t>Revenue</w:t>
                  </w:r>
                </w:p>
              </w:tc>
              <w:tc>
                <w:tcPr>
                  <w:tcW w:w="1007" w:type="dxa"/>
                  <w:tcBorders>
                    <w:top w:val="single" w:sz="4" w:space="0" w:color="auto"/>
                    <w:left w:val="nil"/>
                    <w:bottom w:val="single" w:sz="4" w:space="0" w:color="auto"/>
                    <w:right w:val="single" w:sz="4" w:space="0" w:color="auto"/>
                  </w:tcBorders>
                  <w:shd w:val="clear" w:color="auto" w:fill="auto"/>
                  <w:vAlign w:val="bottom"/>
                </w:tcPr>
                <w:p w14:paraId="41FE7B9F" w14:textId="1C4676CF" w:rsidR="00054A41" w:rsidRDefault="00054A41" w:rsidP="00054A41">
                  <w:pPr>
                    <w:jc w:val="center"/>
                    <w:rPr>
                      <w:sz w:val="16"/>
                      <w:szCs w:val="16"/>
                    </w:rPr>
                  </w:pPr>
                  <w:r w:rsidRPr="00054A41">
                    <w:rPr>
                      <w:sz w:val="16"/>
                      <w:szCs w:val="16"/>
                    </w:rPr>
                    <w:t>13,299.5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5AD94885" w14:textId="3C94FC51" w:rsidR="00054A41" w:rsidRDefault="00054A41" w:rsidP="00054A41">
                  <w:pPr>
                    <w:jc w:val="center"/>
                    <w:rPr>
                      <w:sz w:val="16"/>
                      <w:szCs w:val="16"/>
                    </w:rPr>
                  </w:pPr>
                  <w:r w:rsidRPr="00054A41">
                    <w:rPr>
                      <w:sz w:val="16"/>
                      <w:szCs w:val="16"/>
                    </w:rPr>
                    <w:t>14,866.8</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5CBFF446" w14:textId="3D205778" w:rsidR="00054A41" w:rsidRDefault="00054A41" w:rsidP="00054A41">
                  <w:pPr>
                    <w:jc w:val="center"/>
                    <w:rPr>
                      <w:sz w:val="16"/>
                      <w:szCs w:val="16"/>
                    </w:rPr>
                  </w:pPr>
                  <w:r w:rsidRPr="00054A41">
                    <w:rPr>
                      <w:sz w:val="16"/>
                      <w:szCs w:val="16"/>
                    </w:rPr>
                    <w:t>16,447.8</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4B0B1917" w14:textId="4F4392DE" w:rsidR="00054A41" w:rsidRDefault="00054A41" w:rsidP="00054A41">
                  <w:pPr>
                    <w:jc w:val="center"/>
                    <w:rPr>
                      <w:sz w:val="16"/>
                      <w:szCs w:val="16"/>
                    </w:rPr>
                  </w:pPr>
                  <w:r w:rsidRPr="00054A41">
                    <w:rPr>
                      <w:sz w:val="16"/>
                      <w:szCs w:val="16"/>
                    </w:rPr>
                    <w:t>19,733.0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03CE6445" w14:textId="62231E73" w:rsidR="00054A41" w:rsidRDefault="00054A41" w:rsidP="00054A41">
                  <w:pPr>
                    <w:jc w:val="center"/>
                    <w:rPr>
                      <w:sz w:val="16"/>
                      <w:szCs w:val="16"/>
                    </w:rPr>
                  </w:pPr>
                  <w:r w:rsidRPr="00054A41">
                    <w:rPr>
                      <w:sz w:val="16"/>
                      <w:szCs w:val="16"/>
                    </w:rPr>
                    <w:t>21,529.4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FE96789" w14:textId="4A026165" w:rsidR="00054A41" w:rsidRDefault="00054A41" w:rsidP="00054A41">
                  <w:pPr>
                    <w:jc w:val="center"/>
                    <w:rPr>
                      <w:sz w:val="16"/>
                      <w:szCs w:val="16"/>
                    </w:rPr>
                  </w:pPr>
                  <w:r w:rsidRPr="00054A41">
                    <w:rPr>
                      <w:sz w:val="16"/>
                      <w:szCs w:val="16"/>
                    </w:rPr>
                    <w:t>23,449.0</w:t>
                  </w:r>
                </w:p>
              </w:tc>
            </w:tr>
            <w:tr w:rsidR="00054A41" w:rsidRPr="002F062C" w14:paraId="0D74DF99" w14:textId="77777777" w:rsidTr="00054A41">
              <w:tc>
                <w:tcPr>
                  <w:tcW w:w="1562" w:type="dxa"/>
                </w:tcPr>
                <w:p w14:paraId="209309E4" w14:textId="77777777" w:rsidR="00054A41" w:rsidRDefault="00054A41" w:rsidP="002F062C">
                  <w:pPr>
                    <w:rPr>
                      <w:sz w:val="16"/>
                      <w:szCs w:val="16"/>
                    </w:rPr>
                  </w:pPr>
                  <w:r>
                    <w:rPr>
                      <w:sz w:val="16"/>
                      <w:szCs w:val="16"/>
                    </w:rPr>
                    <w:t>Operating Profit</w:t>
                  </w:r>
                </w:p>
              </w:tc>
              <w:tc>
                <w:tcPr>
                  <w:tcW w:w="1007" w:type="dxa"/>
                  <w:tcBorders>
                    <w:top w:val="single" w:sz="4" w:space="0" w:color="auto"/>
                    <w:left w:val="nil"/>
                    <w:bottom w:val="single" w:sz="4" w:space="0" w:color="auto"/>
                    <w:right w:val="single" w:sz="4" w:space="0" w:color="auto"/>
                  </w:tcBorders>
                  <w:shd w:val="clear" w:color="auto" w:fill="auto"/>
                  <w:vAlign w:val="bottom"/>
                </w:tcPr>
                <w:p w14:paraId="43EF44A6" w14:textId="5AD5498E" w:rsidR="00054A41" w:rsidRDefault="00054A41" w:rsidP="00054A41">
                  <w:pPr>
                    <w:jc w:val="center"/>
                    <w:rPr>
                      <w:sz w:val="16"/>
                      <w:szCs w:val="16"/>
                    </w:rPr>
                  </w:pPr>
                  <w:r w:rsidRPr="00054A41">
                    <w:rPr>
                      <w:sz w:val="16"/>
                      <w:szCs w:val="16"/>
                    </w:rPr>
                    <w:t>1,997.4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D295F75" w14:textId="4A6D8B1C" w:rsidR="00054A41" w:rsidRDefault="00054A41" w:rsidP="00054A41">
                  <w:pPr>
                    <w:jc w:val="center"/>
                    <w:rPr>
                      <w:sz w:val="16"/>
                      <w:szCs w:val="16"/>
                    </w:rPr>
                  </w:pPr>
                  <w:r w:rsidRPr="00054A41">
                    <w:rPr>
                      <w:sz w:val="16"/>
                      <w:szCs w:val="16"/>
                    </w:rPr>
                    <w:t>-325.4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473FEC76" w14:textId="7C79C5D4" w:rsidR="00054A41" w:rsidRDefault="00054A41" w:rsidP="00054A41">
                  <w:pPr>
                    <w:jc w:val="center"/>
                    <w:rPr>
                      <w:sz w:val="16"/>
                      <w:szCs w:val="16"/>
                    </w:rPr>
                  </w:pPr>
                  <w:r w:rsidRPr="00054A41">
                    <w:rPr>
                      <w:sz w:val="16"/>
                      <w:szCs w:val="16"/>
                    </w:rPr>
                    <w:t>3,081.1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7A5F465A" w14:textId="3AF4477D" w:rsidR="00054A41" w:rsidRDefault="00054A41" w:rsidP="00054A41">
                  <w:pPr>
                    <w:jc w:val="center"/>
                    <w:rPr>
                      <w:sz w:val="16"/>
                      <w:szCs w:val="16"/>
                    </w:rPr>
                  </w:pPr>
                  <w:r w:rsidRPr="00054A41">
                    <w:rPr>
                      <w:sz w:val="16"/>
                      <w:szCs w:val="16"/>
                    </w:rPr>
                    <w:t>3,743.5</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341AE295" w14:textId="4285162B" w:rsidR="00054A41" w:rsidRDefault="00054A41" w:rsidP="00054A41">
                  <w:pPr>
                    <w:jc w:val="center"/>
                    <w:rPr>
                      <w:sz w:val="16"/>
                      <w:szCs w:val="16"/>
                    </w:rPr>
                  </w:pPr>
                  <w:r w:rsidRPr="00054A41">
                    <w:rPr>
                      <w:sz w:val="16"/>
                      <w:szCs w:val="16"/>
                    </w:rPr>
                    <w:t>4,310.7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06733996" w14:textId="365D8A41" w:rsidR="00054A41" w:rsidRDefault="00054A41" w:rsidP="00054A41">
                  <w:pPr>
                    <w:jc w:val="center"/>
                    <w:rPr>
                      <w:sz w:val="16"/>
                      <w:szCs w:val="16"/>
                    </w:rPr>
                  </w:pPr>
                  <w:r w:rsidRPr="00054A41">
                    <w:rPr>
                      <w:sz w:val="16"/>
                      <w:szCs w:val="16"/>
                    </w:rPr>
                    <w:t>4,928.8</w:t>
                  </w:r>
                </w:p>
              </w:tc>
            </w:tr>
            <w:tr w:rsidR="00054A41" w:rsidRPr="002F062C" w14:paraId="329334DC" w14:textId="77777777" w:rsidTr="00054A41">
              <w:tc>
                <w:tcPr>
                  <w:tcW w:w="1562" w:type="dxa"/>
                </w:tcPr>
                <w:p w14:paraId="57B2BB96" w14:textId="677DF91A" w:rsidR="00054A41" w:rsidRDefault="00054A41" w:rsidP="002F062C">
                  <w:pPr>
                    <w:rPr>
                      <w:sz w:val="16"/>
                      <w:szCs w:val="16"/>
                    </w:rPr>
                  </w:pPr>
                  <w:r>
                    <w:rPr>
                      <w:sz w:val="16"/>
                      <w:szCs w:val="16"/>
                    </w:rPr>
                    <w:t>Operating Margin</w:t>
                  </w:r>
                </w:p>
              </w:tc>
              <w:tc>
                <w:tcPr>
                  <w:tcW w:w="1007" w:type="dxa"/>
                  <w:tcBorders>
                    <w:top w:val="single" w:sz="4" w:space="0" w:color="auto"/>
                    <w:left w:val="nil"/>
                    <w:bottom w:val="single" w:sz="4" w:space="0" w:color="auto"/>
                    <w:right w:val="single" w:sz="4" w:space="0" w:color="auto"/>
                  </w:tcBorders>
                  <w:shd w:val="clear" w:color="auto" w:fill="auto"/>
                  <w:vAlign w:val="bottom"/>
                </w:tcPr>
                <w:p w14:paraId="7ED33C82" w14:textId="7D2AF5AF" w:rsidR="00054A41" w:rsidRDefault="00054A41" w:rsidP="00054A41">
                  <w:pPr>
                    <w:jc w:val="center"/>
                    <w:rPr>
                      <w:sz w:val="16"/>
                      <w:szCs w:val="16"/>
                    </w:rPr>
                  </w:pPr>
                  <w:r w:rsidRPr="00054A41">
                    <w:rPr>
                      <w:sz w:val="16"/>
                      <w:szCs w:val="16"/>
                    </w:rPr>
                    <w:t>15.02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08C55153" w14:textId="14FFC4A9" w:rsidR="00054A41" w:rsidRDefault="00054A41" w:rsidP="00054A41">
                  <w:pPr>
                    <w:jc w:val="center"/>
                    <w:rPr>
                      <w:sz w:val="16"/>
                      <w:szCs w:val="16"/>
                    </w:rPr>
                  </w:pPr>
                  <w:r w:rsidRPr="00054A41">
                    <w:rPr>
                      <w:sz w:val="16"/>
                      <w:szCs w:val="16"/>
                    </w:rPr>
                    <w:t>-2.19</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4CD87A4" w14:textId="288CD884" w:rsidR="00054A41" w:rsidRDefault="00054A41" w:rsidP="00054A41">
                  <w:pPr>
                    <w:jc w:val="center"/>
                    <w:rPr>
                      <w:sz w:val="16"/>
                      <w:szCs w:val="16"/>
                    </w:rPr>
                  </w:pPr>
                  <w:r w:rsidRPr="00054A41">
                    <w:rPr>
                      <w:sz w:val="16"/>
                      <w:szCs w:val="16"/>
                    </w:rPr>
                    <w:t>18.73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2BD951AE" w14:textId="4319CA8C" w:rsidR="00054A41" w:rsidRDefault="00054A41" w:rsidP="00054A41">
                  <w:pPr>
                    <w:jc w:val="center"/>
                    <w:rPr>
                      <w:sz w:val="16"/>
                      <w:szCs w:val="16"/>
                    </w:rPr>
                  </w:pPr>
                  <w:r w:rsidRPr="00054A41">
                    <w:rPr>
                      <w:sz w:val="16"/>
                      <w:szCs w:val="16"/>
                    </w:rPr>
                    <w:t>18.97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4B1F5567" w14:textId="690C5C90" w:rsidR="00054A41" w:rsidRDefault="00054A41" w:rsidP="00054A41">
                  <w:pPr>
                    <w:jc w:val="center"/>
                    <w:rPr>
                      <w:sz w:val="16"/>
                      <w:szCs w:val="16"/>
                    </w:rPr>
                  </w:pPr>
                  <w:r w:rsidRPr="00054A41">
                    <w:rPr>
                      <w:sz w:val="16"/>
                      <w:szCs w:val="16"/>
                    </w:rPr>
                    <w:t>20.02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0C1C3E6B" w14:textId="54407C8B" w:rsidR="00054A41" w:rsidRDefault="00054A41" w:rsidP="00054A41">
                  <w:pPr>
                    <w:jc w:val="center"/>
                    <w:rPr>
                      <w:sz w:val="16"/>
                      <w:szCs w:val="16"/>
                    </w:rPr>
                  </w:pPr>
                  <w:r w:rsidRPr="00054A41">
                    <w:rPr>
                      <w:sz w:val="16"/>
                      <w:szCs w:val="16"/>
                    </w:rPr>
                    <w:t>21.02</w:t>
                  </w:r>
                </w:p>
              </w:tc>
            </w:tr>
            <w:tr w:rsidR="00054A41" w:rsidRPr="002F062C" w14:paraId="334202CA" w14:textId="77777777" w:rsidTr="00054A41">
              <w:tc>
                <w:tcPr>
                  <w:tcW w:w="1562" w:type="dxa"/>
                </w:tcPr>
                <w:p w14:paraId="545FB948" w14:textId="413078AF" w:rsidR="00054A41" w:rsidRDefault="00054A41" w:rsidP="002F062C">
                  <w:pPr>
                    <w:rPr>
                      <w:sz w:val="16"/>
                      <w:szCs w:val="16"/>
                    </w:rPr>
                  </w:pPr>
                  <w:r>
                    <w:rPr>
                      <w:sz w:val="16"/>
                      <w:szCs w:val="16"/>
                    </w:rPr>
                    <w:t xml:space="preserve">Net Income </w:t>
                  </w:r>
                </w:p>
              </w:tc>
              <w:tc>
                <w:tcPr>
                  <w:tcW w:w="1007" w:type="dxa"/>
                  <w:tcBorders>
                    <w:top w:val="single" w:sz="4" w:space="0" w:color="auto"/>
                    <w:left w:val="nil"/>
                    <w:bottom w:val="single" w:sz="4" w:space="0" w:color="auto"/>
                    <w:right w:val="single" w:sz="4" w:space="0" w:color="auto"/>
                  </w:tcBorders>
                  <w:shd w:val="clear" w:color="auto" w:fill="auto"/>
                  <w:vAlign w:val="bottom"/>
                </w:tcPr>
                <w:p w14:paraId="7753E56E" w14:textId="3C4BC76F" w:rsidR="00054A41" w:rsidRDefault="00054A41" w:rsidP="00054A41">
                  <w:pPr>
                    <w:jc w:val="center"/>
                    <w:rPr>
                      <w:sz w:val="16"/>
                      <w:szCs w:val="16"/>
                    </w:rPr>
                  </w:pPr>
                  <w:r w:rsidRPr="00054A41">
                    <w:rPr>
                      <w:sz w:val="16"/>
                      <w:szCs w:val="16"/>
                    </w:rPr>
                    <w:t>1,383.8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6895AAD7" w14:textId="1442CE79" w:rsidR="00054A41" w:rsidRDefault="00054A41" w:rsidP="00054A41">
                  <w:pPr>
                    <w:jc w:val="center"/>
                    <w:rPr>
                      <w:sz w:val="16"/>
                      <w:szCs w:val="16"/>
                    </w:rPr>
                  </w:pPr>
                  <w:r w:rsidRPr="00054A41">
                    <w:rPr>
                      <w:sz w:val="16"/>
                      <w:szCs w:val="16"/>
                    </w:rPr>
                    <w:t>8.3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50C7D9F0" w14:textId="757892FE" w:rsidR="00054A41" w:rsidRDefault="00054A41" w:rsidP="00054A41">
                  <w:pPr>
                    <w:jc w:val="center"/>
                    <w:rPr>
                      <w:sz w:val="16"/>
                      <w:szCs w:val="16"/>
                    </w:rPr>
                  </w:pPr>
                  <w:r w:rsidRPr="00054A41">
                    <w:rPr>
                      <w:sz w:val="16"/>
                      <w:szCs w:val="16"/>
                    </w:rPr>
                    <w:t>2,068.1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E00B23E" w14:textId="3E6F4CD8" w:rsidR="00054A41" w:rsidRDefault="00054A41" w:rsidP="00054A41">
                  <w:pPr>
                    <w:jc w:val="center"/>
                    <w:rPr>
                      <w:sz w:val="16"/>
                      <w:szCs w:val="16"/>
                    </w:rPr>
                  </w:pPr>
                  <w:r w:rsidRPr="00054A41">
                    <w:rPr>
                      <w:sz w:val="16"/>
                      <w:szCs w:val="16"/>
                    </w:rPr>
                    <w:t>2,461.7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BC2B723" w14:textId="144398A9" w:rsidR="00054A41" w:rsidRDefault="00054A41" w:rsidP="00054A41">
                  <w:pPr>
                    <w:jc w:val="center"/>
                    <w:rPr>
                      <w:sz w:val="16"/>
                      <w:szCs w:val="16"/>
                    </w:rPr>
                  </w:pPr>
                  <w:r w:rsidRPr="00054A41">
                    <w:rPr>
                      <w:sz w:val="16"/>
                      <w:szCs w:val="16"/>
                    </w:rPr>
                    <w:t>2,819.5</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7F87F8D" w14:textId="564955E1" w:rsidR="00054A41" w:rsidRDefault="00054A41" w:rsidP="00054A41">
                  <w:pPr>
                    <w:jc w:val="center"/>
                    <w:rPr>
                      <w:sz w:val="16"/>
                      <w:szCs w:val="16"/>
                    </w:rPr>
                  </w:pPr>
                  <w:r w:rsidRPr="00054A41">
                    <w:rPr>
                      <w:sz w:val="16"/>
                      <w:szCs w:val="16"/>
                    </w:rPr>
                    <w:t>3,232.3</w:t>
                  </w:r>
                </w:p>
              </w:tc>
            </w:tr>
            <w:tr w:rsidR="00054A41" w:rsidRPr="002F062C" w14:paraId="100621BB" w14:textId="77777777" w:rsidTr="00054A41">
              <w:tc>
                <w:tcPr>
                  <w:tcW w:w="1562" w:type="dxa"/>
                </w:tcPr>
                <w:p w14:paraId="0671CC90" w14:textId="688384E3" w:rsidR="00054A41" w:rsidRDefault="00054A41" w:rsidP="002F062C">
                  <w:pPr>
                    <w:rPr>
                      <w:sz w:val="16"/>
                      <w:szCs w:val="16"/>
                    </w:rPr>
                  </w:pPr>
                  <w:r>
                    <w:rPr>
                      <w:sz w:val="16"/>
                      <w:szCs w:val="16"/>
                    </w:rPr>
                    <w:t>Revenue Growth %</w:t>
                  </w:r>
                </w:p>
              </w:tc>
              <w:tc>
                <w:tcPr>
                  <w:tcW w:w="1007" w:type="dxa"/>
                  <w:tcBorders>
                    <w:top w:val="single" w:sz="4" w:space="0" w:color="auto"/>
                    <w:left w:val="nil"/>
                    <w:bottom w:val="single" w:sz="4" w:space="0" w:color="auto"/>
                    <w:right w:val="single" w:sz="4" w:space="0" w:color="auto"/>
                  </w:tcBorders>
                  <w:shd w:val="clear" w:color="auto" w:fill="auto"/>
                  <w:vAlign w:val="bottom"/>
                </w:tcPr>
                <w:p w14:paraId="56C1673C" w14:textId="34F0C06B" w:rsidR="00054A41" w:rsidRDefault="00054A41" w:rsidP="00054A41">
                  <w:pPr>
                    <w:jc w:val="center"/>
                    <w:rPr>
                      <w:sz w:val="16"/>
                      <w:szCs w:val="16"/>
                    </w:rPr>
                  </w:pPr>
                  <w:r w:rsidRPr="00054A41">
                    <w:rPr>
                      <w:sz w:val="16"/>
                      <w:szCs w:val="16"/>
                    </w:rPr>
                    <w:t>13.67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54A2481B" w14:textId="49A33833" w:rsidR="00054A41" w:rsidRDefault="00054A41" w:rsidP="00054A41">
                  <w:pPr>
                    <w:jc w:val="center"/>
                    <w:rPr>
                      <w:sz w:val="16"/>
                      <w:szCs w:val="16"/>
                    </w:rPr>
                  </w:pPr>
                  <w:r w:rsidRPr="00054A41">
                    <w:rPr>
                      <w:sz w:val="16"/>
                      <w:szCs w:val="16"/>
                    </w:rPr>
                    <w:t>11.78</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70B50F71" w14:textId="15218CF0" w:rsidR="00054A41" w:rsidRDefault="00054A41" w:rsidP="00054A41">
                  <w:pPr>
                    <w:jc w:val="center"/>
                    <w:rPr>
                      <w:sz w:val="16"/>
                      <w:szCs w:val="16"/>
                    </w:rPr>
                  </w:pPr>
                  <w:r w:rsidRPr="00054A41">
                    <w:rPr>
                      <w:sz w:val="16"/>
                      <w:szCs w:val="16"/>
                    </w:rPr>
                    <w:t>10.63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6D1E67DF" w14:textId="042AA04A" w:rsidR="00054A41" w:rsidRDefault="00054A41" w:rsidP="00054A41">
                  <w:pPr>
                    <w:jc w:val="center"/>
                    <w:rPr>
                      <w:sz w:val="16"/>
                      <w:szCs w:val="16"/>
                    </w:rPr>
                  </w:pPr>
                  <w:r w:rsidRPr="00054A41">
                    <w:rPr>
                      <w:sz w:val="16"/>
                      <w:szCs w:val="16"/>
                    </w:rPr>
                    <w:t>11.87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4283BFBC" w14:textId="167E122D" w:rsidR="00054A41" w:rsidRDefault="00054A41" w:rsidP="00054A41">
                  <w:pPr>
                    <w:jc w:val="center"/>
                    <w:rPr>
                      <w:sz w:val="16"/>
                      <w:szCs w:val="16"/>
                    </w:rPr>
                  </w:pPr>
                  <w:r w:rsidRPr="00054A41">
                    <w:rPr>
                      <w:sz w:val="16"/>
                      <w:szCs w:val="16"/>
                    </w:rPr>
                    <w:t>12.35</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535F7486" w14:textId="01287E39" w:rsidR="00054A41" w:rsidRDefault="00054A41" w:rsidP="00054A41">
                  <w:pPr>
                    <w:jc w:val="center"/>
                    <w:rPr>
                      <w:sz w:val="16"/>
                      <w:szCs w:val="16"/>
                    </w:rPr>
                  </w:pPr>
                  <w:r w:rsidRPr="00054A41">
                    <w:rPr>
                      <w:sz w:val="16"/>
                      <w:szCs w:val="16"/>
                    </w:rPr>
                    <w:t>8.92</w:t>
                  </w:r>
                </w:p>
              </w:tc>
            </w:tr>
            <w:tr w:rsidR="00054A41" w:rsidRPr="002F062C" w14:paraId="3CD7B755" w14:textId="77777777" w:rsidTr="00054A41">
              <w:tc>
                <w:tcPr>
                  <w:tcW w:w="1562" w:type="dxa"/>
                </w:tcPr>
                <w:p w14:paraId="5648CFBC" w14:textId="239BFAAA" w:rsidR="00054A41" w:rsidRDefault="00054A41" w:rsidP="002F062C">
                  <w:pPr>
                    <w:rPr>
                      <w:sz w:val="16"/>
                      <w:szCs w:val="16"/>
                    </w:rPr>
                  </w:pPr>
                  <w:r>
                    <w:rPr>
                      <w:sz w:val="16"/>
                      <w:szCs w:val="16"/>
                    </w:rPr>
                    <w:t>EBITDA%</w:t>
                  </w:r>
                </w:p>
              </w:tc>
              <w:tc>
                <w:tcPr>
                  <w:tcW w:w="1007" w:type="dxa"/>
                  <w:tcBorders>
                    <w:top w:val="single" w:sz="4" w:space="0" w:color="auto"/>
                    <w:left w:val="nil"/>
                    <w:bottom w:val="single" w:sz="4" w:space="0" w:color="auto"/>
                    <w:right w:val="single" w:sz="4" w:space="0" w:color="auto"/>
                  </w:tcBorders>
                  <w:shd w:val="clear" w:color="auto" w:fill="auto"/>
                  <w:vAlign w:val="bottom"/>
                </w:tcPr>
                <w:p w14:paraId="4256401B" w14:textId="65E4F25F" w:rsidR="00054A41" w:rsidRDefault="00054A41" w:rsidP="00054A41">
                  <w:pPr>
                    <w:jc w:val="center"/>
                    <w:rPr>
                      <w:sz w:val="16"/>
                      <w:szCs w:val="16"/>
                    </w:rPr>
                  </w:pPr>
                  <w:r w:rsidRPr="00054A41">
                    <w:rPr>
                      <w:sz w:val="16"/>
                      <w:szCs w:val="16"/>
                    </w:rPr>
                    <w:t>19.38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01E6195D" w14:textId="0FE1CFFD" w:rsidR="00054A41" w:rsidRDefault="00054A41" w:rsidP="00054A41">
                  <w:pPr>
                    <w:jc w:val="center"/>
                    <w:rPr>
                      <w:sz w:val="16"/>
                      <w:szCs w:val="16"/>
                    </w:rPr>
                  </w:pPr>
                  <w:r w:rsidRPr="00054A41">
                    <w:rPr>
                      <w:sz w:val="16"/>
                      <w:szCs w:val="16"/>
                    </w:rPr>
                    <w:t>2.22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7367B82F" w14:textId="1F80B0EA" w:rsidR="00054A41" w:rsidRDefault="00054A41" w:rsidP="00054A41">
                  <w:pPr>
                    <w:jc w:val="center"/>
                    <w:rPr>
                      <w:sz w:val="16"/>
                      <w:szCs w:val="16"/>
                    </w:rPr>
                  </w:pPr>
                  <w:r w:rsidRPr="00054A41">
                    <w:rPr>
                      <w:sz w:val="16"/>
                      <w:szCs w:val="16"/>
                    </w:rPr>
                    <w:t>23.28</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6D11D424" w14:textId="22DBF014" w:rsidR="00054A41" w:rsidRDefault="00054A41" w:rsidP="00054A41">
                  <w:pPr>
                    <w:jc w:val="center"/>
                    <w:rPr>
                      <w:sz w:val="16"/>
                      <w:szCs w:val="16"/>
                    </w:rPr>
                  </w:pPr>
                  <w:r w:rsidRPr="00054A41">
                    <w:rPr>
                      <w:sz w:val="16"/>
                      <w:szCs w:val="16"/>
                    </w:rPr>
                    <w:t>23.86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60045D97" w14:textId="18192BCB" w:rsidR="00054A41" w:rsidRDefault="00054A41" w:rsidP="00054A41">
                  <w:pPr>
                    <w:jc w:val="center"/>
                    <w:rPr>
                      <w:sz w:val="16"/>
                      <w:szCs w:val="16"/>
                    </w:rPr>
                  </w:pPr>
                  <w:r w:rsidRPr="00054A41">
                    <w:rPr>
                      <w:sz w:val="16"/>
                      <w:szCs w:val="16"/>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22875514" w14:textId="7A02F286" w:rsidR="00054A41" w:rsidRDefault="00054A41" w:rsidP="00054A41">
                  <w:pPr>
                    <w:jc w:val="center"/>
                    <w:rPr>
                      <w:sz w:val="16"/>
                      <w:szCs w:val="16"/>
                    </w:rPr>
                  </w:pPr>
                  <w:r w:rsidRPr="00054A41">
                    <w:rPr>
                      <w:sz w:val="16"/>
                      <w:szCs w:val="16"/>
                    </w:rPr>
                    <w:t> </w:t>
                  </w:r>
                </w:p>
              </w:tc>
            </w:tr>
            <w:tr w:rsidR="00054A41" w:rsidRPr="002F062C" w14:paraId="17F9D92A" w14:textId="77777777" w:rsidTr="00054A41">
              <w:tc>
                <w:tcPr>
                  <w:tcW w:w="1562" w:type="dxa"/>
                </w:tcPr>
                <w:p w14:paraId="3AA11444" w14:textId="14101E59" w:rsidR="00054A41" w:rsidRDefault="00054A41" w:rsidP="002F062C">
                  <w:pPr>
                    <w:rPr>
                      <w:sz w:val="16"/>
                      <w:szCs w:val="16"/>
                    </w:rPr>
                  </w:pPr>
                  <w:r>
                    <w:rPr>
                      <w:sz w:val="16"/>
                      <w:szCs w:val="16"/>
                    </w:rPr>
                    <w:t>Operating Profit %</w:t>
                  </w:r>
                </w:p>
              </w:tc>
              <w:tc>
                <w:tcPr>
                  <w:tcW w:w="1007" w:type="dxa"/>
                  <w:tcBorders>
                    <w:top w:val="single" w:sz="4" w:space="0" w:color="auto"/>
                    <w:left w:val="nil"/>
                    <w:bottom w:val="single" w:sz="4" w:space="0" w:color="auto"/>
                    <w:right w:val="single" w:sz="4" w:space="0" w:color="auto"/>
                  </w:tcBorders>
                  <w:shd w:val="clear" w:color="auto" w:fill="auto"/>
                  <w:vAlign w:val="bottom"/>
                </w:tcPr>
                <w:p w14:paraId="50934D1E" w14:textId="678965CF" w:rsidR="00054A41" w:rsidRDefault="00054A41" w:rsidP="00054A41">
                  <w:pPr>
                    <w:jc w:val="center"/>
                    <w:rPr>
                      <w:sz w:val="16"/>
                      <w:szCs w:val="16"/>
                    </w:rPr>
                  </w:pPr>
                  <w:r w:rsidRPr="00054A41">
                    <w:rPr>
                      <w:sz w:val="16"/>
                      <w:szCs w:val="16"/>
                    </w:rPr>
                    <w:t>15.02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3E025EA0" w14:textId="176C090D" w:rsidR="00054A41" w:rsidRDefault="00054A41" w:rsidP="00054A41">
                  <w:pPr>
                    <w:jc w:val="center"/>
                    <w:rPr>
                      <w:sz w:val="16"/>
                      <w:szCs w:val="16"/>
                    </w:rPr>
                  </w:pPr>
                  <w:r w:rsidRPr="00054A41">
                    <w:rPr>
                      <w:sz w:val="16"/>
                      <w:szCs w:val="16"/>
                    </w:rPr>
                    <w:t>-2.19</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7BF4FB16" w14:textId="7B0123FF" w:rsidR="00054A41" w:rsidRDefault="00054A41" w:rsidP="00054A41">
                  <w:pPr>
                    <w:jc w:val="center"/>
                    <w:rPr>
                      <w:sz w:val="16"/>
                      <w:szCs w:val="16"/>
                    </w:rPr>
                  </w:pPr>
                  <w:r w:rsidRPr="00054A41">
                    <w:rPr>
                      <w:sz w:val="16"/>
                      <w:szCs w:val="16"/>
                    </w:rPr>
                    <w:t>18.73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00516877" w14:textId="1CCF56B7" w:rsidR="00054A41" w:rsidRDefault="00054A41" w:rsidP="00054A41">
                  <w:pPr>
                    <w:jc w:val="center"/>
                    <w:rPr>
                      <w:sz w:val="16"/>
                      <w:szCs w:val="16"/>
                    </w:rPr>
                  </w:pPr>
                  <w:r w:rsidRPr="00054A41">
                    <w:rPr>
                      <w:sz w:val="16"/>
                      <w:szCs w:val="16"/>
                    </w:rPr>
                    <w:t>18.97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4E215F3E" w14:textId="4D309D6D" w:rsidR="00054A41" w:rsidRDefault="00054A41" w:rsidP="00054A41">
                  <w:pPr>
                    <w:jc w:val="center"/>
                    <w:rPr>
                      <w:sz w:val="16"/>
                      <w:szCs w:val="16"/>
                    </w:rPr>
                  </w:pPr>
                  <w:r w:rsidRPr="00054A41">
                    <w:rPr>
                      <w:sz w:val="16"/>
                      <w:szCs w:val="16"/>
                    </w:rPr>
                    <w:t>20.02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714FA856" w14:textId="6F2A0B4D" w:rsidR="00054A41" w:rsidRDefault="00054A41" w:rsidP="00054A41">
                  <w:pPr>
                    <w:jc w:val="center"/>
                    <w:rPr>
                      <w:sz w:val="16"/>
                      <w:szCs w:val="16"/>
                    </w:rPr>
                  </w:pPr>
                  <w:r w:rsidRPr="00054A41">
                    <w:rPr>
                      <w:sz w:val="16"/>
                      <w:szCs w:val="16"/>
                    </w:rPr>
                    <w:t>21.02</w:t>
                  </w:r>
                </w:p>
              </w:tc>
            </w:tr>
            <w:tr w:rsidR="00054A41" w:rsidRPr="002F062C" w14:paraId="22A784BE" w14:textId="77777777" w:rsidTr="00054A41">
              <w:tc>
                <w:tcPr>
                  <w:tcW w:w="1562" w:type="dxa"/>
                </w:tcPr>
                <w:p w14:paraId="670CE5B7" w14:textId="116DBC2D" w:rsidR="00054A41" w:rsidRDefault="00054A41" w:rsidP="002F062C">
                  <w:pPr>
                    <w:rPr>
                      <w:sz w:val="16"/>
                      <w:szCs w:val="16"/>
                    </w:rPr>
                  </w:pPr>
                  <w:r>
                    <w:rPr>
                      <w:sz w:val="16"/>
                      <w:szCs w:val="16"/>
                    </w:rPr>
                    <w:t>Net Income Margin</w:t>
                  </w:r>
                </w:p>
              </w:tc>
              <w:tc>
                <w:tcPr>
                  <w:tcW w:w="1007" w:type="dxa"/>
                  <w:tcBorders>
                    <w:top w:val="single" w:sz="4" w:space="0" w:color="auto"/>
                    <w:left w:val="nil"/>
                    <w:bottom w:val="single" w:sz="4" w:space="0" w:color="auto"/>
                    <w:right w:val="single" w:sz="4" w:space="0" w:color="auto"/>
                  </w:tcBorders>
                  <w:shd w:val="clear" w:color="auto" w:fill="auto"/>
                  <w:vAlign w:val="bottom"/>
                </w:tcPr>
                <w:p w14:paraId="74D585ED" w14:textId="1C00731A" w:rsidR="00054A41" w:rsidRDefault="00054A41" w:rsidP="00054A41">
                  <w:pPr>
                    <w:jc w:val="center"/>
                    <w:rPr>
                      <w:sz w:val="16"/>
                      <w:szCs w:val="16"/>
                    </w:rPr>
                  </w:pPr>
                  <w:r w:rsidRPr="00054A41">
                    <w:rPr>
                      <w:sz w:val="16"/>
                      <w:szCs w:val="16"/>
                    </w:rPr>
                    <w:t>10.40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3E7FDD3E" w14:textId="058FCC55" w:rsidR="00054A41" w:rsidRDefault="00054A41" w:rsidP="00054A41">
                  <w:pPr>
                    <w:jc w:val="center"/>
                    <w:rPr>
                      <w:sz w:val="16"/>
                      <w:szCs w:val="16"/>
                    </w:rPr>
                  </w:pPr>
                  <w:r w:rsidRPr="00054A41">
                    <w:rPr>
                      <w:sz w:val="16"/>
                      <w:szCs w:val="16"/>
                    </w:rPr>
                    <w:t>0.06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4A576F03" w14:textId="752234BD" w:rsidR="00054A41" w:rsidRDefault="00054A41" w:rsidP="00054A41">
                  <w:pPr>
                    <w:jc w:val="center"/>
                    <w:rPr>
                      <w:sz w:val="16"/>
                      <w:szCs w:val="16"/>
                    </w:rPr>
                  </w:pPr>
                  <w:r w:rsidRPr="00054A41">
                    <w:rPr>
                      <w:sz w:val="16"/>
                      <w:szCs w:val="16"/>
                    </w:rPr>
                    <w:t>12.57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74A979D" w14:textId="1BB33B0A" w:rsidR="00054A41" w:rsidRDefault="00054A41" w:rsidP="00054A41">
                  <w:pPr>
                    <w:jc w:val="center"/>
                    <w:rPr>
                      <w:sz w:val="16"/>
                      <w:szCs w:val="16"/>
                    </w:rPr>
                  </w:pPr>
                  <w:r w:rsidRPr="00054A41">
                    <w:rPr>
                      <w:sz w:val="16"/>
                      <w:szCs w:val="16"/>
                    </w:rPr>
                    <w:t>12.48</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23A72D7D" w14:textId="2541593F" w:rsidR="00054A41" w:rsidRDefault="00054A41" w:rsidP="00054A41">
                  <w:pPr>
                    <w:jc w:val="center"/>
                    <w:rPr>
                      <w:sz w:val="16"/>
                      <w:szCs w:val="16"/>
                    </w:rPr>
                  </w:pPr>
                  <w:r w:rsidRPr="00054A41">
                    <w:rPr>
                      <w:sz w:val="16"/>
                      <w:szCs w:val="16"/>
                    </w:rPr>
                    <w:t>13.13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5F88EAE0" w14:textId="24E2EF88" w:rsidR="00054A41" w:rsidRDefault="00054A41" w:rsidP="00054A41">
                  <w:pPr>
                    <w:jc w:val="center"/>
                    <w:rPr>
                      <w:sz w:val="16"/>
                      <w:szCs w:val="16"/>
                    </w:rPr>
                  </w:pPr>
                  <w:r w:rsidRPr="00054A41">
                    <w:rPr>
                      <w:sz w:val="16"/>
                      <w:szCs w:val="16"/>
                    </w:rPr>
                    <w:t>13.86</w:t>
                  </w:r>
                </w:p>
              </w:tc>
            </w:tr>
            <w:tr w:rsidR="00054A41" w:rsidRPr="002F062C" w14:paraId="111BB78D" w14:textId="77777777" w:rsidTr="00054A41">
              <w:tc>
                <w:tcPr>
                  <w:tcW w:w="1562" w:type="dxa"/>
                </w:tcPr>
                <w:p w14:paraId="0F9C400C" w14:textId="341D1D65" w:rsidR="00054A41" w:rsidRDefault="00054A41" w:rsidP="006B0A61">
                  <w:pPr>
                    <w:rPr>
                      <w:sz w:val="16"/>
                      <w:szCs w:val="16"/>
                      <w:lang w:eastAsia="zh-CN"/>
                    </w:rPr>
                  </w:pPr>
                  <w:r>
                    <w:rPr>
                      <w:rFonts w:hint="eastAsia"/>
                      <w:sz w:val="16"/>
                      <w:szCs w:val="16"/>
                      <w:lang w:eastAsia="zh-CN"/>
                    </w:rPr>
                    <w:t>Debt to Equity</w:t>
                  </w:r>
                </w:p>
              </w:tc>
              <w:tc>
                <w:tcPr>
                  <w:tcW w:w="1007" w:type="dxa"/>
                  <w:tcBorders>
                    <w:top w:val="single" w:sz="4" w:space="0" w:color="auto"/>
                    <w:left w:val="nil"/>
                    <w:bottom w:val="single" w:sz="4" w:space="0" w:color="auto"/>
                    <w:right w:val="single" w:sz="4" w:space="0" w:color="auto"/>
                  </w:tcBorders>
                  <w:shd w:val="clear" w:color="auto" w:fill="auto"/>
                  <w:vAlign w:val="bottom"/>
                </w:tcPr>
                <w:p w14:paraId="7851C9B9" w14:textId="348E8F73" w:rsidR="00054A41" w:rsidRDefault="00054A41" w:rsidP="00054A41">
                  <w:pPr>
                    <w:jc w:val="center"/>
                    <w:rPr>
                      <w:sz w:val="16"/>
                      <w:szCs w:val="16"/>
                    </w:rPr>
                  </w:pPr>
                  <w:r w:rsidRPr="00054A41">
                    <w:rPr>
                      <w:sz w:val="16"/>
                      <w:szCs w:val="16"/>
                    </w:rPr>
                    <w:t>10.75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74B4B557" w14:textId="20B446F1" w:rsidR="00054A41" w:rsidRDefault="00054A41" w:rsidP="00054A41">
                  <w:pPr>
                    <w:jc w:val="center"/>
                    <w:rPr>
                      <w:sz w:val="16"/>
                      <w:szCs w:val="16"/>
                    </w:rPr>
                  </w:pPr>
                  <w:r w:rsidRPr="00054A41">
                    <w:rPr>
                      <w:sz w:val="16"/>
                      <w:szCs w:val="16"/>
                    </w:rPr>
                    <w:t>28.99</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539DC39D" w14:textId="3F1926E4" w:rsidR="00054A41" w:rsidRDefault="00054A41" w:rsidP="00054A41">
                  <w:pPr>
                    <w:jc w:val="center"/>
                    <w:rPr>
                      <w:sz w:val="16"/>
                      <w:szCs w:val="16"/>
                    </w:rPr>
                  </w:pPr>
                  <w:r w:rsidRPr="00054A41">
                    <w:rPr>
                      <w:sz w:val="16"/>
                      <w:szCs w:val="16"/>
                    </w:rPr>
                    <w:t>38.84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6666455C" w14:textId="68FC3A2F" w:rsidR="00054A41" w:rsidRDefault="00054A41" w:rsidP="00054A41">
                  <w:pPr>
                    <w:jc w:val="center"/>
                    <w:rPr>
                      <w:sz w:val="16"/>
                      <w:szCs w:val="16"/>
                    </w:rPr>
                  </w:pPr>
                  <w:r w:rsidRPr="00054A41">
                    <w:rPr>
                      <w:sz w:val="16"/>
                      <w:szCs w:val="16"/>
                    </w:rPr>
                    <w:t>39.24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7C7FC6C4" w14:textId="5173514A" w:rsidR="00054A41" w:rsidRDefault="00054A41" w:rsidP="00054A41">
                  <w:pPr>
                    <w:jc w:val="center"/>
                    <w:rPr>
                      <w:sz w:val="16"/>
                      <w:szCs w:val="16"/>
                    </w:rPr>
                  </w:pPr>
                  <w:r w:rsidRPr="00054A41">
                    <w:rPr>
                      <w:sz w:val="16"/>
                      <w:szCs w:val="16"/>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4CF94011" w14:textId="0700264E" w:rsidR="00054A41" w:rsidRDefault="00054A41" w:rsidP="00054A41">
                  <w:pPr>
                    <w:jc w:val="center"/>
                    <w:rPr>
                      <w:sz w:val="16"/>
                      <w:szCs w:val="16"/>
                    </w:rPr>
                  </w:pPr>
                  <w:r w:rsidRPr="00054A41">
                    <w:rPr>
                      <w:sz w:val="16"/>
                      <w:szCs w:val="16"/>
                    </w:rPr>
                    <w:t> </w:t>
                  </w:r>
                </w:p>
              </w:tc>
            </w:tr>
            <w:tr w:rsidR="00054A41" w:rsidRPr="002F062C" w14:paraId="4BD993C7" w14:textId="77777777" w:rsidTr="00054A41">
              <w:tc>
                <w:tcPr>
                  <w:tcW w:w="1562" w:type="dxa"/>
                </w:tcPr>
                <w:p w14:paraId="6F5D5ADC" w14:textId="2EBE6E3C" w:rsidR="00054A41" w:rsidRDefault="00054A41" w:rsidP="002F062C">
                  <w:pPr>
                    <w:rPr>
                      <w:sz w:val="16"/>
                      <w:szCs w:val="16"/>
                    </w:rPr>
                  </w:pPr>
                  <w:r>
                    <w:rPr>
                      <w:sz w:val="16"/>
                      <w:szCs w:val="16"/>
                    </w:rPr>
                    <w:t>EPS</w:t>
                  </w:r>
                </w:p>
              </w:tc>
              <w:tc>
                <w:tcPr>
                  <w:tcW w:w="1007" w:type="dxa"/>
                  <w:tcBorders>
                    <w:top w:val="single" w:sz="4" w:space="0" w:color="auto"/>
                    <w:left w:val="nil"/>
                    <w:bottom w:val="single" w:sz="4" w:space="0" w:color="auto"/>
                    <w:right w:val="single" w:sz="4" w:space="0" w:color="auto"/>
                  </w:tcBorders>
                  <w:shd w:val="clear" w:color="auto" w:fill="auto"/>
                  <w:vAlign w:val="bottom"/>
                </w:tcPr>
                <w:p w14:paraId="6B73A46D" w14:textId="05397D82" w:rsidR="00054A41" w:rsidRDefault="00054A41" w:rsidP="00054A41">
                  <w:pPr>
                    <w:jc w:val="center"/>
                    <w:rPr>
                      <w:sz w:val="16"/>
                      <w:szCs w:val="16"/>
                    </w:rPr>
                  </w:pPr>
                  <w:r w:rsidRPr="00054A41">
                    <w:rPr>
                      <w:sz w:val="16"/>
                      <w:szCs w:val="16"/>
                    </w:rPr>
                    <w:t>0.92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E77E933" w14:textId="0B100674" w:rsidR="00054A41" w:rsidRDefault="00054A41" w:rsidP="00054A41">
                  <w:pPr>
                    <w:jc w:val="center"/>
                    <w:rPr>
                      <w:sz w:val="16"/>
                      <w:szCs w:val="16"/>
                    </w:rPr>
                  </w:pPr>
                  <w:r w:rsidRPr="00054A41">
                    <w:rPr>
                      <w:sz w:val="16"/>
                      <w:szCs w:val="16"/>
                    </w:rPr>
                    <w:t>0.01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693A3040" w14:textId="6BFBE181" w:rsidR="00054A41" w:rsidRDefault="00054A41" w:rsidP="00054A41">
                  <w:pPr>
                    <w:jc w:val="center"/>
                    <w:rPr>
                      <w:sz w:val="16"/>
                      <w:szCs w:val="16"/>
                    </w:rPr>
                  </w:pPr>
                  <w:r w:rsidRPr="00054A41">
                    <w:rPr>
                      <w:sz w:val="16"/>
                      <w:szCs w:val="16"/>
                    </w:rPr>
                    <w:t>1.38</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785A0893" w14:textId="5EC5D977" w:rsidR="00054A41" w:rsidRDefault="00054A41" w:rsidP="00054A41">
                  <w:pPr>
                    <w:jc w:val="center"/>
                    <w:rPr>
                      <w:sz w:val="16"/>
                      <w:szCs w:val="16"/>
                    </w:rPr>
                  </w:pPr>
                  <w:r w:rsidRPr="00054A41">
                    <w:rPr>
                      <w:sz w:val="16"/>
                      <w:szCs w:val="16"/>
                    </w:rPr>
                    <w:t>1.64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3107DCE0" w14:textId="64C9D790" w:rsidR="00054A41" w:rsidRDefault="00054A41" w:rsidP="00054A41">
                  <w:pPr>
                    <w:jc w:val="center"/>
                    <w:rPr>
                      <w:sz w:val="16"/>
                      <w:szCs w:val="16"/>
                    </w:rPr>
                  </w:pPr>
                  <w:r w:rsidRPr="00054A41">
                    <w:rPr>
                      <w:sz w:val="16"/>
                      <w:szCs w:val="16"/>
                    </w:rPr>
                    <w:t>1.88</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5B13F64" w14:textId="24B570F8" w:rsidR="00054A41" w:rsidRDefault="00054A41" w:rsidP="00054A41">
                  <w:pPr>
                    <w:jc w:val="center"/>
                    <w:rPr>
                      <w:sz w:val="16"/>
                      <w:szCs w:val="16"/>
                    </w:rPr>
                  </w:pPr>
                  <w:r w:rsidRPr="00054A41">
                    <w:rPr>
                      <w:sz w:val="16"/>
                      <w:szCs w:val="16"/>
                    </w:rPr>
                    <w:t>2.19</w:t>
                  </w:r>
                </w:p>
              </w:tc>
            </w:tr>
            <w:tr w:rsidR="00054A41" w:rsidRPr="002F062C" w14:paraId="3EBC0A0A" w14:textId="77777777" w:rsidTr="00054A41">
              <w:tc>
                <w:tcPr>
                  <w:tcW w:w="1562" w:type="dxa"/>
                </w:tcPr>
                <w:p w14:paraId="61AE1051" w14:textId="4B056FAE" w:rsidR="00054A41" w:rsidRDefault="00054A41" w:rsidP="002F062C">
                  <w:pPr>
                    <w:rPr>
                      <w:sz w:val="16"/>
                      <w:szCs w:val="16"/>
                    </w:rPr>
                  </w:pPr>
                  <w:r>
                    <w:rPr>
                      <w:sz w:val="16"/>
                      <w:szCs w:val="16"/>
                    </w:rPr>
                    <w:t xml:space="preserve">PE Ratio </w:t>
                  </w:r>
                </w:p>
              </w:tc>
              <w:tc>
                <w:tcPr>
                  <w:tcW w:w="1007" w:type="dxa"/>
                  <w:tcBorders>
                    <w:top w:val="single" w:sz="4" w:space="0" w:color="auto"/>
                    <w:left w:val="nil"/>
                    <w:bottom w:val="single" w:sz="4" w:space="0" w:color="auto"/>
                    <w:right w:val="single" w:sz="4" w:space="0" w:color="auto"/>
                  </w:tcBorders>
                  <w:shd w:val="clear" w:color="auto" w:fill="auto"/>
                  <w:vAlign w:val="bottom"/>
                </w:tcPr>
                <w:p w14:paraId="6DB4D0DC" w14:textId="3A32C034" w:rsidR="00054A41" w:rsidRDefault="00054A41" w:rsidP="00054A41">
                  <w:pPr>
                    <w:jc w:val="center"/>
                    <w:rPr>
                      <w:sz w:val="16"/>
                      <w:szCs w:val="16"/>
                    </w:rPr>
                  </w:pPr>
                  <w:r w:rsidRPr="00054A41">
                    <w:rPr>
                      <w:sz w:val="16"/>
                      <w:szCs w:val="16"/>
                    </w:rPr>
                    <w:t>28.33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CBD752B" w14:textId="684EF17F" w:rsidR="00054A41" w:rsidRDefault="00054A41" w:rsidP="00054A41">
                  <w:pPr>
                    <w:jc w:val="center"/>
                    <w:rPr>
                      <w:sz w:val="16"/>
                      <w:szCs w:val="16"/>
                    </w:rPr>
                  </w:pPr>
                  <w:r w:rsidRPr="00054A41">
                    <w:rPr>
                      <w:sz w:val="16"/>
                      <w:szCs w:val="16"/>
                    </w:rPr>
                    <w:t>35.15</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B44C62B" w14:textId="30BE7FD8" w:rsidR="00054A41" w:rsidRDefault="00054A41" w:rsidP="00054A41">
                  <w:pPr>
                    <w:jc w:val="center"/>
                    <w:rPr>
                      <w:sz w:val="16"/>
                      <w:szCs w:val="16"/>
                    </w:rPr>
                  </w:pPr>
                  <w:r w:rsidRPr="00054A41">
                    <w:rPr>
                      <w:sz w:val="16"/>
                      <w:szCs w:val="16"/>
                    </w:rPr>
                    <w:t>28.89</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38732767" w14:textId="5875F68A" w:rsidR="00054A41" w:rsidRDefault="00054A41" w:rsidP="00054A41">
                  <w:pPr>
                    <w:jc w:val="center"/>
                    <w:rPr>
                      <w:sz w:val="16"/>
                      <w:szCs w:val="16"/>
                    </w:rPr>
                  </w:pPr>
                  <w:r w:rsidRPr="00054A41">
                    <w:rPr>
                      <w:sz w:val="16"/>
                      <w:szCs w:val="16"/>
                    </w:rPr>
                    <w:t>35.44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34BB74B5" w14:textId="04F13B48" w:rsidR="00054A41" w:rsidRDefault="00054A41" w:rsidP="00054A41">
                  <w:pPr>
                    <w:jc w:val="center"/>
                    <w:rPr>
                      <w:sz w:val="16"/>
                      <w:szCs w:val="16"/>
                    </w:rPr>
                  </w:pPr>
                  <w:r w:rsidRPr="00054A41">
                    <w:rPr>
                      <w:sz w:val="16"/>
                      <w:szCs w:val="16"/>
                    </w:rPr>
                    <w:t>30.48</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67918E0" w14:textId="6CCA84B0" w:rsidR="00054A41" w:rsidRDefault="00054A41" w:rsidP="00054A41">
                  <w:pPr>
                    <w:jc w:val="center"/>
                    <w:rPr>
                      <w:sz w:val="16"/>
                      <w:szCs w:val="16"/>
                    </w:rPr>
                  </w:pPr>
                  <w:r w:rsidRPr="00054A41">
                    <w:rPr>
                      <w:sz w:val="16"/>
                      <w:szCs w:val="16"/>
                    </w:rPr>
                    <w:t>26.36</w:t>
                  </w:r>
                </w:p>
              </w:tc>
            </w:tr>
            <w:tr w:rsidR="00054A41" w:rsidRPr="002F062C" w14:paraId="235E2086" w14:textId="77777777" w:rsidTr="00054A41">
              <w:tc>
                <w:tcPr>
                  <w:tcW w:w="1562" w:type="dxa"/>
                </w:tcPr>
                <w:p w14:paraId="64A6EBFE" w14:textId="5A9C2C98" w:rsidR="00054A41" w:rsidRDefault="00054A41" w:rsidP="002F062C">
                  <w:pPr>
                    <w:rPr>
                      <w:sz w:val="16"/>
                      <w:szCs w:val="16"/>
                    </w:rPr>
                  </w:pPr>
                  <w:r>
                    <w:rPr>
                      <w:sz w:val="16"/>
                      <w:szCs w:val="16"/>
                    </w:rPr>
                    <w:t>Current Ratio</w:t>
                  </w:r>
                </w:p>
              </w:tc>
              <w:tc>
                <w:tcPr>
                  <w:tcW w:w="1007" w:type="dxa"/>
                  <w:tcBorders>
                    <w:top w:val="single" w:sz="4" w:space="0" w:color="auto"/>
                    <w:left w:val="nil"/>
                    <w:bottom w:val="single" w:sz="4" w:space="0" w:color="auto"/>
                    <w:right w:val="single" w:sz="4" w:space="0" w:color="auto"/>
                  </w:tcBorders>
                  <w:shd w:val="clear" w:color="auto" w:fill="auto"/>
                  <w:vAlign w:val="bottom"/>
                </w:tcPr>
                <w:p w14:paraId="72B86E80" w14:textId="37BA416B" w:rsidR="00054A41" w:rsidRDefault="00054A41" w:rsidP="00054A41">
                  <w:pPr>
                    <w:jc w:val="center"/>
                    <w:rPr>
                      <w:sz w:val="16"/>
                      <w:szCs w:val="16"/>
                    </w:rPr>
                  </w:pPr>
                  <w:r w:rsidRPr="00054A41">
                    <w:rPr>
                      <w:sz w:val="16"/>
                      <w:szCs w:val="16"/>
                    </w:rPr>
                    <w:t>1.90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28740EAD" w14:textId="010A53AE" w:rsidR="00054A41" w:rsidRDefault="00054A41" w:rsidP="00054A41">
                  <w:pPr>
                    <w:jc w:val="center"/>
                    <w:rPr>
                      <w:sz w:val="16"/>
                      <w:szCs w:val="16"/>
                    </w:rPr>
                  </w:pPr>
                  <w:r w:rsidRPr="00054A41">
                    <w:rPr>
                      <w:sz w:val="16"/>
                      <w:szCs w:val="16"/>
                    </w:rPr>
                    <w:t>1.02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0763C52A" w14:textId="177C052E" w:rsidR="00054A41" w:rsidRDefault="00054A41" w:rsidP="00054A41">
                  <w:pPr>
                    <w:jc w:val="center"/>
                    <w:rPr>
                      <w:sz w:val="16"/>
                      <w:szCs w:val="16"/>
                    </w:rPr>
                  </w:pPr>
                  <w:r w:rsidRPr="00054A41">
                    <w:rPr>
                      <w:sz w:val="16"/>
                      <w:szCs w:val="16"/>
                    </w:rPr>
                    <w:t>1.37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98F8638" w14:textId="194996B8" w:rsidR="00054A41" w:rsidRDefault="00054A41" w:rsidP="00054A41">
                  <w:pPr>
                    <w:jc w:val="center"/>
                    <w:rPr>
                      <w:sz w:val="16"/>
                      <w:szCs w:val="16"/>
                    </w:rPr>
                  </w:pPr>
                  <w:r w:rsidRPr="00054A41">
                    <w:rPr>
                      <w:sz w:val="16"/>
                      <w:szCs w:val="16"/>
                    </w:rPr>
                    <w:t>1.07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321CE165" w14:textId="0BF5F3BF" w:rsidR="00054A41" w:rsidRDefault="00054A41" w:rsidP="00054A41">
                  <w:pPr>
                    <w:jc w:val="center"/>
                    <w:rPr>
                      <w:sz w:val="16"/>
                      <w:szCs w:val="16"/>
                    </w:rPr>
                  </w:pPr>
                  <w:r w:rsidRPr="00054A41">
                    <w:rPr>
                      <w:sz w:val="16"/>
                      <w:szCs w:val="16"/>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8FFAB5F" w14:textId="61BCDAFF" w:rsidR="00054A41" w:rsidRDefault="00054A41" w:rsidP="00054A41">
                  <w:pPr>
                    <w:jc w:val="center"/>
                    <w:rPr>
                      <w:sz w:val="16"/>
                      <w:szCs w:val="16"/>
                    </w:rPr>
                  </w:pPr>
                  <w:r w:rsidRPr="00054A41">
                    <w:rPr>
                      <w:sz w:val="16"/>
                      <w:szCs w:val="16"/>
                    </w:rPr>
                    <w:t> </w:t>
                  </w:r>
                </w:p>
              </w:tc>
            </w:tr>
            <w:tr w:rsidR="00054A41" w:rsidRPr="002F062C" w14:paraId="6A512B42" w14:textId="77777777" w:rsidTr="00054A41">
              <w:tc>
                <w:tcPr>
                  <w:tcW w:w="1562" w:type="dxa"/>
                </w:tcPr>
                <w:p w14:paraId="30EB3D41" w14:textId="10B62CC9" w:rsidR="00054A41" w:rsidRDefault="00054A41" w:rsidP="002F062C">
                  <w:pPr>
                    <w:rPr>
                      <w:sz w:val="16"/>
                      <w:szCs w:val="16"/>
                    </w:rPr>
                  </w:pPr>
                  <w:r>
                    <w:rPr>
                      <w:sz w:val="16"/>
                      <w:szCs w:val="16"/>
                    </w:rPr>
                    <w:t>ROE</w:t>
                  </w:r>
                </w:p>
              </w:tc>
              <w:tc>
                <w:tcPr>
                  <w:tcW w:w="1007" w:type="dxa"/>
                  <w:tcBorders>
                    <w:top w:val="single" w:sz="4" w:space="0" w:color="auto"/>
                    <w:left w:val="nil"/>
                    <w:bottom w:val="single" w:sz="4" w:space="0" w:color="auto"/>
                    <w:right w:val="single" w:sz="4" w:space="0" w:color="auto"/>
                  </w:tcBorders>
                  <w:shd w:val="clear" w:color="auto" w:fill="auto"/>
                  <w:vAlign w:val="bottom"/>
                </w:tcPr>
                <w:p w14:paraId="4B99ACE5" w14:textId="6566E466" w:rsidR="00054A41" w:rsidRDefault="00054A41" w:rsidP="00054A41">
                  <w:pPr>
                    <w:jc w:val="center"/>
                    <w:rPr>
                      <w:sz w:val="16"/>
                      <w:szCs w:val="16"/>
                    </w:rPr>
                  </w:pPr>
                  <w:r w:rsidRPr="00054A41">
                    <w:rPr>
                      <w:sz w:val="16"/>
                      <w:szCs w:val="16"/>
                    </w:rPr>
                    <w:t>29.15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618AB591" w14:textId="5431229A" w:rsidR="00054A41" w:rsidRDefault="00054A41" w:rsidP="00054A41">
                  <w:pPr>
                    <w:jc w:val="center"/>
                    <w:rPr>
                      <w:sz w:val="16"/>
                      <w:szCs w:val="16"/>
                    </w:rPr>
                  </w:pPr>
                  <w:r w:rsidRPr="00054A41">
                    <w:rPr>
                      <w:sz w:val="16"/>
                      <w:szCs w:val="16"/>
                    </w:rPr>
                    <w:t>0.17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2164567E" w14:textId="0A394586" w:rsidR="00054A41" w:rsidRDefault="00054A41" w:rsidP="00054A41">
                  <w:pPr>
                    <w:jc w:val="center"/>
                    <w:rPr>
                      <w:sz w:val="16"/>
                      <w:szCs w:val="16"/>
                    </w:rPr>
                  </w:pPr>
                  <w:r w:rsidRPr="00054A41">
                    <w:rPr>
                      <w:sz w:val="16"/>
                      <w:szCs w:val="16"/>
                    </w:rPr>
                    <w:t>42.41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2156D8F2" w14:textId="1E799ADC" w:rsidR="00054A41" w:rsidRDefault="00054A41" w:rsidP="00054A41">
                  <w:pPr>
                    <w:jc w:val="center"/>
                    <w:rPr>
                      <w:sz w:val="16"/>
                      <w:szCs w:val="16"/>
                    </w:rPr>
                  </w:pPr>
                  <w:r w:rsidRPr="00054A41">
                    <w:rPr>
                      <w:sz w:val="16"/>
                      <w:szCs w:val="16"/>
                    </w:rPr>
                    <w:t>41.88</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BCD8618" w14:textId="5E85C99A" w:rsidR="00054A41" w:rsidRDefault="00054A41" w:rsidP="00054A41">
                  <w:pPr>
                    <w:jc w:val="center"/>
                    <w:rPr>
                      <w:sz w:val="16"/>
                      <w:szCs w:val="16"/>
                    </w:rPr>
                  </w:pPr>
                  <w:r w:rsidRPr="00054A41">
                    <w:rPr>
                      <w:sz w:val="16"/>
                      <w:szCs w:val="16"/>
                    </w:rPr>
                    <w:t>42.62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369E19D1" w14:textId="417F478D" w:rsidR="00054A41" w:rsidRDefault="00054A41" w:rsidP="00054A41">
                  <w:pPr>
                    <w:jc w:val="center"/>
                    <w:rPr>
                      <w:sz w:val="16"/>
                      <w:szCs w:val="16"/>
                    </w:rPr>
                  </w:pPr>
                  <w:r w:rsidRPr="00054A41">
                    <w:rPr>
                      <w:sz w:val="16"/>
                      <w:szCs w:val="16"/>
                    </w:rPr>
                    <w:t>49.01</w:t>
                  </w:r>
                </w:p>
              </w:tc>
            </w:tr>
            <w:tr w:rsidR="00054A41" w:rsidRPr="002F062C" w14:paraId="059E3A59" w14:textId="77777777" w:rsidTr="00054A41">
              <w:tc>
                <w:tcPr>
                  <w:tcW w:w="1562" w:type="dxa"/>
                </w:tcPr>
                <w:p w14:paraId="49C83FCA" w14:textId="776BC2C9" w:rsidR="00054A41" w:rsidRDefault="00054A41" w:rsidP="002F062C">
                  <w:pPr>
                    <w:rPr>
                      <w:sz w:val="16"/>
                      <w:szCs w:val="16"/>
                    </w:rPr>
                  </w:pPr>
                  <w:r>
                    <w:rPr>
                      <w:sz w:val="16"/>
                      <w:szCs w:val="16"/>
                    </w:rPr>
                    <w:t>ROA</w:t>
                  </w:r>
                </w:p>
              </w:tc>
              <w:tc>
                <w:tcPr>
                  <w:tcW w:w="1007" w:type="dxa"/>
                  <w:tcBorders>
                    <w:top w:val="single" w:sz="4" w:space="0" w:color="auto"/>
                    <w:left w:val="nil"/>
                    <w:bottom w:val="single" w:sz="4" w:space="0" w:color="auto"/>
                    <w:right w:val="single" w:sz="4" w:space="0" w:color="auto"/>
                  </w:tcBorders>
                  <w:shd w:val="clear" w:color="auto" w:fill="auto"/>
                  <w:vAlign w:val="bottom"/>
                </w:tcPr>
                <w:p w14:paraId="2243F7CF" w14:textId="5F875F89" w:rsidR="00054A41" w:rsidRDefault="00054A41" w:rsidP="00054A41">
                  <w:pPr>
                    <w:jc w:val="center"/>
                    <w:rPr>
                      <w:sz w:val="16"/>
                      <w:szCs w:val="16"/>
                    </w:rPr>
                  </w:pPr>
                  <w:r w:rsidRPr="00054A41">
                    <w:rPr>
                      <w:sz w:val="16"/>
                      <w:szCs w:val="16"/>
                    </w:rPr>
                    <w:t>17.76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2486885B" w14:textId="3E5C033E" w:rsidR="00054A41" w:rsidRDefault="00054A41" w:rsidP="00054A41">
                  <w:pPr>
                    <w:jc w:val="center"/>
                    <w:rPr>
                      <w:sz w:val="16"/>
                      <w:szCs w:val="16"/>
                    </w:rPr>
                  </w:pPr>
                  <w:r w:rsidRPr="00054A41">
                    <w:rPr>
                      <w:sz w:val="16"/>
                      <w:szCs w:val="16"/>
                    </w:rPr>
                    <w:t>0.08</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5829E1D3" w14:textId="598F1783" w:rsidR="00054A41" w:rsidRDefault="00054A41" w:rsidP="00054A41">
                  <w:pPr>
                    <w:jc w:val="center"/>
                    <w:rPr>
                      <w:sz w:val="16"/>
                      <w:szCs w:val="16"/>
                    </w:rPr>
                  </w:pPr>
                  <w:r w:rsidRPr="00054A41">
                    <w:rPr>
                      <w:sz w:val="16"/>
                      <w:szCs w:val="16"/>
                    </w:rPr>
                    <w:t>18.57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59C94287" w14:textId="68F86F2E" w:rsidR="00054A41" w:rsidRDefault="00054A41" w:rsidP="00054A41">
                  <w:pPr>
                    <w:jc w:val="center"/>
                    <w:rPr>
                      <w:sz w:val="16"/>
                      <w:szCs w:val="16"/>
                    </w:rPr>
                  </w:pPr>
                  <w:r w:rsidRPr="00054A41">
                    <w:rPr>
                      <w:sz w:val="16"/>
                      <w:szCs w:val="16"/>
                    </w:rPr>
                    <w:t>19.46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90A1DF2" w14:textId="078F485C" w:rsidR="00054A41" w:rsidRDefault="00054A41" w:rsidP="00054A41">
                  <w:pPr>
                    <w:jc w:val="center"/>
                    <w:rPr>
                      <w:sz w:val="16"/>
                      <w:szCs w:val="16"/>
                    </w:rPr>
                  </w:pPr>
                  <w:r w:rsidRPr="00054A41">
                    <w:rPr>
                      <w:sz w:val="16"/>
                      <w:szCs w:val="16"/>
                    </w:rPr>
                    <w:t>23.07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342B8BC8" w14:textId="5461C042" w:rsidR="00054A41" w:rsidRDefault="00054A41" w:rsidP="00054A41">
                  <w:pPr>
                    <w:jc w:val="center"/>
                    <w:rPr>
                      <w:sz w:val="16"/>
                      <w:szCs w:val="16"/>
                    </w:rPr>
                  </w:pPr>
                  <w:r w:rsidRPr="00054A41">
                    <w:rPr>
                      <w:sz w:val="16"/>
                      <w:szCs w:val="16"/>
                    </w:rPr>
                    <w:t>23.11</w:t>
                  </w:r>
                </w:p>
              </w:tc>
            </w:tr>
            <w:tr w:rsidR="00054A41" w:rsidRPr="002F062C" w14:paraId="3DD5E939" w14:textId="77777777" w:rsidTr="00054A41">
              <w:tc>
                <w:tcPr>
                  <w:tcW w:w="1562" w:type="dxa"/>
                </w:tcPr>
                <w:p w14:paraId="5964CDC4" w14:textId="23B0D71B" w:rsidR="00054A41" w:rsidRDefault="00054A41" w:rsidP="002F062C">
                  <w:pPr>
                    <w:rPr>
                      <w:sz w:val="16"/>
                      <w:szCs w:val="16"/>
                    </w:rPr>
                  </w:pPr>
                  <w:r>
                    <w:rPr>
                      <w:sz w:val="16"/>
                      <w:szCs w:val="16"/>
                    </w:rPr>
                    <w:t>Dividend Per Share</w:t>
                  </w:r>
                </w:p>
              </w:tc>
              <w:tc>
                <w:tcPr>
                  <w:tcW w:w="1007" w:type="dxa"/>
                  <w:tcBorders>
                    <w:top w:val="single" w:sz="4" w:space="0" w:color="auto"/>
                    <w:left w:val="nil"/>
                    <w:bottom w:val="single" w:sz="4" w:space="0" w:color="auto"/>
                    <w:right w:val="single" w:sz="4" w:space="0" w:color="auto"/>
                  </w:tcBorders>
                  <w:shd w:val="clear" w:color="auto" w:fill="auto"/>
                  <w:vAlign w:val="bottom"/>
                </w:tcPr>
                <w:p w14:paraId="0B36B8CA" w14:textId="7D8F5182" w:rsidR="00054A41" w:rsidRDefault="00054A41" w:rsidP="00054A41">
                  <w:pPr>
                    <w:jc w:val="center"/>
                    <w:rPr>
                      <w:sz w:val="16"/>
                      <w:szCs w:val="16"/>
                    </w:rPr>
                  </w:pPr>
                  <w:r w:rsidRPr="00054A41">
                    <w:rPr>
                      <w:sz w:val="16"/>
                      <w:szCs w:val="16"/>
                    </w:rPr>
                    <w:t>0.36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D5BD607" w14:textId="1BE7110E" w:rsidR="00054A41" w:rsidRDefault="00054A41" w:rsidP="00054A41">
                  <w:pPr>
                    <w:jc w:val="center"/>
                    <w:rPr>
                      <w:sz w:val="16"/>
                      <w:szCs w:val="16"/>
                    </w:rPr>
                  </w:pPr>
                  <w:r w:rsidRPr="00054A41">
                    <w:rPr>
                      <w:sz w:val="16"/>
                      <w:szCs w:val="16"/>
                    </w:rPr>
                    <w:t>0.45</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572EB0AB" w14:textId="528446CF" w:rsidR="00054A41" w:rsidRDefault="00054A41" w:rsidP="00054A41">
                  <w:pPr>
                    <w:jc w:val="center"/>
                    <w:rPr>
                      <w:sz w:val="16"/>
                      <w:szCs w:val="16"/>
                    </w:rPr>
                  </w:pPr>
                  <w:r w:rsidRPr="00054A41">
                    <w:rPr>
                      <w:sz w:val="16"/>
                      <w:szCs w:val="16"/>
                    </w:rPr>
                    <w:t>0.55</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353C8011" w14:textId="29F47B0C" w:rsidR="00054A41" w:rsidRDefault="00054A41" w:rsidP="00054A41">
                  <w:pPr>
                    <w:jc w:val="center"/>
                    <w:rPr>
                      <w:sz w:val="16"/>
                      <w:szCs w:val="16"/>
                    </w:rPr>
                  </w:pPr>
                  <w:r w:rsidRPr="00054A41">
                    <w:rPr>
                      <w:sz w:val="16"/>
                      <w:szCs w:val="16"/>
                    </w:rPr>
                    <w:t>0.72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6D09CDE3" w14:textId="4CDA84B9" w:rsidR="00054A41" w:rsidRDefault="00054A41" w:rsidP="00054A41">
                  <w:pPr>
                    <w:jc w:val="center"/>
                    <w:rPr>
                      <w:sz w:val="16"/>
                      <w:szCs w:val="16"/>
                    </w:rPr>
                  </w:pPr>
                  <w:r w:rsidRPr="00054A41">
                    <w:rPr>
                      <w:sz w:val="16"/>
                      <w:szCs w:val="16"/>
                    </w:rPr>
                    <w:t>0.82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2C2C62C5" w14:textId="247E7639" w:rsidR="00054A41" w:rsidRDefault="00054A41" w:rsidP="00054A41">
                  <w:pPr>
                    <w:jc w:val="center"/>
                    <w:rPr>
                      <w:sz w:val="16"/>
                      <w:szCs w:val="16"/>
                    </w:rPr>
                  </w:pPr>
                  <w:r w:rsidRPr="00054A41">
                    <w:rPr>
                      <w:sz w:val="16"/>
                      <w:szCs w:val="16"/>
                    </w:rPr>
                    <w:t>0.94</w:t>
                  </w:r>
                </w:p>
              </w:tc>
            </w:tr>
            <w:tr w:rsidR="00054A41" w:rsidRPr="002F062C" w14:paraId="5907048A" w14:textId="77777777" w:rsidTr="00054A41">
              <w:trPr>
                <w:trHeight w:val="237"/>
              </w:trPr>
              <w:tc>
                <w:tcPr>
                  <w:tcW w:w="1562" w:type="dxa"/>
                </w:tcPr>
                <w:p w14:paraId="3D304A41" w14:textId="146FB2DD" w:rsidR="00054A41" w:rsidRDefault="00054A41" w:rsidP="002F062C">
                  <w:pPr>
                    <w:rPr>
                      <w:sz w:val="16"/>
                      <w:szCs w:val="16"/>
                    </w:rPr>
                  </w:pPr>
                </w:p>
              </w:tc>
              <w:tc>
                <w:tcPr>
                  <w:tcW w:w="1007" w:type="dxa"/>
                  <w:tcBorders>
                    <w:top w:val="single" w:sz="4" w:space="0" w:color="auto"/>
                    <w:left w:val="nil"/>
                    <w:bottom w:val="single" w:sz="4" w:space="0" w:color="auto"/>
                    <w:right w:val="single" w:sz="4" w:space="0" w:color="auto"/>
                  </w:tcBorders>
                  <w:shd w:val="clear" w:color="auto" w:fill="auto"/>
                  <w:vAlign w:val="bottom"/>
                </w:tcPr>
                <w:p w14:paraId="009D7DBA" w14:textId="0FF711B9" w:rsidR="00054A41" w:rsidRPr="002F062C" w:rsidRDefault="00054A41" w:rsidP="002F062C">
                  <w:pPr>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34ED0171" w14:textId="7FB9A4E0" w:rsidR="00054A41" w:rsidRPr="002F062C" w:rsidRDefault="00054A41" w:rsidP="002F062C">
                  <w:pPr>
                    <w:rPr>
                      <w:sz w:val="16"/>
                      <w:szCs w:val="16"/>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035D20BA" w14:textId="48E120F1" w:rsidR="00054A41" w:rsidRPr="002F062C" w:rsidRDefault="00054A41" w:rsidP="002F062C">
                  <w:pPr>
                    <w:rPr>
                      <w:sz w:val="16"/>
                      <w:szCs w:val="16"/>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26BD21ED" w14:textId="3BBC7BAB" w:rsidR="00054A41" w:rsidRPr="002F062C" w:rsidRDefault="00054A41" w:rsidP="002F062C">
                  <w:pPr>
                    <w:rPr>
                      <w:sz w:val="16"/>
                      <w:szCs w:val="16"/>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40CB5295" w14:textId="2471C5C2" w:rsidR="00054A41" w:rsidRPr="002F062C" w:rsidRDefault="00054A41" w:rsidP="002F062C">
                  <w:pPr>
                    <w:rPr>
                      <w:sz w:val="16"/>
                      <w:szCs w:val="16"/>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532BF947" w14:textId="1B0B881F" w:rsidR="00054A41" w:rsidRPr="002F062C" w:rsidRDefault="00054A41" w:rsidP="002F062C">
                  <w:pPr>
                    <w:rPr>
                      <w:sz w:val="16"/>
                      <w:szCs w:val="16"/>
                    </w:rPr>
                  </w:pPr>
                </w:p>
              </w:tc>
            </w:tr>
          </w:tbl>
          <w:p w14:paraId="6F98E45C" w14:textId="77777777" w:rsidR="00830F06" w:rsidRPr="002F062C" w:rsidRDefault="00830F06" w:rsidP="00443ED9">
            <w:pPr>
              <w:jc w:val="both"/>
              <w:rPr>
                <w:sz w:val="16"/>
                <w:szCs w:val="16"/>
              </w:rPr>
            </w:pPr>
          </w:p>
        </w:tc>
        <w:tc>
          <w:tcPr>
            <w:tcW w:w="4320" w:type="dxa"/>
          </w:tcPr>
          <w:p w14:paraId="3276E349" w14:textId="77777777" w:rsidR="00830F06" w:rsidRPr="002F062C" w:rsidRDefault="00830F06" w:rsidP="00443ED9">
            <w:pPr>
              <w:jc w:val="both"/>
              <w:rPr>
                <w:sz w:val="16"/>
                <w:szCs w:val="16"/>
              </w:rPr>
            </w:pPr>
          </w:p>
          <w:tbl>
            <w:tblPr>
              <w:tblStyle w:val="TableGrid"/>
              <w:tblW w:w="0" w:type="auto"/>
              <w:tblLook w:val="04A0" w:firstRow="1" w:lastRow="0" w:firstColumn="1" w:lastColumn="0" w:noHBand="0" w:noVBand="1"/>
            </w:tblPr>
            <w:tblGrid>
              <w:gridCol w:w="1908"/>
              <w:gridCol w:w="1129"/>
              <w:gridCol w:w="1080"/>
            </w:tblGrid>
            <w:tr w:rsidR="0060598F" w:rsidRPr="002F062C" w14:paraId="4C54BF94" w14:textId="77777777" w:rsidTr="0060598F">
              <w:tc>
                <w:tcPr>
                  <w:tcW w:w="1908" w:type="dxa"/>
                  <w:shd w:val="clear" w:color="auto" w:fill="DBE5F1" w:themeFill="accent1" w:themeFillTint="33"/>
                </w:tcPr>
                <w:p w14:paraId="15FA463B" w14:textId="77777777" w:rsidR="00830F06" w:rsidRDefault="00830F06" w:rsidP="00830F06">
                  <w:pPr>
                    <w:rPr>
                      <w:sz w:val="16"/>
                      <w:szCs w:val="16"/>
                    </w:rPr>
                  </w:pPr>
                </w:p>
              </w:tc>
              <w:tc>
                <w:tcPr>
                  <w:tcW w:w="1129" w:type="dxa"/>
                  <w:shd w:val="clear" w:color="auto" w:fill="DBE5F1" w:themeFill="accent1" w:themeFillTint="33"/>
                </w:tcPr>
                <w:p w14:paraId="3D650FB0" w14:textId="2F82BBB1" w:rsidR="00830F06" w:rsidRDefault="00DE0C0C" w:rsidP="00830F06">
                  <w:pPr>
                    <w:rPr>
                      <w:sz w:val="16"/>
                      <w:szCs w:val="16"/>
                    </w:rPr>
                  </w:pPr>
                  <w:r>
                    <w:rPr>
                      <w:sz w:val="16"/>
                      <w:szCs w:val="16"/>
                    </w:rPr>
                    <w:t>2010-15</w:t>
                  </w:r>
                </w:p>
              </w:tc>
              <w:tc>
                <w:tcPr>
                  <w:tcW w:w="1080" w:type="dxa"/>
                  <w:shd w:val="clear" w:color="auto" w:fill="DBE5F1" w:themeFill="accent1" w:themeFillTint="33"/>
                </w:tcPr>
                <w:p w14:paraId="6917AD00" w14:textId="22704D50" w:rsidR="00830F06" w:rsidRDefault="00DE0C0C" w:rsidP="00830F06">
                  <w:pPr>
                    <w:rPr>
                      <w:sz w:val="16"/>
                      <w:szCs w:val="16"/>
                    </w:rPr>
                  </w:pPr>
                  <w:r>
                    <w:rPr>
                      <w:sz w:val="16"/>
                      <w:szCs w:val="16"/>
                    </w:rPr>
                    <w:t>2016-20</w:t>
                  </w:r>
                </w:p>
              </w:tc>
            </w:tr>
            <w:tr w:rsidR="0060598F" w:rsidRPr="002F062C" w14:paraId="5A9DD5F4" w14:textId="77777777" w:rsidTr="0010720B">
              <w:tc>
                <w:tcPr>
                  <w:tcW w:w="1908" w:type="dxa"/>
                </w:tcPr>
                <w:p w14:paraId="6A465DCA" w14:textId="77777777" w:rsidR="00830F06" w:rsidRDefault="00830F06" w:rsidP="00830F06">
                  <w:pPr>
                    <w:rPr>
                      <w:sz w:val="16"/>
                      <w:szCs w:val="16"/>
                    </w:rPr>
                  </w:pPr>
                  <w:proofErr w:type="spellStart"/>
                  <w:proofErr w:type="gramStart"/>
                  <w:r>
                    <w:rPr>
                      <w:sz w:val="16"/>
                      <w:szCs w:val="16"/>
                    </w:rPr>
                    <w:t>Avg</w:t>
                  </w:r>
                  <w:proofErr w:type="spellEnd"/>
                  <w:r>
                    <w:rPr>
                      <w:sz w:val="16"/>
                      <w:szCs w:val="16"/>
                    </w:rPr>
                    <w:t xml:space="preserve">  Revenue</w:t>
                  </w:r>
                  <w:proofErr w:type="gramEnd"/>
                  <w:r>
                    <w:rPr>
                      <w:sz w:val="16"/>
                      <w:szCs w:val="16"/>
                    </w:rPr>
                    <w:t xml:space="preserve"> growth </w:t>
                  </w:r>
                </w:p>
              </w:tc>
              <w:tc>
                <w:tcPr>
                  <w:tcW w:w="1129" w:type="dxa"/>
                </w:tcPr>
                <w:p w14:paraId="28890419" w14:textId="39460ECD" w:rsidR="00830F06" w:rsidRDefault="00643A41" w:rsidP="00830F06">
                  <w:pPr>
                    <w:rPr>
                      <w:sz w:val="16"/>
                      <w:szCs w:val="16"/>
                      <w:lang w:eastAsia="zh-CN"/>
                    </w:rPr>
                  </w:pPr>
                  <w:r>
                    <w:rPr>
                      <w:sz w:val="16"/>
                      <w:szCs w:val="16"/>
                      <w:lang w:eastAsia="zh-CN"/>
                    </w:rPr>
                    <w:t>12</w:t>
                  </w:r>
                  <w:r w:rsidR="00DE0C0C">
                    <w:rPr>
                      <w:sz w:val="16"/>
                      <w:szCs w:val="16"/>
                      <w:lang w:eastAsia="zh-CN"/>
                    </w:rPr>
                    <w:t>%</w:t>
                  </w:r>
                </w:p>
              </w:tc>
              <w:tc>
                <w:tcPr>
                  <w:tcW w:w="1080" w:type="dxa"/>
                </w:tcPr>
                <w:p w14:paraId="2B6EF445" w14:textId="12186BF2" w:rsidR="00830F06" w:rsidRDefault="00643A41" w:rsidP="00830F06">
                  <w:pPr>
                    <w:rPr>
                      <w:sz w:val="16"/>
                      <w:szCs w:val="16"/>
                    </w:rPr>
                  </w:pPr>
                  <w:r>
                    <w:rPr>
                      <w:sz w:val="16"/>
                      <w:szCs w:val="16"/>
                    </w:rPr>
                    <w:t>12</w:t>
                  </w:r>
                  <w:r w:rsidR="00DE0C0C">
                    <w:rPr>
                      <w:sz w:val="16"/>
                      <w:szCs w:val="16"/>
                    </w:rPr>
                    <w:t>%</w:t>
                  </w:r>
                </w:p>
              </w:tc>
            </w:tr>
            <w:tr w:rsidR="0060598F" w:rsidRPr="002F062C" w14:paraId="49A71F37" w14:textId="77777777" w:rsidTr="0010720B">
              <w:tc>
                <w:tcPr>
                  <w:tcW w:w="1908" w:type="dxa"/>
                </w:tcPr>
                <w:p w14:paraId="7425D824" w14:textId="77777777" w:rsidR="00830F06" w:rsidRDefault="00830F06" w:rsidP="00830F06">
                  <w:pPr>
                    <w:rPr>
                      <w:sz w:val="16"/>
                      <w:szCs w:val="16"/>
                    </w:rPr>
                  </w:pPr>
                  <w:proofErr w:type="spellStart"/>
                  <w:proofErr w:type="gramStart"/>
                  <w:r>
                    <w:rPr>
                      <w:sz w:val="16"/>
                      <w:szCs w:val="16"/>
                    </w:rPr>
                    <w:t>Avg</w:t>
                  </w:r>
                  <w:proofErr w:type="spellEnd"/>
                  <w:r>
                    <w:rPr>
                      <w:sz w:val="16"/>
                      <w:szCs w:val="16"/>
                    </w:rPr>
                    <w:t xml:space="preserve">  EBITDA</w:t>
                  </w:r>
                  <w:proofErr w:type="gramEnd"/>
                  <w:r>
                    <w:rPr>
                      <w:sz w:val="16"/>
                      <w:szCs w:val="16"/>
                    </w:rPr>
                    <w:t xml:space="preserve"> Margin </w:t>
                  </w:r>
                </w:p>
              </w:tc>
              <w:tc>
                <w:tcPr>
                  <w:tcW w:w="1129" w:type="dxa"/>
                </w:tcPr>
                <w:p w14:paraId="6AE1C97F" w14:textId="5535A3E8" w:rsidR="00830F06" w:rsidRDefault="00643A41" w:rsidP="00830F06">
                  <w:pPr>
                    <w:rPr>
                      <w:sz w:val="16"/>
                      <w:szCs w:val="16"/>
                      <w:lang w:eastAsia="zh-CN"/>
                    </w:rPr>
                  </w:pPr>
                  <w:r>
                    <w:rPr>
                      <w:sz w:val="16"/>
                      <w:szCs w:val="16"/>
                      <w:lang w:eastAsia="zh-CN"/>
                    </w:rPr>
                    <w:t>21</w:t>
                  </w:r>
                  <w:r w:rsidR="00DE0C0C">
                    <w:rPr>
                      <w:sz w:val="16"/>
                      <w:szCs w:val="16"/>
                      <w:lang w:eastAsia="zh-CN"/>
                    </w:rPr>
                    <w:t>%</w:t>
                  </w:r>
                </w:p>
              </w:tc>
              <w:tc>
                <w:tcPr>
                  <w:tcW w:w="1080" w:type="dxa"/>
                </w:tcPr>
                <w:p w14:paraId="72FC070B" w14:textId="2E39AA6A" w:rsidR="00830F06" w:rsidRDefault="00643A41" w:rsidP="00830F06">
                  <w:pPr>
                    <w:rPr>
                      <w:sz w:val="16"/>
                      <w:szCs w:val="16"/>
                    </w:rPr>
                  </w:pPr>
                  <w:r>
                    <w:rPr>
                      <w:sz w:val="16"/>
                      <w:szCs w:val="16"/>
                    </w:rPr>
                    <w:t>26</w:t>
                  </w:r>
                  <w:r w:rsidR="00DE0C0C">
                    <w:rPr>
                      <w:sz w:val="16"/>
                      <w:szCs w:val="16"/>
                    </w:rPr>
                    <w:t>%</w:t>
                  </w:r>
                </w:p>
              </w:tc>
            </w:tr>
            <w:tr w:rsidR="0060598F" w:rsidRPr="002F062C" w14:paraId="5B01660D" w14:textId="77777777" w:rsidTr="0010720B">
              <w:tc>
                <w:tcPr>
                  <w:tcW w:w="1908" w:type="dxa"/>
                </w:tcPr>
                <w:p w14:paraId="2B656250" w14:textId="45679AB8" w:rsidR="00830F06" w:rsidRDefault="006A575D" w:rsidP="00830F06">
                  <w:pPr>
                    <w:rPr>
                      <w:sz w:val="16"/>
                      <w:szCs w:val="16"/>
                    </w:rPr>
                  </w:pPr>
                  <w:proofErr w:type="spellStart"/>
                  <w:proofErr w:type="gramStart"/>
                  <w:r>
                    <w:rPr>
                      <w:sz w:val="16"/>
                      <w:szCs w:val="16"/>
                    </w:rPr>
                    <w:t>Avg</w:t>
                  </w:r>
                  <w:proofErr w:type="spellEnd"/>
                  <w:r>
                    <w:rPr>
                      <w:sz w:val="16"/>
                      <w:szCs w:val="16"/>
                    </w:rPr>
                    <w:t xml:space="preserve">  </w:t>
                  </w:r>
                  <w:r>
                    <w:rPr>
                      <w:rFonts w:hint="eastAsia"/>
                      <w:sz w:val="16"/>
                      <w:szCs w:val="16"/>
                      <w:lang w:eastAsia="zh-CN"/>
                    </w:rPr>
                    <w:t>NOPAT</w:t>
                  </w:r>
                  <w:proofErr w:type="gramEnd"/>
                  <w:r>
                    <w:rPr>
                      <w:rFonts w:hint="eastAsia"/>
                      <w:sz w:val="16"/>
                      <w:szCs w:val="16"/>
                      <w:lang w:eastAsia="zh-CN"/>
                    </w:rPr>
                    <w:t xml:space="preserve"> </w:t>
                  </w:r>
                  <w:r w:rsidR="00830F06">
                    <w:rPr>
                      <w:sz w:val="16"/>
                      <w:szCs w:val="16"/>
                    </w:rPr>
                    <w:t xml:space="preserve">Margin </w:t>
                  </w:r>
                </w:p>
              </w:tc>
              <w:tc>
                <w:tcPr>
                  <w:tcW w:w="1129" w:type="dxa"/>
                </w:tcPr>
                <w:p w14:paraId="6B796F07" w14:textId="677DE494" w:rsidR="00830F06" w:rsidRDefault="00643A41" w:rsidP="00830F06">
                  <w:pPr>
                    <w:rPr>
                      <w:sz w:val="16"/>
                      <w:szCs w:val="16"/>
                      <w:lang w:eastAsia="zh-CN"/>
                    </w:rPr>
                  </w:pPr>
                  <w:r>
                    <w:rPr>
                      <w:rFonts w:hint="eastAsia"/>
                      <w:sz w:val="16"/>
                      <w:szCs w:val="16"/>
                      <w:lang w:eastAsia="zh-CN"/>
                    </w:rPr>
                    <w:t>11</w:t>
                  </w:r>
                  <w:r w:rsidR="004870D9">
                    <w:rPr>
                      <w:rFonts w:hint="eastAsia"/>
                      <w:sz w:val="16"/>
                      <w:szCs w:val="16"/>
                      <w:lang w:eastAsia="zh-CN"/>
                    </w:rPr>
                    <w:t>%</w:t>
                  </w:r>
                </w:p>
              </w:tc>
              <w:tc>
                <w:tcPr>
                  <w:tcW w:w="1080" w:type="dxa"/>
                </w:tcPr>
                <w:p w14:paraId="2CA542D3" w14:textId="7AEB05C5" w:rsidR="00830F06" w:rsidRDefault="00643A41" w:rsidP="00830F06">
                  <w:pPr>
                    <w:rPr>
                      <w:sz w:val="16"/>
                      <w:szCs w:val="16"/>
                      <w:lang w:eastAsia="zh-CN"/>
                    </w:rPr>
                  </w:pPr>
                  <w:r>
                    <w:rPr>
                      <w:rFonts w:hint="eastAsia"/>
                      <w:sz w:val="16"/>
                      <w:szCs w:val="16"/>
                      <w:lang w:eastAsia="zh-CN"/>
                    </w:rPr>
                    <w:t>15</w:t>
                  </w:r>
                  <w:r w:rsidR="008D6FBE">
                    <w:rPr>
                      <w:rFonts w:hint="eastAsia"/>
                      <w:sz w:val="16"/>
                      <w:szCs w:val="16"/>
                      <w:lang w:eastAsia="zh-CN"/>
                    </w:rPr>
                    <w:t>%</w:t>
                  </w:r>
                </w:p>
              </w:tc>
            </w:tr>
            <w:tr w:rsidR="00830F06" w:rsidRPr="002F062C" w14:paraId="42F79EE5" w14:textId="77777777" w:rsidTr="0010720B">
              <w:tc>
                <w:tcPr>
                  <w:tcW w:w="3037" w:type="dxa"/>
                  <w:gridSpan w:val="2"/>
                </w:tcPr>
                <w:p w14:paraId="11317549" w14:textId="77777777" w:rsidR="00830F06" w:rsidRDefault="00830F06" w:rsidP="00830F06">
                  <w:pPr>
                    <w:rPr>
                      <w:sz w:val="16"/>
                      <w:szCs w:val="16"/>
                    </w:rPr>
                  </w:pPr>
                  <w:r>
                    <w:rPr>
                      <w:sz w:val="16"/>
                      <w:szCs w:val="16"/>
                    </w:rPr>
                    <w:t>Cost of Debt</w:t>
                  </w:r>
                </w:p>
              </w:tc>
              <w:tc>
                <w:tcPr>
                  <w:tcW w:w="1080" w:type="dxa"/>
                </w:tcPr>
                <w:p w14:paraId="316D237F" w14:textId="571CD194" w:rsidR="00830F06" w:rsidRDefault="00AA3D7D" w:rsidP="00830F06">
                  <w:pPr>
                    <w:rPr>
                      <w:sz w:val="16"/>
                      <w:szCs w:val="16"/>
                      <w:lang w:eastAsia="zh-CN"/>
                    </w:rPr>
                  </w:pPr>
                  <w:r>
                    <w:rPr>
                      <w:rFonts w:hint="eastAsia"/>
                      <w:sz w:val="16"/>
                      <w:szCs w:val="16"/>
                      <w:lang w:eastAsia="zh-CN"/>
                    </w:rPr>
                    <w:t>1.5</w:t>
                  </w:r>
                  <w:r w:rsidR="008428F6">
                    <w:rPr>
                      <w:rFonts w:hint="eastAsia"/>
                      <w:sz w:val="16"/>
                      <w:szCs w:val="16"/>
                      <w:lang w:eastAsia="zh-CN"/>
                    </w:rPr>
                    <w:t>%</w:t>
                  </w:r>
                </w:p>
              </w:tc>
            </w:tr>
            <w:tr w:rsidR="00830F06" w:rsidRPr="002F062C" w14:paraId="67214880" w14:textId="77777777" w:rsidTr="0010720B">
              <w:tc>
                <w:tcPr>
                  <w:tcW w:w="3037" w:type="dxa"/>
                  <w:gridSpan w:val="2"/>
                </w:tcPr>
                <w:p w14:paraId="30979647" w14:textId="77777777" w:rsidR="00830F06" w:rsidRDefault="00830F06" w:rsidP="00830F06">
                  <w:pPr>
                    <w:rPr>
                      <w:sz w:val="16"/>
                      <w:szCs w:val="16"/>
                    </w:rPr>
                  </w:pPr>
                  <w:r>
                    <w:rPr>
                      <w:sz w:val="16"/>
                      <w:szCs w:val="16"/>
                    </w:rPr>
                    <w:t>Tax Rate</w:t>
                  </w:r>
                </w:p>
              </w:tc>
              <w:tc>
                <w:tcPr>
                  <w:tcW w:w="1080" w:type="dxa"/>
                </w:tcPr>
                <w:p w14:paraId="426CE887" w14:textId="493B7D49" w:rsidR="00830F06" w:rsidRDefault="00AA3D7D" w:rsidP="00830F06">
                  <w:pPr>
                    <w:rPr>
                      <w:sz w:val="16"/>
                      <w:szCs w:val="16"/>
                      <w:lang w:eastAsia="zh-CN"/>
                    </w:rPr>
                  </w:pPr>
                  <w:r>
                    <w:rPr>
                      <w:rFonts w:hint="eastAsia"/>
                      <w:sz w:val="16"/>
                      <w:szCs w:val="16"/>
                      <w:lang w:eastAsia="zh-CN"/>
                    </w:rPr>
                    <w:t>32.6</w:t>
                  </w:r>
                  <w:r w:rsidR="008428F6">
                    <w:rPr>
                      <w:rFonts w:hint="eastAsia"/>
                      <w:sz w:val="16"/>
                      <w:szCs w:val="16"/>
                      <w:lang w:eastAsia="zh-CN"/>
                    </w:rPr>
                    <w:t>%</w:t>
                  </w:r>
                </w:p>
              </w:tc>
            </w:tr>
            <w:tr w:rsidR="00830F06" w:rsidRPr="002F062C" w14:paraId="0F9564DE" w14:textId="77777777" w:rsidTr="0010720B">
              <w:tc>
                <w:tcPr>
                  <w:tcW w:w="3037" w:type="dxa"/>
                  <w:gridSpan w:val="2"/>
                </w:tcPr>
                <w:p w14:paraId="02E73EF4" w14:textId="77777777" w:rsidR="00830F06" w:rsidRDefault="00830F06" w:rsidP="00830F06">
                  <w:pPr>
                    <w:rPr>
                      <w:sz w:val="16"/>
                      <w:szCs w:val="16"/>
                    </w:rPr>
                  </w:pPr>
                  <w:r>
                    <w:rPr>
                      <w:sz w:val="16"/>
                      <w:szCs w:val="16"/>
                    </w:rPr>
                    <w:t xml:space="preserve">Cost of Equity </w:t>
                  </w:r>
                </w:p>
              </w:tc>
              <w:tc>
                <w:tcPr>
                  <w:tcW w:w="1080" w:type="dxa"/>
                </w:tcPr>
                <w:p w14:paraId="7C66D20E" w14:textId="2806EA1D" w:rsidR="00830F06" w:rsidRDefault="00AA3D7D" w:rsidP="00830F06">
                  <w:pPr>
                    <w:rPr>
                      <w:sz w:val="16"/>
                      <w:szCs w:val="16"/>
                      <w:lang w:eastAsia="zh-CN"/>
                    </w:rPr>
                  </w:pPr>
                  <w:r>
                    <w:rPr>
                      <w:sz w:val="16"/>
                      <w:szCs w:val="16"/>
                      <w:lang w:eastAsia="zh-CN"/>
                    </w:rPr>
                    <w:t>9.4</w:t>
                  </w:r>
                  <w:r w:rsidR="008428F6">
                    <w:rPr>
                      <w:rFonts w:hint="eastAsia"/>
                      <w:sz w:val="16"/>
                      <w:szCs w:val="16"/>
                      <w:lang w:eastAsia="zh-CN"/>
                    </w:rPr>
                    <w:t>%</w:t>
                  </w:r>
                </w:p>
              </w:tc>
            </w:tr>
            <w:tr w:rsidR="00830F06" w:rsidRPr="002F062C" w14:paraId="19A1F6C8" w14:textId="77777777" w:rsidTr="0010720B">
              <w:tc>
                <w:tcPr>
                  <w:tcW w:w="3037" w:type="dxa"/>
                  <w:gridSpan w:val="2"/>
                </w:tcPr>
                <w:p w14:paraId="714B53EA" w14:textId="77777777" w:rsidR="00830F06" w:rsidRDefault="00830F06" w:rsidP="00830F06">
                  <w:pPr>
                    <w:rPr>
                      <w:sz w:val="16"/>
                      <w:szCs w:val="16"/>
                    </w:rPr>
                  </w:pPr>
                  <w:r>
                    <w:rPr>
                      <w:sz w:val="16"/>
                      <w:szCs w:val="16"/>
                    </w:rPr>
                    <w:t>WACC</w:t>
                  </w:r>
                </w:p>
              </w:tc>
              <w:tc>
                <w:tcPr>
                  <w:tcW w:w="1080" w:type="dxa"/>
                </w:tcPr>
                <w:p w14:paraId="71DF2BD8" w14:textId="19F0AFD4" w:rsidR="00830F06" w:rsidRDefault="00AA3D7D" w:rsidP="00830F06">
                  <w:pPr>
                    <w:rPr>
                      <w:sz w:val="16"/>
                      <w:szCs w:val="16"/>
                      <w:lang w:eastAsia="zh-CN"/>
                    </w:rPr>
                  </w:pPr>
                  <w:r>
                    <w:rPr>
                      <w:rFonts w:hint="eastAsia"/>
                      <w:sz w:val="16"/>
                      <w:szCs w:val="16"/>
                      <w:lang w:eastAsia="zh-CN"/>
                    </w:rPr>
                    <w:t>9.2</w:t>
                  </w:r>
                  <w:r w:rsidR="00DF5BFB">
                    <w:rPr>
                      <w:rFonts w:hint="eastAsia"/>
                      <w:sz w:val="16"/>
                      <w:szCs w:val="16"/>
                      <w:lang w:eastAsia="zh-CN"/>
                    </w:rPr>
                    <w:t>%</w:t>
                  </w:r>
                </w:p>
              </w:tc>
            </w:tr>
            <w:tr w:rsidR="00830F06" w:rsidRPr="002F062C" w14:paraId="48232758" w14:textId="77777777" w:rsidTr="002D3CFC">
              <w:trPr>
                <w:trHeight w:val="197"/>
              </w:trPr>
              <w:tc>
                <w:tcPr>
                  <w:tcW w:w="3037" w:type="dxa"/>
                  <w:gridSpan w:val="2"/>
                </w:tcPr>
                <w:p w14:paraId="75850D20" w14:textId="0C27CA3A" w:rsidR="00830F06" w:rsidRDefault="0012425D" w:rsidP="0012425D">
                  <w:pPr>
                    <w:rPr>
                      <w:sz w:val="16"/>
                      <w:szCs w:val="16"/>
                    </w:rPr>
                  </w:pPr>
                  <w:r>
                    <w:rPr>
                      <w:sz w:val="16"/>
                      <w:szCs w:val="16"/>
                    </w:rPr>
                    <w:t>Perpetuity Growth Rate (Terminal)</w:t>
                  </w:r>
                </w:p>
              </w:tc>
              <w:tc>
                <w:tcPr>
                  <w:tcW w:w="1080" w:type="dxa"/>
                </w:tcPr>
                <w:p w14:paraId="0C5586DB" w14:textId="3620DCFA" w:rsidR="00830F06" w:rsidRDefault="00AA3D7D" w:rsidP="00830F06">
                  <w:pPr>
                    <w:rPr>
                      <w:sz w:val="16"/>
                      <w:szCs w:val="16"/>
                      <w:lang w:eastAsia="zh-CN"/>
                    </w:rPr>
                  </w:pPr>
                  <w:r>
                    <w:rPr>
                      <w:rFonts w:hint="eastAsia"/>
                      <w:sz w:val="16"/>
                      <w:szCs w:val="16"/>
                      <w:lang w:eastAsia="zh-CN"/>
                    </w:rPr>
                    <w:t>4.4</w:t>
                  </w:r>
                  <w:r w:rsidR="008D6FBE">
                    <w:rPr>
                      <w:rFonts w:hint="eastAsia"/>
                      <w:sz w:val="16"/>
                      <w:szCs w:val="16"/>
                      <w:lang w:eastAsia="zh-CN"/>
                    </w:rPr>
                    <w:t>%</w:t>
                  </w:r>
                </w:p>
              </w:tc>
            </w:tr>
          </w:tbl>
          <w:p w14:paraId="58FA0458" w14:textId="77777777" w:rsidR="006A575D" w:rsidRDefault="006A575D" w:rsidP="009F0D12">
            <w:pPr>
              <w:jc w:val="both"/>
              <w:rPr>
                <w:sz w:val="16"/>
                <w:szCs w:val="16"/>
                <w:lang w:eastAsia="zh-CN"/>
              </w:rPr>
            </w:pPr>
          </w:p>
          <w:p w14:paraId="4363BD08" w14:textId="77777777" w:rsidR="009F0D12" w:rsidRPr="002F062C" w:rsidRDefault="009F0D12" w:rsidP="009F0D12">
            <w:pPr>
              <w:jc w:val="both"/>
              <w:rPr>
                <w:sz w:val="16"/>
                <w:szCs w:val="16"/>
              </w:rPr>
            </w:pPr>
            <w:r w:rsidRPr="002F062C">
              <w:rPr>
                <w:sz w:val="16"/>
                <w:szCs w:val="16"/>
              </w:rPr>
              <w:t xml:space="preserve">Analyst Opinion </w:t>
            </w:r>
          </w:p>
          <w:tbl>
            <w:tblPr>
              <w:tblStyle w:val="TableGrid"/>
              <w:tblW w:w="0" w:type="auto"/>
              <w:tblLook w:val="04A0" w:firstRow="1" w:lastRow="0" w:firstColumn="1" w:lastColumn="0" w:noHBand="0" w:noVBand="1"/>
            </w:tblPr>
            <w:tblGrid>
              <w:gridCol w:w="1363"/>
              <w:gridCol w:w="1363"/>
              <w:gridCol w:w="1363"/>
            </w:tblGrid>
            <w:tr w:rsidR="009F0D12" w:rsidRPr="002F062C" w14:paraId="2502AA66" w14:textId="77777777" w:rsidTr="0010720B">
              <w:tc>
                <w:tcPr>
                  <w:tcW w:w="1363" w:type="dxa"/>
                  <w:shd w:val="clear" w:color="auto" w:fill="DBE5F1" w:themeFill="accent1" w:themeFillTint="33"/>
                </w:tcPr>
                <w:p w14:paraId="6457A1D0" w14:textId="1B6149D4" w:rsidR="009F0D12" w:rsidRPr="009D7A72" w:rsidRDefault="009F0D12" w:rsidP="009F0D12">
                  <w:pPr>
                    <w:jc w:val="both"/>
                    <w:rPr>
                      <w:sz w:val="16"/>
                      <w:szCs w:val="16"/>
                    </w:rPr>
                  </w:pPr>
                  <w:r w:rsidRPr="009D7A72">
                    <w:rPr>
                      <w:sz w:val="16"/>
                      <w:szCs w:val="16"/>
                    </w:rPr>
                    <w:t xml:space="preserve">Buy: </w:t>
                  </w:r>
                  <w:r w:rsidR="00543417">
                    <w:rPr>
                      <w:sz w:val="16"/>
                      <w:szCs w:val="16"/>
                    </w:rPr>
                    <w:t>24</w:t>
                  </w:r>
                </w:p>
              </w:tc>
              <w:tc>
                <w:tcPr>
                  <w:tcW w:w="1363" w:type="dxa"/>
                  <w:shd w:val="clear" w:color="auto" w:fill="DBE5F1" w:themeFill="accent1" w:themeFillTint="33"/>
                </w:tcPr>
                <w:p w14:paraId="10E79476" w14:textId="610A9227" w:rsidR="009F0D12" w:rsidRPr="009D7A72" w:rsidRDefault="009F0D12" w:rsidP="009F0D12">
                  <w:pPr>
                    <w:jc w:val="both"/>
                    <w:rPr>
                      <w:sz w:val="16"/>
                      <w:szCs w:val="16"/>
                    </w:rPr>
                  </w:pPr>
                  <w:r w:rsidRPr="009D7A72">
                    <w:rPr>
                      <w:sz w:val="16"/>
                      <w:szCs w:val="16"/>
                    </w:rPr>
                    <w:t xml:space="preserve">Hold: </w:t>
                  </w:r>
                  <w:r w:rsidR="00543417">
                    <w:rPr>
                      <w:sz w:val="16"/>
                      <w:szCs w:val="16"/>
                    </w:rPr>
                    <w:t>5</w:t>
                  </w:r>
                </w:p>
              </w:tc>
              <w:tc>
                <w:tcPr>
                  <w:tcW w:w="1363" w:type="dxa"/>
                  <w:shd w:val="clear" w:color="auto" w:fill="DBE5F1" w:themeFill="accent1" w:themeFillTint="33"/>
                </w:tcPr>
                <w:p w14:paraId="1F373BED" w14:textId="764285A3" w:rsidR="009F0D12" w:rsidRPr="009D7A72" w:rsidRDefault="009F0D12" w:rsidP="009F0D12">
                  <w:pPr>
                    <w:jc w:val="both"/>
                    <w:rPr>
                      <w:sz w:val="16"/>
                      <w:szCs w:val="16"/>
                    </w:rPr>
                  </w:pPr>
                  <w:r w:rsidRPr="009D7A72">
                    <w:rPr>
                      <w:sz w:val="16"/>
                      <w:szCs w:val="16"/>
                    </w:rPr>
                    <w:t xml:space="preserve">Sell: </w:t>
                  </w:r>
                  <w:r w:rsidR="00DE0C0C">
                    <w:rPr>
                      <w:sz w:val="16"/>
                      <w:szCs w:val="16"/>
                    </w:rPr>
                    <w:t>0</w:t>
                  </w:r>
                </w:p>
              </w:tc>
            </w:tr>
          </w:tbl>
          <w:p w14:paraId="724FC07A" w14:textId="77777777" w:rsidR="009F0D12" w:rsidRPr="002F062C" w:rsidRDefault="009F0D12" w:rsidP="009F0D12">
            <w:pPr>
              <w:jc w:val="both"/>
              <w:rPr>
                <w:sz w:val="16"/>
                <w:szCs w:val="16"/>
              </w:rPr>
            </w:pPr>
          </w:p>
          <w:tbl>
            <w:tblPr>
              <w:tblStyle w:val="TableGrid"/>
              <w:tblW w:w="4117" w:type="dxa"/>
              <w:tblLook w:val="04A0" w:firstRow="1" w:lastRow="0" w:firstColumn="1" w:lastColumn="0" w:noHBand="0" w:noVBand="1"/>
            </w:tblPr>
            <w:tblGrid>
              <w:gridCol w:w="1800"/>
              <w:gridCol w:w="900"/>
              <w:gridCol w:w="1417"/>
            </w:tblGrid>
            <w:tr w:rsidR="009F0D12" w:rsidRPr="002F062C" w14:paraId="0A705346" w14:textId="77777777" w:rsidTr="00D363A8">
              <w:tc>
                <w:tcPr>
                  <w:tcW w:w="1800" w:type="dxa"/>
                  <w:shd w:val="clear" w:color="auto" w:fill="DBE5F1" w:themeFill="accent1" w:themeFillTint="33"/>
                </w:tcPr>
                <w:p w14:paraId="7897F5B6" w14:textId="77777777" w:rsidR="009F0D12" w:rsidRPr="009D7A72" w:rsidRDefault="009F0D12" w:rsidP="009F0D12">
                  <w:pPr>
                    <w:jc w:val="both"/>
                    <w:rPr>
                      <w:sz w:val="16"/>
                      <w:szCs w:val="16"/>
                    </w:rPr>
                  </w:pPr>
                </w:p>
              </w:tc>
              <w:tc>
                <w:tcPr>
                  <w:tcW w:w="900" w:type="dxa"/>
                  <w:shd w:val="clear" w:color="auto" w:fill="DBE5F1" w:themeFill="accent1" w:themeFillTint="33"/>
                </w:tcPr>
                <w:p w14:paraId="78BA4ECF" w14:textId="77777777" w:rsidR="009F0D12" w:rsidRPr="009D7A72" w:rsidRDefault="009F0D12" w:rsidP="009F0D12">
                  <w:pPr>
                    <w:jc w:val="both"/>
                    <w:rPr>
                      <w:sz w:val="16"/>
                      <w:szCs w:val="16"/>
                    </w:rPr>
                  </w:pPr>
                  <w:r w:rsidRPr="009D7A72">
                    <w:rPr>
                      <w:sz w:val="16"/>
                      <w:szCs w:val="16"/>
                    </w:rPr>
                    <w:t xml:space="preserve">Rating </w:t>
                  </w:r>
                </w:p>
              </w:tc>
              <w:tc>
                <w:tcPr>
                  <w:tcW w:w="1417" w:type="dxa"/>
                  <w:shd w:val="clear" w:color="auto" w:fill="DBE5F1" w:themeFill="accent1" w:themeFillTint="33"/>
                </w:tcPr>
                <w:p w14:paraId="1E6E599B" w14:textId="77777777" w:rsidR="009F0D12" w:rsidRPr="009D7A72" w:rsidRDefault="009F0D12" w:rsidP="009F0D12">
                  <w:pPr>
                    <w:jc w:val="both"/>
                    <w:rPr>
                      <w:sz w:val="16"/>
                      <w:szCs w:val="16"/>
                    </w:rPr>
                  </w:pPr>
                  <w:r w:rsidRPr="009D7A72">
                    <w:rPr>
                      <w:sz w:val="16"/>
                      <w:szCs w:val="16"/>
                    </w:rPr>
                    <w:t xml:space="preserve">Target </w:t>
                  </w:r>
                </w:p>
              </w:tc>
            </w:tr>
            <w:tr w:rsidR="009F0D12" w:rsidRPr="002F062C" w14:paraId="18B2C8FA" w14:textId="77777777" w:rsidTr="00D363A8">
              <w:tc>
                <w:tcPr>
                  <w:tcW w:w="1800" w:type="dxa"/>
                </w:tcPr>
                <w:p w14:paraId="12374E3E" w14:textId="77777777" w:rsidR="009F0D12" w:rsidRPr="009D7A72" w:rsidRDefault="009F0D12" w:rsidP="009F0D12">
                  <w:pPr>
                    <w:jc w:val="both"/>
                    <w:rPr>
                      <w:sz w:val="16"/>
                      <w:szCs w:val="16"/>
                    </w:rPr>
                  </w:pPr>
                  <w:r w:rsidRPr="009D7A72">
                    <w:rPr>
                      <w:sz w:val="16"/>
                      <w:szCs w:val="16"/>
                    </w:rPr>
                    <w:t xml:space="preserve">S&amp;P Net Advantage </w:t>
                  </w:r>
                </w:p>
              </w:tc>
              <w:tc>
                <w:tcPr>
                  <w:tcW w:w="900" w:type="dxa"/>
                </w:tcPr>
                <w:p w14:paraId="6EC161A2" w14:textId="778A6A82" w:rsidR="009F0D12" w:rsidRPr="009D7A72" w:rsidRDefault="00054A41" w:rsidP="009F0D12">
                  <w:pPr>
                    <w:jc w:val="both"/>
                    <w:rPr>
                      <w:sz w:val="16"/>
                      <w:szCs w:val="16"/>
                      <w:lang w:eastAsia="zh-CN"/>
                    </w:rPr>
                  </w:pPr>
                  <w:r>
                    <w:rPr>
                      <w:rFonts w:hint="eastAsia"/>
                      <w:sz w:val="16"/>
                      <w:szCs w:val="16"/>
                      <w:lang w:eastAsia="zh-CN"/>
                    </w:rPr>
                    <w:t>4</w:t>
                  </w:r>
                  <w:r w:rsidR="002E16BA">
                    <w:rPr>
                      <w:rFonts w:hint="eastAsia"/>
                      <w:sz w:val="16"/>
                      <w:szCs w:val="16"/>
                      <w:lang w:eastAsia="zh-CN"/>
                    </w:rPr>
                    <w:t>STAR</w:t>
                  </w:r>
                </w:p>
              </w:tc>
              <w:tc>
                <w:tcPr>
                  <w:tcW w:w="1417" w:type="dxa"/>
                </w:tcPr>
                <w:p w14:paraId="0BCB7E23" w14:textId="4DD8D42B" w:rsidR="009F0D12" w:rsidRPr="009D7A72" w:rsidRDefault="00054A41" w:rsidP="009F0D12">
                  <w:pPr>
                    <w:jc w:val="both"/>
                    <w:rPr>
                      <w:sz w:val="16"/>
                      <w:szCs w:val="16"/>
                      <w:lang w:eastAsia="zh-CN"/>
                    </w:rPr>
                  </w:pPr>
                  <w:r>
                    <w:rPr>
                      <w:rFonts w:hint="eastAsia"/>
                      <w:sz w:val="16"/>
                      <w:szCs w:val="16"/>
                      <w:lang w:eastAsia="zh-CN"/>
                    </w:rPr>
                    <w:t>$68</w:t>
                  </w:r>
                </w:p>
              </w:tc>
            </w:tr>
            <w:tr w:rsidR="009F0D12" w:rsidRPr="002F062C" w14:paraId="35B4D85C" w14:textId="77777777" w:rsidTr="00D363A8">
              <w:trPr>
                <w:trHeight w:val="215"/>
              </w:trPr>
              <w:tc>
                <w:tcPr>
                  <w:tcW w:w="1800" w:type="dxa"/>
                </w:tcPr>
                <w:p w14:paraId="1DD4E482" w14:textId="4558A51F" w:rsidR="009F0D12" w:rsidRPr="009D7A72" w:rsidRDefault="0029559F" w:rsidP="009F0D12">
                  <w:pPr>
                    <w:jc w:val="both"/>
                    <w:rPr>
                      <w:sz w:val="16"/>
                      <w:szCs w:val="16"/>
                    </w:rPr>
                  </w:pPr>
                  <w:r>
                    <w:rPr>
                      <w:sz w:val="16"/>
                      <w:szCs w:val="16"/>
                    </w:rPr>
                    <w:t>Morning Star</w:t>
                  </w:r>
                </w:p>
              </w:tc>
              <w:tc>
                <w:tcPr>
                  <w:tcW w:w="900" w:type="dxa"/>
                </w:tcPr>
                <w:p w14:paraId="0B4EFFDC" w14:textId="6A0FB739" w:rsidR="009F0D12" w:rsidRPr="009D7A72" w:rsidRDefault="00054A41" w:rsidP="009F0D12">
                  <w:pPr>
                    <w:jc w:val="both"/>
                    <w:rPr>
                      <w:sz w:val="16"/>
                      <w:szCs w:val="16"/>
                      <w:lang w:eastAsia="zh-CN"/>
                    </w:rPr>
                  </w:pPr>
                  <w:r>
                    <w:rPr>
                      <w:rFonts w:hint="eastAsia"/>
                      <w:sz w:val="16"/>
                      <w:szCs w:val="16"/>
                      <w:lang w:eastAsia="zh-CN"/>
                    </w:rPr>
                    <w:t>4</w:t>
                  </w:r>
                  <w:r w:rsidR="0073207E">
                    <w:rPr>
                      <w:rFonts w:hint="eastAsia"/>
                      <w:sz w:val="16"/>
                      <w:szCs w:val="16"/>
                      <w:lang w:eastAsia="zh-CN"/>
                    </w:rPr>
                    <w:t>STAR</w:t>
                  </w:r>
                </w:p>
              </w:tc>
              <w:tc>
                <w:tcPr>
                  <w:tcW w:w="1417" w:type="dxa"/>
                </w:tcPr>
                <w:p w14:paraId="70BA49F9" w14:textId="275B664C" w:rsidR="009F0D12" w:rsidRPr="009D7A72" w:rsidRDefault="00494A95" w:rsidP="009F0D12">
                  <w:pPr>
                    <w:jc w:val="both"/>
                    <w:rPr>
                      <w:sz w:val="16"/>
                      <w:szCs w:val="16"/>
                      <w:lang w:eastAsia="zh-CN"/>
                    </w:rPr>
                  </w:pPr>
                  <w:r>
                    <w:rPr>
                      <w:rFonts w:hint="eastAsia"/>
                      <w:sz w:val="16"/>
                      <w:szCs w:val="16"/>
                      <w:lang w:eastAsia="zh-CN"/>
                    </w:rPr>
                    <w:t>--</w:t>
                  </w:r>
                </w:p>
              </w:tc>
            </w:tr>
            <w:tr w:rsidR="009F0D12" w:rsidRPr="002F062C" w14:paraId="0BBF9B66" w14:textId="77777777" w:rsidTr="00D363A8">
              <w:trPr>
                <w:trHeight w:val="215"/>
              </w:trPr>
              <w:tc>
                <w:tcPr>
                  <w:tcW w:w="1800" w:type="dxa"/>
                </w:tcPr>
                <w:p w14:paraId="0E7E15E7" w14:textId="50B93F2B" w:rsidR="009F0D12" w:rsidRPr="009D7A72" w:rsidRDefault="009F0D12" w:rsidP="009F0D12">
                  <w:pPr>
                    <w:jc w:val="both"/>
                    <w:rPr>
                      <w:sz w:val="16"/>
                      <w:szCs w:val="16"/>
                    </w:rPr>
                  </w:pPr>
                  <w:r>
                    <w:rPr>
                      <w:sz w:val="16"/>
                      <w:szCs w:val="16"/>
                    </w:rPr>
                    <w:t xml:space="preserve">Value Line </w:t>
                  </w:r>
                </w:p>
              </w:tc>
              <w:tc>
                <w:tcPr>
                  <w:tcW w:w="900" w:type="dxa"/>
                </w:tcPr>
                <w:p w14:paraId="161AF23F" w14:textId="0BA347D5" w:rsidR="009F0D12" w:rsidRPr="009D7A72" w:rsidRDefault="00054A41" w:rsidP="009F0D12">
                  <w:pPr>
                    <w:jc w:val="both"/>
                    <w:rPr>
                      <w:sz w:val="16"/>
                      <w:szCs w:val="16"/>
                      <w:lang w:eastAsia="zh-CN"/>
                    </w:rPr>
                  </w:pPr>
                  <w:r>
                    <w:rPr>
                      <w:rFonts w:hint="eastAsia"/>
                      <w:sz w:val="16"/>
                      <w:szCs w:val="16"/>
                      <w:lang w:eastAsia="zh-CN"/>
                    </w:rPr>
                    <w:t>1</w:t>
                  </w:r>
                </w:p>
              </w:tc>
              <w:tc>
                <w:tcPr>
                  <w:tcW w:w="1417" w:type="dxa"/>
                </w:tcPr>
                <w:p w14:paraId="22CC1EA0" w14:textId="61147EE8" w:rsidR="009F0D12" w:rsidRPr="009D7A72" w:rsidRDefault="00054A41" w:rsidP="009F0D12">
                  <w:pPr>
                    <w:jc w:val="both"/>
                    <w:rPr>
                      <w:sz w:val="16"/>
                      <w:szCs w:val="16"/>
                      <w:lang w:eastAsia="zh-CN"/>
                    </w:rPr>
                  </w:pPr>
                  <w:r>
                    <w:rPr>
                      <w:rFonts w:hint="eastAsia"/>
                      <w:sz w:val="16"/>
                      <w:szCs w:val="16"/>
                      <w:lang w:eastAsia="zh-CN"/>
                    </w:rPr>
                    <w:t>$65-80</w:t>
                  </w:r>
                </w:p>
              </w:tc>
            </w:tr>
          </w:tbl>
          <w:p w14:paraId="577D83D9" w14:textId="77777777" w:rsidR="002D3CFC" w:rsidRPr="002F062C" w:rsidRDefault="002D3CFC" w:rsidP="00443ED9">
            <w:pPr>
              <w:jc w:val="both"/>
              <w:rPr>
                <w:sz w:val="16"/>
                <w:szCs w:val="16"/>
              </w:rPr>
            </w:pPr>
          </w:p>
        </w:tc>
      </w:tr>
    </w:tbl>
    <w:p w14:paraId="2B589A9D" w14:textId="77777777" w:rsidR="00830F06" w:rsidRDefault="00830F06" w:rsidP="00443ED9">
      <w:pPr>
        <w:ind w:left="-1440"/>
        <w:jc w:val="both"/>
        <w:rPr>
          <w:b/>
          <w:sz w:val="16"/>
          <w:szCs w:val="16"/>
        </w:rPr>
      </w:pPr>
    </w:p>
    <w:tbl>
      <w:tblPr>
        <w:tblStyle w:val="TableGrid"/>
        <w:tblW w:w="11808" w:type="dxa"/>
        <w:tblInd w:w="-1440" w:type="dxa"/>
        <w:tblLook w:val="04A0" w:firstRow="1" w:lastRow="0" w:firstColumn="1" w:lastColumn="0" w:noHBand="0" w:noVBand="1"/>
      </w:tblPr>
      <w:tblGrid>
        <w:gridCol w:w="7473"/>
        <w:gridCol w:w="4392"/>
      </w:tblGrid>
      <w:tr w:rsidR="004F2EAA" w14:paraId="660DEC2C" w14:textId="77777777" w:rsidTr="00034A52">
        <w:tc>
          <w:tcPr>
            <w:tcW w:w="7488" w:type="dxa"/>
            <w:shd w:val="clear" w:color="auto" w:fill="365F91" w:themeFill="accent1" w:themeFillShade="BF"/>
          </w:tcPr>
          <w:p w14:paraId="1BAF6900" w14:textId="27A2E398" w:rsidR="004F2EAA" w:rsidRPr="00900789" w:rsidRDefault="004F2EAA" w:rsidP="004F2EAA">
            <w:pPr>
              <w:rPr>
                <w:b/>
                <w:color w:val="FFFFFF" w:themeColor="background1"/>
                <w:sz w:val="16"/>
                <w:szCs w:val="16"/>
              </w:rPr>
            </w:pPr>
            <w:r w:rsidRPr="00900789">
              <w:rPr>
                <w:b/>
                <w:color w:val="FFFFFF" w:themeColor="background1"/>
                <w:sz w:val="16"/>
                <w:szCs w:val="16"/>
              </w:rPr>
              <w:t>Relative Valuation</w:t>
            </w:r>
          </w:p>
        </w:tc>
        <w:tc>
          <w:tcPr>
            <w:tcW w:w="4320" w:type="dxa"/>
            <w:shd w:val="clear" w:color="auto" w:fill="365F91" w:themeFill="accent1" w:themeFillShade="BF"/>
          </w:tcPr>
          <w:p w14:paraId="335BDBD9" w14:textId="160EB620" w:rsidR="004F2EAA" w:rsidRPr="00034A52" w:rsidRDefault="000E0407" w:rsidP="0010720B">
            <w:pPr>
              <w:jc w:val="both"/>
              <w:rPr>
                <w:b/>
                <w:color w:val="FFFFFF" w:themeColor="background1"/>
                <w:sz w:val="16"/>
                <w:szCs w:val="16"/>
              </w:rPr>
            </w:pPr>
            <w:r w:rsidRPr="000E0407">
              <w:rPr>
                <w:b/>
                <w:color w:val="FFFFFF" w:themeColor="background1"/>
                <w:sz w:val="16"/>
                <w:szCs w:val="16"/>
              </w:rPr>
              <w:t>Total Return</w:t>
            </w:r>
          </w:p>
        </w:tc>
      </w:tr>
      <w:tr w:rsidR="004F2EAA" w14:paraId="2AA141CB" w14:textId="77777777" w:rsidTr="00DF0D9C">
        <w:trPr>
          <w:trHeight w:val="2591"/>
        </w:trPr>
        <w:tc>
          <w:tcPr>
            <w:tcW w:w="7488" w:type="dxa"/>
          </w:tcPr>
          <w:p w14:paraId="3F2A33BE" w14:textId="77777777" w:rsidR="004F2EAA" w:rsidRDefault="004F2EAA" w:rsidP="0010720B">
            <w:pPr>
              <w:jc w:val="both"/>
              <w:rPr>
                <w:b/>
                <w:sz w:val="16"/>
                <w:szCs w:val="16"/>
              </w:rPr>
            </w:pPr>
          </w:p>
          <w:tbl>
            <w:tblPr>
              <w:tblStyle w:val="TableGrid"/>
              <w:tblW w:w="7247" w:type="dxa"/>
              <w:tblLook w:val="04A0" w:firstRow="1" w:lastRow="0" w:firstColumn="1" w:lastColumn="0" w:noHBand="0" w:noVBand="1"/>
            </w:tblPr>
            <w:tblGrid>
              <w:gridCol w:w="1577"/>
              <w:gridCol w:w="1418"/>
              <w:gridCol w:w="1417"/>
              <w:gridCol w:w="1418"/>
              <w:gridCol w:w="1417"/>
            </w:tblGrid>
            <w:tr w:rsidR="00643A41" w14:paraId="03A7F5D8" w14:textId="77777777" w:rsidTr="00643A41">
              <w:tc>
                <w:tcPr>
                  <w:tcW w:w="1577" w:type="dxa"/>
                  <w:shd w:val="clear" w:color="auto" w:fill="DBE5F1" w:themeFill="accent1" w:themeFillTint="33"/>
                </w:tcPr>
                <w:p w14:paraId="18F981FE" w14:textId="1E4297F6" w:rsidR="00643A41" w:rsidRDefault="00643A41" w:rsidP="004F2EAA">
                  <w:pPr>
                    <w:rPr>
                      <w:sz w:val="16"/>
                      <w:szCs w:val="16"/>
                      <w:lang w:eastAsia="zh-CN"/>
                    </w:rPr>
                  </w:pPr>
                  <w:r>
                    <w:rPr>
                      <w:sz w:val="16"/>
                      <w:szCs w:val="16"/>
                    </w:rPr>
                    <w:t>FY201</w:t>
                  </w:r>
                  <w:r>
                    <w:rPr>
                      <w:rFonts w:hint="eastAsia"/>
                      <w:sz w:val="16"/>
                      <w:szCs w:val="16"/>
                      <w:lang w:eastAsia="zh-CN"/>
                    </w:rPr>
                    <w:t>5</w:t>
                  </w:r>
                </w:p>
              </w:tc>
              <w:tc>
                <w:tcPr>
                  <w:tcW w:w="1418" w:type="dxa"/>
                  <w:shd w:val="clear" w:color="auto" w:fill="DBE5F1" w:themeFill="accent1" w:themeFillTint="33"/>
                </w:tcPr>
                <w:p w14:paraId="36FCBD39" w14:textId="3A763F02" w:rsidR="00643A41" w:rsidRDefault="00643A41" w:rsidP="0097552E">
                  <w:pPr>
                    <w:jc w:val="center"/>
                    <w:rPr>
                      <w:sz w:val="16"/>
                      <w:szCs w:val="16"/>
                      <w:lang w:eastAsia="zh-CN"/>
                    </w:rPr>
                  </w:pPr>
                  <w:r>
                    <w:rPr>
                      <w:sz w:val="16"/>
                      <w:szCs w:val="16"/>
                    </w:rPr>
                    <w:t>Krispy Kreme</w:t>
                  </w:r>
                </w:p>
              </w:tc>
              <w:tc>
                <w:tcPr>
                  <w:tcW w:w="1417" w:type="dxa"/>
                  <w:shd w:val="clear" w:color="auto" w:fill="DBE5F1" w:themeFill="accent1" w:themeFillTint="33"/>
                </w:tcPr>
                <w:p w14:paraId="3D1A50AD" w14:textId="1D9B5E67" w:rsidR="00643A41" w:rsidRDefault="00643A41" w:rsidP="0097552E">
                  <w:pPr>
                    <w:jc w:val="center"/>
                    <w:rPr>
                      <w:sz w:val="16"/>
                      <w:szCs w:val="16"/>
                      <w:lang w:eastAsia="zh-CN"/>
                    </w:rPr>
                  </w:pPr>
                  <w:r>
                    <w:rPr>
                      <w:rFonts w:hint="eastAsia"/>
                      <w:sz w:val="16"/>
                      <w:szCs w:val="16"/>
                      <w:lang w:eastAsia="zh-CN"/>
                    </w:rPr>
                    <w:t>Dunkin</w:t>
                  </w:r>
                </w:p>
              </w:tc>
              <w:tc>
                <w:tcPr>
                  <w:tcW w:w="1418" w:type="dxa"/>
                  <w:shd w:val="clear" w:color="auto" w:fill="DBE5F1" w:themeFill="accent1" w:themeFillTint="33"/>
                </w:tcPr>
                <w:p w14:paraId="2A396C67" w14:textId="384FC983" w:rsidR="00643A41" w:rsidRDefault="00643A41" w:rsidP="0097552E">
                  <w:pPr>
                    <w:jc w:val="center"/>
                    <w:rPr>
                      <w:sz w:val="16"/>
                      <w:szCs w:val="16"/>
                    </w:rPr>
                  </w:pPr>
                  <w:r>
                    <w:rPr>
                      <w:sz w:val="16"/>
                      <w:szCs w:val="16"/>
                    </w:rPr>
                    <w:t>Industry</w:t>
                  </w:r>
                </w:p>
              </w:tc>
              <w:tc>
                <w:tcPr>
                  <w:tcW w:w="1417" w:type="dxa"/>
                  <w:shd w:val="clear" w:color="auto" w:fill="DBE5F1" w:themeFill="accent1" w:themeFillTint="33"/>
                </w:tcPr>
                <w:p w14:paraId="78007BAA" w14:textId="5FFED5EB" w:rsidR="00643A41" w:rsidRDefault="00643A41" w:rsidP="0097552E">
                  <w:pPr>
                    <w:jc w:val="center"/>
                    <w:rPr>
                      <w:sz w:val="16"/>
                      <w:szCs w:val="16"/>
                      <w:lang w:eastAsia="zh-CN"/>
                    </w:rPr>
                  </w:pPr>
                  <w:r>
                    <w:rPr>
                      <w:sz w:val="16"/>
                      <w:szCs w:val="16"/>
                    </w:rPr>
                    <w:t>SBUX</w:t>
                  </w:r>
                </w:p>
              </w:tc>
            </w:tr>
            <w:tr w:rsidR="00643A41" w14:paraId="5DA42BF7" w14:textId="77777777" w:rsidTr="00643A41">
              <w:tc>
                <w:tcPr>
                  <w:tcW w:w="1577" w:type="dxa"/>
                </w:tcPr>
                <w:p w14:paraId="5D8F0BAD" w14:textId="77777777" w:rsidR="00643A41" w:rsidRDefault="00643A41" w:rsidP="006B0A61">
                  <w:pPr>
                    <w:rPr>
                      <w:sz w:val="16"/>
                      <w:szCs w:val="16"/>
                    </w:rPr>
                  </w:pPr>
                  <w:r>
                    <w:rPr>
                      <w:sz w:val="16"/>
                      <w:szCs w:val="16"/>
                    </w:rPr>
                    <w:t>P/E</w:t>
                  </w:r>
                </w:p>
              </w:tc>
              <w:tc>
                <w:tcPr>
                  <w:tcW w:w="1418" w:type="dxa"/>
                  <w:vAlign w:val="bottom"/>
                </w:tcPr>
                <w:p w14:paraId="53BFCC21" w14:textId="29B46187" w:rsidR="00643A41" w:rsidRDefault="00643A41" w:rsidP="00DF007C">
                  <w:pPr>
                    <w:jc w:val="center"/>
                    <w:rPr>
                      <w:sz w:val="16"/>
                      <w:szCs w:val="16"/>
                    </w:rPr>
                  </w:pPr>
                  <w:r w:rsidRPr="00643A41">
                    <w:rPr>
                      <w:sz w:val="16"/>
                      <w:szCs w:val="16"/>
                    </w:rPr>
                    <w:t xml:space="preserve"> 28.08 </w:t>
                  </w:r>
                </w:p>
              </w:tc>
              <w:tc>
                <w:tcPr>
                  <w:tcW w:w="1417" w:type="dxa"/>
                  <w:vAlign w:val="bottom"/>
                </w:tcPr>
                <w:p w14:paraId="4F2C1D30" w14:textId="249F685C" w:rsidR="00643A41" w:rsidRPr="00E76B43" w:rsidRDefault="00643A41" w:rsidP="00DF007C">
                  <w:pPr>
                    <w:jc w:val="center"/>
                    <w:rPr>
                      <w:sz w:val="16"/>
                      <w:szCs w:val="16"/>
                    </w:rPr>
                  </w:pPr>
                  <w:r w:rsidRPr="00643A41">
                    <w:rPr>
                      <w:sz w:val="16"/>
                      <w:szCs w:val="16"/>
                    </w:rPr>
                    <w:t xml:space="preserve"> 24.78 </w:t>
                  </w:r>
                </w:p>
              </w:tc>
              <w:tc>
                <w:tcPr>
                  <w:tcW w:w="1418" w:type="dxa"/>
                  <w:vAlign w:val="bottom"/>
                </w:tcPr>
                <w:p w14:paraId="1710897B" w14:textId="6C3DD0AE" w:rsidR="00643A41" w:rsidRDefault="00643A41" w:rsidP="00DF007C">
                  <w:pPr>
                    <w:jc w:val="center"/>
                    <w:rPr>
                      <w:sz w:val="16"/>
                      <w:szCs w:val="16"/>
                    </w:rPr>
                  </w:pPr>
                  <w:r w:rsidRPr="00643A41">
                    <w:rPr>
                      <w:sz w:val="16"/>
                      <w:szCs w:val="16"/>
                    </w:rPr>
                    <w:t xml:space="preserve"> 29.44 </w:t>
                  </w:r>
                </w:p>
              </w:tc>
              <w:tc>
                <w:tcPr>
                  <w:tcW w:w="1417" w:type="dxa"/>
                  <w:vAlign w:val="bottom"/>
                </w:tcPr>
                <w:p w14:paraId="7076EAC1" w14:textId="11BDA7EA" w:rsidR="00643A41" w:rsidRDefault="00643A41" w:rsidP="00DF007C">
                  <w:pPr>
                    <w:jc w:val="center"/>
                    <w:rPr>
                      <w:sz w:val="16"/>
                      <w:szCs w:val="16"/>
                    </w:rPr>
                  </w:pPr>
                  <w:r w:rsidRPr="00643A41">
                    <w:rPr>
                      <w:sz w:val="16"/>
                      <w:szCs w:val="16"/>
                    </w:rPr>
                    <w:t xml:space="preserve"> 35.44 </w:t>
                  </w:r>
                </w:p>
              </w:tc>
            </w:tr>
            <w:tr w:rsidR="00643A41" w14:paraId="3CF28431" w14:textId="77777777" w:rsidTr="00643A41">
              <w:tc>
                <w:tcPr>
                  <w:tcW w:w="1577" w:type="dxa"/>
                </w:tcPr>
                <w:p w14:paraId="7E3790DF" w14:textId="77777777" w:rsidR="00643A41" w:rsidRDefault="00643A41" w:rsidP="006B0A61">
                  <w:pPr>
                    <w:rPr>
                      <w:sz w:val="16"/>
                      <w:szCs w:val="16"/>
                    </w:rPr>
                  </w:pPr>
                  <w:r>
                    <w:rPr>
                      <w:sz w:val="16"/>
                      <w:szCs w:val="16"/>
                    </w:rPr>
                    <w:t>P/B</w:t>
                  </w:r>
                </w:p>
              </w:tc>
              <w:tc>
                <w:tcPr>
                  <w:tcW w:w="1418" w:type="dxa"/>
                  <w:vAlign w:val="bottom"/>
                </w:tcPr>
                <w:p w14:paraId="34BDBBAA" w14:textId="1E4BD3A5" w:rsidR="00643A41" w:rsidRDefault="00643A41" w:rsidP="00DF007C">
                  <w:pPr>
                    <w:jc w:val="center"/>
                    <w:rPr>
                      <w:sz w:val="16"/>
                      <w:szCs w:val="16"/>
                    </w:rPr>
                  </w:pPr>
                  <w:r w:rsidRPr="00643A41">
                    <w:rPr>
                      <w:sz w:val="16"/>
                      <w:szCs w:val="16"/>
                    </w:rPr>
                    <w:t xml:space="preserve"> 3.66 </w:t>
                  </w:r>
                </w:p>
              </w:tc>
              <w:tc>
                <w:tcPr>
                  <w:tcW w:w="1417" w:type="dxa"/>
                  <w:vAlign w:val="bottom"/>
                </w:tcPr>
                <w:p w14:paraId="4A9707BF" w14:textId="5E031218" w:rsidR="00643A41" w:rsidRPr="00E76B43" w:rsidRDefault="00643A41" w:rsidP="00DF007C">
                  <w:pPr>
                    <w:jc w:val="center"/>
                    <w:rPr>
                      <w:sz w:val="16"/>
                      <w:szCs w:val="16"/>
                    </w:rPr>
                  </w:pPr>
                </w:p>
              </w:tc>
              <w:tc>
                <w:tcPr>
                  <w:tcW w:w="1418" w:type="dxa"/>
                  <w:vAlign w:val="bottom"/>
                </w:tcPr>
                <w:p w14:paraId="7C8A26C7" w14:textId="64A0C146" w:rsidR="00643A41" w:rsidRDefault="00643A41" w:rsidP="00DF007C">
                  <w:pPr>
                    <w:jc w:val="center"/>
                    <w:rPr>
                      <w:sz w:val="16"/>
                      <w:szCs w:val="16"/>
                    </w:rPr>
                  </w:pPr>
                  <w:r w:rsidRPr="00643A41">
                    <w:rPr>
                      <w:sz w:val="16"/>
                      <w:szCs w:val="16"/>
                    </w:rPr>
                    <w:t xml:space="preserve"> 8.99 </w:t>
                  </w:r>
                </w:p>
              </w:tc>
              <w:tc>
                <w:tcPr>
                  <w:tcW w:w="1417" w:type="dxa"/>
                  <w:vAlign w:val="bottom"/>
                </w:tcPr>
                <w:p w14:paraId="5AFEA404" w14:textId="1B74F29E" w:rsidR="00643A41" w:rsidRDefault="00643A41" w:rsidP="00DF007C">
                  <w:pPr>
                    <w:jc w:val="center"/>
                    <w:rPr>
                      <w:sz w:val="16"/>
                      <w:szCs w:val="16"/>
                    </w:rPr>
                  </w:pPr>
                  <w:r w:rsidRPr="00643A41">
                    <w:rPr>
                      <w:sz w:val="16"/>
                      <w:szCs w:val="16"/>
                    </w:rPr>
                    <w:t xml:space="preserve"> 14.31 </w:t>
                  </w:r>
                </w:p>
              </w:tc>
            </w:tr>
            <w:tr w:rsidR="00643A41" w14:paraId="0617F604" w14:textId="77777777" w:rsidTr="00643A41">
              <w:tc>
                <w:tcPr>
                  <w:tcW w:w="1577" w:type="dxa"/>
                </w:tcPr>
                <w:p w14:paraId="3EC6238B" w14:textId="77777777" w:rsidR="00643A41" w:rsidRDefault="00643A41" w:rsidP="006B0A61">
                  <w:pPr>
                    <w:rPr>
                      <w:sz w:val="16"/>
                      <w:szCs w:val="16"/>
                    </w:rPr>
                  </w:pPr>
                  <w:r>
                    <w:rPr>
                      <w:sz w:val="16"/>
                      <w:szCs w:val="16"/>
                    </w:rPr>
                    <w:t xml:space="preserve">Dividend Yield </w:t>
                  </w:r>
                </w:p>
              </w:tc>
              <w:tc>
                <w:tcPr>
                  <w:tcW w:w="1418" w:type="dxa"/>
                  <w:vAlign w:val="bottom"/>
                </w:tcPr>
                <w:p w14:paraId="524E59DF" w14:textId="52CAB1E8" w:rsidR="00643A41" w:rsidRDefault="00643A41" w:rsidP="00DF007C">
                  <w:pPr>
                    <w:jc w:val="center"/>
                    <w:rPr>
                      <w:sz w:val="16"/>
                      <w:szCs w:val="16"/>
                    </w:rPr>
                  </w:pPr>
                  <w:r w:rsidRPr="00643A41">
                    <w:rPr>
                      <w:sz w:val="16"/>
                      <w:szCs w:val="16"/>
                    </w:rPr>
                    <w:t xml:space="preserve"> </w:t>
                  </w:r>
                  <w:proofErr w:type="gramStart"/>
                  <w:r w:rsidRPr="00643A41">
                    <w:rPr>
                      <w:sz w:val="16"/>
                      <w:szCs w:val="16"/>
                    </w:rPr>
                    <w:t xml:space="preserve">-   </w:t>
                  </w:r>
                  <w:proofErr w:type="gramEnd"/>
                </w:p>
              </w:tc>
              <w:tc>
                <w:tcPr>
                  <w:tcW w:w="1417" w:type="dxa"/>
                  <w:vAlign w:val="bottom"/>
                </w:tcPr>
                <w:p w14:paraId="6C6B84C3" w14:textId="422DCFBA" w:rsidR="00643A41" w:rsidRPr="00E76B43" w:rsidRDefault="00643A41" w:rsidP="00DF007C">
                  <w:pPr>
                    <w:jc w:val="center"/>
                    <w:rPr>
                      <w:sz w:val="16"/>
                      <w:szCs w:val="16"/>
                    </w:rPr>
                  </w:pPr>
                  <w:r w:rsidRPr="00643A41">
                    <w:rPr>
                      <w:sz w:val="16"/>
                      <w:szCs w:val="16"/>
                    </w:rPr>
                    <w:t xml:space="preserve"> 2.44 </w:t>
                  </w:r>
                </w:p>
              </w:tc>
              <w:tc>
                <w:tcPr>
                  <w:tcW w:w="1418" w:type="dxa"/>
                  <w:vAlign w:val="bottom"/>
                </w:tcPr>
                <w:p w14:paraId="46267742" w14:textId="3C3114F0" w:rsidR="00643A41" w:rsidRDefault="00643A41" w:rsidP="00DF007C">
                  <w:pPr>
                    <w:jc w:val="center"/>
                    <w:rPr>
                      <w:sz w:val="16"/>
                      <w:szCs w:val="16"/>
                    </w:rPr>
                  </w:pPr>
                  <w:r w:rsidRPr="00643A41">
                    <w:rPr>
                      <w:sz w:val="16"/>
                      <w:szCs w:val="16"/>
                    </w:rPr>
                    <w:t xml:space="preserve"> 1.23 </w:t>
                  </w:r>
                </w:p>
              </w:tc>
              <w:tc>
                <w:tcPr>
                  <w:tcW w:w="1417" w:type="dxa"/>
                  <w:vAlign w:val="bottom"/>
                </w:tcPr>
                <w:p w14:paraId="4CB9EC74" w14:textId="2669F037" w:rsidR="00643A41" w:rsidRDefault="00643A41" w:rsidP="00DF007C">
                  <w:pPr>
                    <w:jc w:val="center"/>
                    <w:rPr>
                      <w:sz w:val="16"/>
                      <w:szCs w:val="16"/>
                    </w:rPr>
                  </w:pPr>
                  <w:r w:rsidRPr="00643A41">
                    <w:rPr>
                      <w:sz w:val="16"/>
                      <w:szCs w:val="16"/>
                    </w:rPr>
                    <w:t xml:space="preserve"> 1.25 </w:t>
                  </w:r>
                </w:p>
              </w:tc>
            </w:tr>
            <w:tr w:rsidR="00643A41" w14:paraId="4505851E" w14:textId="77777777" w:rsidTr="00643A41">
              <w:tc>
                <w:tcPr>
                  <w:tcW w:w="1577" w:type="dxa"/>
                </w:tcPr>
                <w:p w14:paraId="6045AE39" w14:textId="77777777" w:rsidR="00643A41" w:rsidRDefault="00643A41" w:rsidP="006B0A61">
                  <w:pPr>
                    <w:rPr>
                      <w:sz w:val="16"/>
                      <w:szCs w:val="16"/>
                    </w:rPr>
                  </w:pPr>
                  <w:r>
                    <w:rPr>
                      <w:sz w:val="16"/>
                      <w:szCs w:val="16"/>
                    </w:rPr>
                    <w:t xml:space="preserve">PEG Ratio </w:t>
                  </w:r>
                </w:p>
              </w:tc>
              <w:tc>
                <w:tcPr>
                  <w:tcW w:w="1418" w:type="dxa"/>
                  <w:vAlign w:val="bottom"/>
                </w:tcPr>
                <w:p w14:paraId="6C39B871" w14:textId="7FE57441" w:rsidR="00643A41" w:rsidRDefault="00643A41" w:rsidP="00DF007C">
                  <w:pPr>
                    <w:jc w:val="center"/>
                    <w:rPr>
                      <w:sz w:val="16"/>
                      <w:szCs w:val="16"/>
                    </w:rPr>
                  </w:pPr>
                  <w:r w:rsidRPr="00643A41">
                    <w:rPr>
                      <w:sz w:val="16"/>
                      <w:szCs w:val="16"/>
                    </w:rPr>
                    <w:t xml:space="preserve"> 1.04 </w:t>
                  </w:r>
                </w:p>
              </w:tc>
              <w:tc>
                <w:tcPr>
                  <w:tcW w:w="1417" w:type="dxa"/>
                  <w:vAlign w:val="bottom"/>
                </w:tcPr>
                <w:p w14:paraId="3B0D2CEB" w14:textId="3031E1B5" w:rsidR="00643A41" w:rsidRPr="00E76B43" w:rsidRDefault="00643A41" w:rsidP="00DF007C">
                  <w:pPr>
                    <w:jc w:val="center"/>
                    <w:rPr>
                      <w:sz w:val="16"/>
                      <w:szCs w:val="16"/>
                    </w:rPr>
                  </w:pPr>
                  <w:r w:rsidRPr="00643A41">
                    <w:rPr>
                      <w:sz w:val="16"/>
                      <w:szCs w:val="16"/>
                    </w:rPr>
                    <w:t xml:space="preserve"> 1.48 </w:t>
                  </w:r>
                </w:p>
              </w:tc>
              <w:tc>
                <w:tcPr>
                  <w:tcW w:w="1418" w:type="dxa"/>
                  <w:vAlign w:val="bottom"/>
                </w:tcPr>
                <w:p w14:paraId="09628130" w14:textId="7110D4F3" w:rsidR="00643A41" w:rsidRDefault="00643A41" w:rsidP="00DF007C">
                  <w:pPr>
                    <w:jc w:val="center"/>
                    <w:rPr>
                      <w:sz w:val="16"/>
                      <w:szCs w:val="16"/>
                    </w:rPr>
                  </w:pPr>
                  <w:r w:rsidRPr="00643A41">
                    <w:rPr>
                      <w:sz w:val="16"/>
                      <w:szCs w:val="16"/>
                    </w:rPr>
                    <w:t xml:space="preserve"> 1.41 </w:t>
                  </w:r>
                </w:p>
              </w:tc>
              <w:tc>
                <w:tcPr>
                  <w:tcW w:w="1417" w:type="dxa"/>
                  <w:vAlign w:val="bottom"/>
                </w:tcPr>
                <w:p w14:paraId="2302C4FD" w14:textId="2CF43F9D" w:rsidR="00643A41" w:rsidRDefault="00643A41" w:rsidP="00DF007C">
                  <w:pPr>
                    <w:jc w:val="center"/>
                    <w:rPr>
                      <w:sz w:val="16"/>
                      <w:szCs w:val="16"/>
                    </w:rPr>
                  </w:pPr>
                  <w:r w:rsidRPr="00643A41">
                    <w:rPr>
                      <w:sz w:val="16"/>
                      <w:szCs w:val="16"/>
                    </w:rPr>
                    <w:t xml:space="preserve"> 1.70 </w:t>
                  </w:r>
                </w:p>
              </w:tc>
            </w:tr>
            <w:tr w:rsidR="00643A41" w14:paraId="06FF3325" w14:textId="77777777" w:rsidTr="00643A41">
              <w:tc>
                <w:tcPr>
                  <w:tcW w:w="1577" w:type="dxa"/>
                </w:tcPr>
                <w:p w14:paraId="7FD0AD7B" w14:textId="77777777" w:rsidR="00643A41" w:rsidRDefault="00643A41" w:rsidP="006B0A61">
                  <w:pPr>
                    <w:rPr>
                      <w:sz w:val="16"/>
                      <w:szCs w:val="16"/>
                    </w:rPr>
                  </w:pPr>
                  <w:r>
                    <w:rPr>
                      <w:sz w:val="16"/>
                      <w:szCs w:val="16"/>
                    </w:rPr>
                    <w:t>EPS</w:t>
                  </w:r>
                </w:p>
              </w:tc>
              <w:tc>
                <w:tcPr>
                  <w:tcW w:w="1418" w:type="dxa"/>
                  <w:vAlign w:val="bottom"/>
                </w:tcPr>
                <w:p w14:paraId="039C42DF" w14:textId="78A68B51" w:rsidR="00643A41" w:rsidRDefault="00643A41" w:rsidP="00DF007C">
                  <w:pPr>
                    <w:jc w:val="center"/>
                    <w:rPr>
                      <w:sz w:val="16"/>
                      <w:szCs w:val="16"/>
                    </w:rPr>
                  </w:pPr>
                  <w:r w:rsidRPr="00643A41">
                    <w:rPr>
                      <w:sz w:val="16"/>
                      <w:szCs w:val="16"/>
                    </w:rPr>
                    <w:t xml:space="preserve"> 0.52 </w:t>
                  </w:r>
                </w:p>
              </w:tc>
              <w:tc>
                <w:tcPr>
                  <w:tcW w:w="1417" w:type="dxa"/>
                  <w:vAlign w:val="bottom"/>
                </w:tcPr>
                <w:p w14:paraId="082CAA92" w14:textId="125F31B9" w:rsidR="00643A41" w:rsidRPr="00E76B43" w:rsidRDefault="00643A41" w:rsidP="00DF007C">
                  <w:pPr>
                    <w:jc w:val="center"/>
                    <w:rPr>
                      <w:sz w:val="16"/>
                      <w:szCs w:val="16"/>
                    </w:rPr>
                  </w:pPr>
                  <w:r w:rsidRPr="00643A41">
                    <w:rPr>
                      <w:sz w:val="16"/>
                      <w:szCs w:val="16"/>
                    </w:rPr>
                    <w:t xml:space="preserve"> 1.80 </w:t>
                  </w:r>
                </w:p>
              </w:tc>
              <w:tc>
                <w:tcPr>
                  <w:tcW w:w="1418" w:type="dxa"/>
                  <w:vAlign w:val="bottom"/>
                </w:tcPr>
                <w:p w14:paraId="0783FD74" w14:textId="3F46B807" w:rsidR="00643A41" w:rsidRDefault="00643A41" w:rsidP="00DF007C">
                  <w:pPr>
                    <w:jc w:val="center"/>
                    <w:rPr>
                      <w:sz w:val="16"/>
                      <w:szCs w:val="16"/>
                    </w:rPr>
                  </w:pPr>
                  <w:r w:rsidRPr="00643A41">
                    <w:rPr>
                      <w:sz w:val="16"/>
                      <w:szCs w:val="16"/>
                    </w:rPr>
                    <w:t xml:space="preserve"> 1.32 </w:t>
                  </w:r>
                </w:p>
              </w:tc>
              <w:tc>
                <w:tcPr>
                  <w:tcW w:w="1417" w:type="dxa"/>
                  <w:vAlign w:val="bottom"/>
                </w:tcPr>
                <w:p w14:paraId="6D9EF64C" w14:textId="29408315" w:rsidR="00643A41" w:rsidRDefault="00643A41" w:rsidP="00DF007C">
                  <w:pPr>
                    <w:jc w:val="center"/>
                    <w:rPr>
                      <w:sz w:val="16"/>
                      <w:szCs w:val="16"/>
                    </w:rPr>
                  </w:pPr>
                  <w:r w:rsidRPr="00643A41">
                    <w:rPr>
                      <w:sz w:val="16"/>
                      <w:szCs w:val="16"/>
                    </w:rPr>
                    <w:t xml:space="preserve"> 1.64 </w:t>
                  </w:r>
                </w:p>
              </w:tc>
            </w:tr>
            <w:tr w:rsidR="00643A41" w14:paraId="777301C1" w14:textId="77777777" w:rsidTr="00643A41">
              <w:tc>
                <w:tcPr>
                  <w:tcW w:w="1577" w:type="dxa"/>
                </w:tcPr>
                <w:p w14:paraId="0759BE0E" w14:textId="5BF8D697" w:rsidR="00643A41" w:rsidRDefault="00643A41" w:rsidP="006B0A61">
                  <w:pPr>
                    <w:rPr>
                      <w:sz w:val="16"/>
                      <w:szCs w:val="16"/>
                    </w:rPr>
                  </w:pPr>
                  <w:r>
                    <w:rPr>
                      <w:sz w:val="16"/>
                      <w:szCs w:val="16"/>
                    </w:rPr>
                    <w:t xml:space="preserve">Rev Growth (1 </w:t>
                  </w:r>
                  <w:proofErr w:type="spellStart"/>
                  <w:r>
                    <w:rPr>
                      <w:sz w:val="16"/>
                      <w:szCs w:val="16"/>
                    </w:rPr>
                    <w:t>Yr</w:t>
                  </w:r>
                  <w:proofErr w:type="spellEnd"/>
                  <w:r>
                    <w:rPr>
                      <w:sz w:val="16"/>
                      <w:szCs w:val="16"/>
                    </w:rPr>
                    <w:t>)</w:t>
                  </w:r>
                </w:p>
              </w:tc>
              <w:tc>
                <w:tcPr>
                  <w:tcW w:w="1418" w:type="dxa"/>
                  <w:vAlign w:val="bottom"/>
                </w:tcPr>
                <w:p w14:paraId="18DCC7A0" w14:textId="0BE227EC" w:rsidR="00643A41" w:rsidRDefault="00643A41" w:rsidP="00DF007C">
                  <w:pPr>
                    <w:jc w:val="center"/>
                    <w:rPr>
                      <w:sz w:val="16"/>
                      <w:szCs w:val="16"/>
                    </w:rPr>
                  </w:pPr>
                  <w:r w:rsidRPr="00643A41">
                    <w:rPr>
                      <w:sz w:val="16"/>
                      <w:szCs w:val="16"/>
                    </w:rPr>
                    <w:t xml:space="preserve"> 6.52 </w:t>
                  </w:r>
                </w:p>
              </w:tc>
              <w:tc>
                <w:tcPr>
                  <w:tcW w:w="1417" w:type="dxa"/>
                  <w:vAlign w:val="bottom"/>
                </w:tcPr>
                <w:p w14:paraId="5272A0AD" w14:textId="048BFCDA" w:rsidR="00643A41" w:rsidRPr="00E76B43" w:rsidRDefault="00643A41" w:rsidP="00DF007C">
                  <w:pPr>
                    <w:jc w:val="center"/>
                    <w:rPr>
                      <w:sz w:val="16"/>
                      <w:szCs w:val="16"/>
                    </w:rPr>
                  </w:pPr>
                  <w:r w:rsidRPr="00643A41">
                    <w:rPr>
                      <w:sz w:val="16"/>
                      <w:szCs w:val="16"/>
                    </w:rPr>
                    <w:t xml:space="preserve"> 8.31 </w:t>
                  </w:r>
                </w:p>
              </w:tc>
              <w:tc>
                <w:tcPr>
                  <w:tcW w:w="1418" w:type="dxa"/>
                  <w:vAlign w:val="bottom"/>
                </w:tcPr>
                <w:p w14:paraId="42281ACF" w14:textId="23BEAEDA" w:rsidR="00643A41" w:rsidRDefault="00643A41" w:rsidP="00DF007C">
                  <w:pPr>
                    <w:jc w:val="center"/>
                    <w:rPr>
                      <w:sz w:val="16"/>
                      <w:szCs w:val="16"/>
                    </w:rPr>
                  </w:pPr>
                  <w:r w:rsidRPr="00643A41">
                    <w:rPr>
                      <w:sz w:val="16"/>
                      <w:szCs w:val="16"/>
                    </w:rPr>
                    <w:t xml:space="preserve"> 10.44 </w:t>
                  </w:r>
                </w:p>
              </w:tc>
              <w:tc>
                <w:tcPr>
                  <w:tcW w:w="1417" w:type="dxa"/>
                  <w:vAlign w:val="bottom"/>
                </w:tcPr>
                <w:p w14:paraId="17995264" w14:textId="60C51084" w:rsidR="00643A41" w:rsidRDefault="00643A41" w:rsidP="00DF007C">
                  <w:pPr>
                    <w:jc w:val="center"/>
                    <w:rPr>
                      <w:sz w:val="16"/>
                      <w:szCs w:val="16"/>
                    </w:rPr>
                  </w:pPr>
                  <w:r w:rsidRPr="00643A41">
                    <w:rPr>
                      <w:sz w:val="16"/>
                      <w:szCs w:val="16"/>
                    </w:rPr>
                    <w:t xml:space="preserve"> 16.51 </w:t>
                  </w:r>
                </w:p>
              </w:tc>
            </w:tr>
            <w:tr w:rsidR="00643A41" w14:paraId="616F0554" w14:textId="77777777" w:rsidTr="00643A41">
              <w:tc>
                <w:tcPr>
                  <w:tcW w:w="1577" w:type="dxa"/>
                </w:tcPr>
                <w:p w14:paraId="12174486" w14:textId="19744DCD" w:rsidR="00643A41" w:rsidRDefault="00643A41" w:rsidP="006B0A61">
                  <w:pPr>
                    <w:rPr>
                      <w:sz w:val="16"/>
                      <w:szCs w:val="16"/>
                    </w:rPr>
                  </w:pPr>
                  <w:r>
                    <w:rPr>
                      <w:sz w:val="16"/>
                      <w:szCs w:val="16"/>
                    </w:rPr>
                    <w:t xml:space="preserve">NI Growth (1 </w:t>
                  </w:r>
                  <w:proofErr w:type="spellStart"/>
                  <w:r>
                    <w:rPr>
                      <w:sz w:val="16"/>
                      <w:szCs w:val="16"/>
                    </w:rPr>
                    <w:t>Yrs</w:t>
                  </w:r>
                  <w:proofErr w:type="spellEnd"/>
                  <w:r>
                    <w:rPr>
                      <w:sz w:val="16"/>
                      <w:szCs w:val="16"/>
                    </w:rPr>
                    <w:t xml:space="preserve">) </w:t>
                  </w:r>
                </w:p>
              </w:tc>
              <w:tc>
                <w:tcPr>
                  <w:tcW w:w="1418" w:type="dxa"/>
                  <w:vAlign w:val="bottom"/>
                </w:tcPr>
                <w:p w14:paraId="21AC8274" w14:textId="374CB536" w:rsidR="00643A41" w:rsidRDefault="00643A41" w:rsidP="00DF007C">
                  <w:pPr>
                    <w:jc w:val="center"/>
                    <w:rPr>
                      <w:sz w:val="16"/>
                      <w:szCs w:val="16"/>
                    </w:rPr>
                  </w:pPr>
                  <w:r w:rsidRPr="00643A41">
                    <w:rPr>
                      <w:sz w:val="16"/>
                      <w:szCs w:val="16"/>
                    </w:rPr>
                    <w:t xml:space="preserve"> (12.25)</w:t>
                  </w:r>
                </w:p>
              </w:tc>
              <w:tc>
                <w:tcPr>
                  <w:tcW w:w="1417" w:type="dxa"/>
                  <w:vAlign w:val="bottom"/>
                </w:tcPr>
                <w:p w14:paraId="78AC1DFB" w14:textId="21BD84D3" w:rsidR="00643A41" w:rsidRPr="00E76B43" w:rsidRDefault="00643A41" w:rsidP="00DF007C">
                  <w:pPr>
                    <w:jc w:val="center"/>
                    <w:rPr>
                      <w:sz w:val="16"/>
                      <w:szCs w:val="16"/>
                    </w:rPr>
                  </w:pPr>
                  <w:r w:rsidRPr="00643A41">
                    <w:rPr>
                      <w:sz w:val="16"/>
                      <w:szCs w:val="16"/>
                    </w:rPr>
                    <w:t xml:space="preserve"> (40.33)</w:t>
                  </w:r>
                </w:p>
              </w:tc>
              <w:tc>
                <w:tcPr>
                  <w:tcW w:w="1418" w:type="dxa"/>
                  <w:vAlign w:val="bottom"/>
                </w:tcPr>
                <w:p w14:paraId="098D397E" w14:textId="748F3B06" w:rsidR="00643A41" w:rsidRDefault="00643A41" w:rsidP="00DF007C">
                  <w:pPr>
                    <w:jc w:val="center"/>
                    <w:rPr>
                      <w:sz w:val="16"/>
                      <w:szCs w:val="16"/>
                    </w:rPr>
                  </w:pPr>
                  <w:r w:rsidRPr="00643A41">
                    <w:rPr>
                      <w:sz w:val="16"/>
                      <w:szCs w:val="16"/>
                    </w:rPr>
                    <w:t xml:space="preserve"> (6.42)</w:t>
                  </w:r>
                </w:p>
              </w:tc>
              <w:tc>
                <w:tcPr>
                  <w:tcW w:w="1417" w:type="dxa"/>
                  <w:vAlign w:val="bottom"/>
                </w:tcPr>
                <w:p w14:paraId="09E34E39" w14:textId="486A15AD" w:rsidR="00643A41" w:rsidRDefault="00643A41" w:rsidP="00DF007C">
                  <w:pPr>
                    <w:jc w:val="center"/>
                    <w:rPr>
                      <w:sz w:val="16"/>
                      <w:szCs w:val="16"/>
                    </w:rPr>
                  </w:pPr>
                  <w:r w:rsidRPr="00643A41">
                    <w:rPr>
                      <w:sz w:val="16"/>
                      <w:szCs w:val="16"/>
                    </w:rPr>
                    <w:t xml:space="preserve"> 33.33 </w:t>
                  </w:r>
                </w:p>
              </w:tc>
            </w:tr>
            <w:tr w:rsidR="00643A41" w14:paraId="339AECB6" w14:textId="77777777" w:rsidTr="00643A41">
              <w:tc>
                <w:tcPr>
                  <w:tcW w:w="1577" w:type="dxa"/>
                </w:tcPr>
                <w:p w14:paraId="7B2C49BE" w14:textId="77777777" w:rsidR="00643A41" w:rsidRDefault="00643A41" w:rsidP="006B0A61">
                  <w:pPr>
                    <w:rPr>
                      <w:sz w:val="16"/>
                      <w:szCs w:val="16"/>
                    </w:rPr>
                  </w:pPr>
                  <w:r>
                    <w:rPr>
                      <w:sz w:val="16"/>
                      <w:szCs w:val="16"/>
                    </w:rPr>
                    <w:t xml:space="preserve">Operating Margin </w:t>
                  </w:r>
                </w:p>
              </w:tc>
              <w:tc>
                <w:tcPr>
                  <w:tcW w:w="1418" w:type="dxa"/>
                  <w:vAlign w:val="bottom"/>
                </w:tcPr>
                <w:p w14:paraId="6D16033E" w14:textId="0F5E9447" w:rsidR="00643A41" w:rsidRDefault="00643A41" w:rsidP="00DF007C">
                  <w:pPr>
                    <w:jc w:val="center"/>
                    <w:rPr>
                      <w:sz w:val="16"/>
                      <w:szCs w:val="16"/>
                    </w:rPr>
                  </w:pPr>
                  <w:r w:rsidRPr="00643A41">
                    <w:rPr>
                      <w:sz w:val="16"/>
                      <w:szCs w:val="16"/>
                    </w:rPr>
                    <w:t xml:space="preserve"> 10.39 </w:t>
                  </w:r>
                </w:p>
              </w:tc>
              <w:tc>
                <w:tcPr>
                  <w:tcW w:w="1417" w:type="dxa"/>
                  <w:vAlign w:val="bottom"/>
                </w:tcPr>
                <w:p w14:paraId="73AEB1D4" w14:textId="3DB96CEF" w:rsidR="00643A41" w:rsidRPr="00E76B43" w:rsidRDefault="00643A41" w:rsidP="00DF007C">
                  <w:pPr>
                    <w:jc w:val="center"/>
                    <w:rPr>
                      <w:sz w:val="16"/>
                      <w:szCs w:val="16"/>
                    </w:rPr>
                  </w:pPr>
                  <w:r w:rsidRPr="00643A41">
                    <w:rPr>
                      <w:sz w:val="16"/>
                      <w:szCs w:val="16"/>
                    </w:rPr>
                    <w:t xml:space="preserve"> 21.33 </w:t>
                  </w:r>
                </w:p>
              </w:tc>
              <w:tc>
                <w:tcPr>
                  <w:tcW w:w="1418" w:type="dxa"/>
                  <w:vAlign w:val="bottom"/>
                </w:tcPr>
                <w:p w14:paraId="218F33F9" w14:textId="211D5F11" w:rsidR="00643A41" w:rsidRDefault="00643A41" w:rsidP="00DF007C">
                  <w:pPr>
                    <w:jc w:val="center"/>
                    <w:rPr>
                      <w:sz w:val="16"/>
                      <w:szCs w:val="16"/>
                    </w:rPr>
                  </w:pPr>
                  <w:r w:rsidRPr="00643A41">
                    <w:rPr>
                      <w:sz w:val="16"/>
                      <w:szCs w:val="16"/>
                    </w:rPr>
                    <w:t xml:space="preserve"> 17.14 </w:t>
                  </w:r>
                </w:p>
              </w:tc>
              <w:tc>
                <w:tcPr>
                  <w:tcW w:w="1417" w:type="dxa"/>
                  <w:vAlign w:val="bottom"/>
                </w:tcPr>
                <w:p w14:paraId="0DC9A589" w14:textId="44A961EA" w:rsidR="00643A41" w:rsidRDefault="00643A41" w:rsidP="00DF007C">
                  <w:pPr>
                    <w:jc w:val="center"/>
                    <w:rPr>
                      <w:sz w:val="16"/>
                      <w:szCs w:val="16"/>
                    </w:rPr>
                  </w:pPr>
                  <w:r w:rsidRPr="00643A41">
                    <w:rPr>
                      <w:sz w:val="16"/>
                      <w:szCs w:val="16"/>
                    </w:rPr>
                    <w:t xml:space="preserve"> 19.69 </w:t>
                  </w:r>
                </w:p>
              </w:tc>
            </w:tr>
            <w:tr w:rsidR="00643A41" w14:paraId="064AA80D" w14:textId="77777777" w:rsidTr="00643A41">
              <w:tc>
                <w:tcPr>
                  <w:tcW w:w="1577" w:type="dxa"/>
                </w:tcPr>
                <w:p w14:paraId="5977E240" w14:textId="77777777" w:rsidR="00643A41" w:rsidRDefault="00643A41" w:rsidP="006B0A61">
                  <w:pPr>
                    <w:rPr>
                      <w:sz w:val="16"/>
                      <w:szCs w:val="16"/>
                    </w:rPr>
                  </w:pPr>
                  <w:r>
                    <w:rPr>
                      <w:sz w:val="16"/>
                      <w:szCs w:val="16"/>
                    </w:rPr>
                    <w:t xml:space="preserve">Debt / Equity </w:t>
                  </w:r>
                </w:p>
              </w:tc>
              <w:tc>
                <w:tcPr>
                  <w:tcW w:w="1418" w:type="dxa"/>
                  <w:vAlign w:val="bottom"/>
                </w:tcPr>
                <w:p w14:paraId="672F8CCF" w14:textId="6EEB2A7B" w:rsidR="00643A41" w:rsidRDefault="00643A41" w:rsidP="00DF007C">
                  <w:pPr>
                    <w:jc w:val="center"/>
                    <w:rPr>
                      <w:sz w:val="16"/>
                      <w:szCs w:val="16"/>
                    </w:rPr>
                  </w:pPr>
                  <w:r w:rsidRPr="00643A41">
                    <w:rPr>
                      <w:sz w:val="16"/>
                      <w:szCs w:val="16"/>
                    </w:rPr>
                    <w:t xml:space="preserve"> 4.69 </w:t>
                  </w:r>
                </w:p>
              </w:tc>
              <w:tc>
                <w:tcPr>
                  <w:tcW w:w="1417" w:type="dxa"/>
                  <w:vAlign w:val="bottom"/>
                </w:tcPr>
                <w:p w14:paraId="7B220373" w14:textId="4EC9ABCA" w:rsidR="00643A41" w:rsidRPr="00E76B43" w:rsidRDefault="00643A41" w:rsidP="00DF007C">
                  <w:pPr>
                    <w:jc w:val="center"/>
                    <w:rPr>
                      <w:sz w:val="16"/>
                      <w:szCs w:val="16"/>
                    </w:rPr>
                  </w:pPr>
                </w:p>
              </w:tc>
              <w:tc>
                <w:tcPr>
                  <w:tcW w:w="1418" w:type="dxa"/>
                  <w:vAlign w:val="bottom"/>
                </w:tcPr>
                <w:p w14:paraId="02951FB8" w14:textId="3773C569" w:rsidR="00643A41" w:rsidRDefault="00643A41" w:rsidP="00DF007C">
                  <w:pPr>
                    <w:jc w:val="center"/>
                    <w:rPr>
                      <w:sz w:val="16"/>
                      <w:szCs w:val="16"/>
                    </w:rPr>
                  </w:pPr>
                  <w:r w:rsidRPr="00643A41">
                    <w:rPr>
                      <w:sz w:val="16"/>
                      <w:szCs w:val="16"/>
                    </w:rPr>
                    <w:t xml:space="preserve"> 21.96 </w:t>
                  </w:r>
                </w:p>
              </w:tc>
              <w:tc>
                <w:tcPr>
                  <w:tcW w:w="1417" w:type="dxa"/>
                  <w:vAlign w:val="bottom"/>
                </w:tcPr>
                <w:p w14:paraId="2DEE76F7" w14:textId="2F9C2822" w:rsidR="00643A41" w:rsidRDefault="00643A41" w:rsidP="00DF007C">
                  <w:pPr>
                    <w:jc w:val="center"/>
                    <w:rPr>
                      <w:sz w:val="16"/>
                      <w:szCs w:val="16"/>
                    </w:rPr>
                  </w:pPr>
                  <w:r w:rsidRPr="00643A41">
                    <w:rPr>
                      <w:sz w:val="16"/>
                      <w:szCs w:val="16"/>
                    </w:rPr>
                    <w:t xml:space="preserve"> 39.24 </w:t>
                  </w:r>
                </w:p>
              </w:tc>
            </w:tr>
            <w:tr w:rsidR="00643A41" w14:paraId="36B329ED" w14:textId="77777777" w:rsidTr="00643A41">
              <w:tc>
                <w:tcPr>
                  <w:tcW w:w="1577" w:type="dxa"/>
                </w:tcPr>
                <w:p w14:paraId="791DB0D1" w14:textId="77777777" w:rsidR="00643A41" w:rsidRDefault="00643A41" w:rsidP="006B0A61">
                  <w:pPr>
                    <w:rPr>
                      <w:sz w:val="16"/>
                      <w:szCs w:val="16"/>
                    </w:rPr>
                  </w:pPr>
                  <w:r>
                    <w:rPr>
                      <w:sz w:val="16"/>
                      <w:szCs w:val="16"/>
                    </w:rPr>
                    <w:t>Market Cap</w:t>
                  </w:r>
                </w:p>
              </w:tc>
              <w:tc>
                <w:tcPr>
                  <w:tcW w:w="1418" w:type="dxa"/>
                  <w:vAlign w:val="bottom"/>
                </w:tcPr>
                <w:p w14:paraId="031547AD" w14:textId="1E0FF6D2" w:rsidR="00643A41" w:rsidRDefault="00643A41" w:rsidP="00DF007C">
                  <w:pPr>
                    <w:jc w:val="center"/>
                    <w:rPr>
                      <w:sz w:val="16"/>
                      <w:szCs w:val="16"/>
                    </w:rPr>
                  </w:pPr>
                  <w:r w:rsidRPr="00643A41">
                    <w:rPr>
                      <w:sz w:val="16"/>
                      <w:szCs w:val="16"/>
                    </w:rPr>
                    <w:t xml:space="preserve"> 905.80 </w:t>
                  </w:r>
                </w:p>
              </w:tc>
              <w:tc>
                <w:tcPr>
                  <w:tcW w:w="1417" w:type="dxa"/>
                  <w:vAlign w:val="bottom"/>
                </w:tcPr>
                <w:p w14:paraId="78A49B4F" w14:textId="76702DDB" w:rsidR="00643A41" w:rsidRPr="00E76B43" w:rsidRDefault="00643A41" w:rsidP="00DF007C">
                  <w:pPr>
                    <w:jc w:val="center"/>
                    <w:rPr>
                      <w:sz w:val="16"/>
                      <w:szCs w:val="16"/>
                    </w:rPr>
                  </w:pPr>
                  <w:r w:rsidRPr="00643A41">
                    <w:rPr>
                      <w:sz w:val="16"/>
                      <w:szCs w:val="16"/>
                    </w:rPr>
                    <w:t xml:space="preserve"> 4,076.14 </w:t>
                  </w:r>
                </w:p>
              </w:tc>
              <w:tc>
                <w:tcPr>
                  <w:tcW w:w="1418" w:type="dxa"/>
                  <w:vAlign w:val="bottom"/>
                </w:tcPr>
                <w:p w14:paraId="70C9FE24" w14:textId="26447914" w:rsidR="00643A41" w:rsidRDefault="00643A41" w:rsidP="00DF007C">
                  <w:pPr>
                    <w:jc w:val="center"/>
                    <w:rPr>
                      <w:sz w:val="16"/>
                      <w:szCs w:val="16"/>
                    </w:rPr>
                  </w:pPr>
                  <w:r w:rsidRPr="00643A41">
                    <w:rPr>
                      <w:sz w:val="16"/>
                      <w:szCs w:val="16"/>
                    </w:rPr>
                    <w:t xml:space="preserve"> 30,054.95 </w:t>
                  </w:r>
                </w:p>
              </w:tc>
              <w:tc>
                <w:tcPr>
                  <w:tcW w:w="1417" w:type="dxa"/>
                  <w:vAlign w:val="bottom"/>
                </w:tcPr>
                <w:p w14:paraId="10279C73" w14:textId="25160D8D" w:rsidR="00643A41" w:rsidRDefault="00643A41" w:rsidP="00DF007C">
                  <w:pPr>
                    <w:jc w:val="center"/>
                    <w:rPr>
                      <w:sz w:val="16"/>
                      <w:szCs w:val="16"/>
                    </w:rPr>
                  </w:pPr>
                  <w:r w:rsidRPr="00643A41">
                    <w:rPr>
                      <w:sz w:val="16"/>
                      <w:szCs w:val="16"/>
                    </w:rPr>
                    <w:t xml:space="preserve"> 85,182.90 </w:t>
                  </w:r>
                </w:p>
              </w:tc>
            </w:tr>
          </w:tbl>
          <w:p w14:paraId="67108435" w14:textId="3EF34397" w:rsidR="00D8492B" w:rsidRDefault="00D8492B" w:rsidP="0010720B">
            <w:pPr>
              <w:jc w:val="both"/>
              <w:rPr>
                <w:b/>
                <w:sz w:val="16"/>
                <w:szCs w:val="16"/>
              </w:rPr>
            </w:pPr>
            <w:r w:rsidRPr="00D8492B">
              <w:rPr>
                <w:b/>
                <w:sz w:val="16"/>
                <w:szCs w:val="16"/>
              </w:rPr>
              <w:t xml:space="preserve">Sources: Bloomberg, S&amp;P </w:t>
            </w:r>
            <w:proofErr w:type="spellStart"/>
            <w:r w:rsidRPr="00D8492B">
              <w:rPr>
                <w:b/>
                <w:sz w:val="16"/>
                <w:szCs w:val="16"/>
              </w:rPr>
              <w:t>NetAdvantage</w:t>
            </w:r>
            <w:proofErr w:type="spellEnd"/>
            <w:r w:rsidRPr="00D8492B">
              <w:rPr>
                <w:b/>
                <w:sz w:val="16"/>
                <w:szCs w:val="16"/>
              </w:rPr>
              <w:t xml:space="preserve">, VLIS, Morningstar </w:t>
            </w:r>
          </w:p>
        </w:tc>
        <w:tc>
          <w:tcPr>
            <w:tcW w:w="4320" w:type="dxa"/>
          </w:tcPr>
          <w:p w14:paraId="7FACE228" w14:textId="170AD80A" w:rsidR="004F2EAA" w:rsidRDefault="004F2EAA" w:rsidP="0010720B">
            <w:pPr>
              <w:jc w:val="both"/>
              <w:rPr>
                <w:b/>
                <w:sz w:val="16"/>
                <w:szCs w:val="16"/>
              </w:rPr>
            </w:pPr>
          </w:p>
          <w:tbl>
            <w:tblPr>
              <w:tblStyle w:val="TableGrid"/>
              <w:tblW w:w="4094" w:type="dxa"/>
              <w:tblLook w:val="04A0" w:firstRow="1" w:lastRow="0" w:firstColumn="1" w:lastColumn="0" w:noHBand="0" w:noVBand="1"/>
            </w:tblPr>
            <w:tblGrid>
              <w:gridCol w:w="1422"/>
              <w:gridCol w:w="900"/>
              <w:gridCol w:w="810"/>
              <w:gridCol w:w="962"/>
            </w:tblGrid>
            <w:tr w:rsidR="00EA5213" w14:paraId="39927E41" w14:textId="77777777" w:rsidTr="0060598F">
              <w:tc>
                <w:tcPr>
                  <w:tcW w:w="1422" w:type="dxa"/>
                  <w:shd w:val="clear" w:color="auto" w:fill="DBE5F1" w:themeFill="accent1" w:themeFillTint="33"/>
                </w:tcPr>
                <w:p w14:paraId="405B542F" w14:textId="7C67957F" w:rsidR="00EA5213" w:rsidRDefault="00EA5213" w:rsidP="00EA5213">
                  <w:pPr>
                    <w:rPr>
                      <w:sz w:val="16"/>
                      <w:szCs w:val="16"/>
                    </w:rPr>
                  </w:pPr>
                </w:p>
              </w:tc>
              <w:tc>
                <w:tcPr>
                  <w:tcW w:w="900" w:type="dxa"/>
                  <w:shd w:val="clear" w:color="auto" w:fill="DBE5F1" w:themeFill="accent1" w:themeFillTint="33"/>
                </w:tcPr>
                <w:p w14:paraId="0AB96B2A" w14:textId="2864FE2D" w:rsidR="00EA5213" w:rsidRDefault="00643A41" w:rsidP="00EA5213">
                  <w:pPr>
                    <w:rPr>
                      <w:sz w:val="16"/>
                      <w:szCs w:val="16"/>
                      <w:lang w:eastAsia="zh-CN"/>
                    </w:rPr>
                  </w:pPr>
                  <w:r>
                    <w:rPr>
                      <w:sz w:val="16"/>
                      <w:szCs w:val="16"/>
                    </w:rPr>
                    <w:t>SBUX</w:t>
                  </w:r>
                </w:p>
              </w:tc>
              <w:tc>
                <w:tcPr>
                  <w:tcW w:w="810" w:type="dxa"/>
                  <w:shd w:val="clear" w:color="auto" w:fill="DBE5F1" w:themeFill="accent1" w:themeFillTint="33"/>
                </w:tcPr>
                <w:p w14:paraId="0650E6CE" w14:textId="77777777" w:rsidR="00EA5213" w:rsidRDefault="00EA5213" w:rsidP="00EA5213">
                  <w:pPr>
                    <w:rPr>
                      <w:sz w:val="16"/>
                      <w:szCs w:val="16"/>
                    </w:rPr>
                  </w:pPr>
                  <w:r>
                    <w:rPr>
                      <w:sz w:val="16"/>
                      <w:szCs w:val="16"/>
                    </w:rPr>
                    <w:t xml:space="preserve">Sector </w:t>
                  </w:r>
                </w:p>
              </w:tc>
              <w:tc>
                <w:tcPr>
                  <w:tcW w:w="962" w:type="dxa"/>
                  <w:shd w:val="clear" w:color="auto" w:fill="DBE5F1" w:themeFill="accent1" w:themeFillTint="33"/>
                </w:tcPr>
                <w:p w14:paraId="68B31751" w14:textId="77777777" w:rsidR="00EA5213" w:rsidRDefault="00EA5213" w:rsidP="00EA5213">
                  <w:pPr>
                    <w:rPr>
                      <w:sz w:val="16"/>
                      <w:szCs w:val="16"/>
                    </w:rPr>
                  </w:pPr>
                  <w:r>
                    <w:rPr>
                      <w:sz w:val="16"/>
                      <w:szCs w:val="16"/>
                    </w:rPr>
                    <w:t>S&amp;P 500</w:t>
                  </w:r>
                </w:p>
              </w:tc>
            </w:tr>
            <w:tr w:rsidR="00EA5213" w14:paraId="47681D86" w14:textId="77777777" w:rsidTr="00371C05">
              <w:tc>
                <w:tcPr>
                  <w:tcW w:w="1422" w:type="dxa"/>
                </w:tcPr>
                <w:p w14:paraId="440258CF" w14:textId="77777777" w:rsidR="00EA5213" w:rsidRDefault="00EA5213" w:rsidP="00EA5213">
                  <w:pPr>
                    <w:rPr>
                      <w:sz w:val="16"/>
                      <w:szCs w:val="16"/>
                    </w:rPr>
                  </w:pPr>
                  <w:r>
                    <w:rPr>
                      <w:sz w:val="16"/>
                      <w:szCs w:val="16"/>
                    </w:rPr>
                    <w:t>YTD</w:t>
                  </w:r>
                </w:p>
              </w:tc>
              <w:tc>
                <w:tcPr>
                  <w:tcW w:w="900" w:type="dxa"/>
                </w:tcPr>
                <w:p w14:paraId="2915C4D5" w14:textId="73167960" w:rsidR="00EA5213" w:rsidRDefault="006E75EA" w:rsidP="00EA5213">
                  <w:pPr>
                    <w:rPr>
                      <w:sz w:val="16"/>
                      <w:szCs w:val="16"/>
                    </w:rPr>
                  </w:pPr>
                  <w:r>
                    <w:rPr>
                      <w:sz w:val="16"/>
                      <w:szCs w:val="16"/>
                    </w:rPr>
                    <w:t>-3.68%</w:t>
                  </w:r>
                </w:p>
              </w:tc>
              <w:tc>
                <w:tcPr>
                  <w:tcW w:w="810" w:type="dxa"/>
                </w:tcPr>
                <w:p w14:paraId="432CEBBB" w14:textId="3E055C27" w:rsidR="00EA5213" w:rsidRDefault="006E75EA" w:rsidP="00EA5213">
                  <w:pPr>
                    <w:rPr>
                      <w:sz w:val="16"/>
                      <w:szCs w:val="16"/>
                    </w:rPr>
                  </w:pPr>
                  <w:r>
                    <w:rPr>
                      <w:sz w:val="16"/>
                      <w:szCs w:val="16"/>
                    </w:rPr>
                    <w:t>-6.64</w:t>
                  </w:r>
                  <w:r w:rsidR="00D3608A">
                    <w:rPr>
                      <w:sz w:val="16"/>
                      <w:szCs w:val="16"/>
                    </w:rPr>
                    <w:t>%</w:t>
                  </w:r>
                </w:p>
              </w:tc>
              <w:tc>
                <w:tcPr>
                  <w:tcW w:w="962" w:type="dxa"/>
                </w:tcPr>
                <w:p w14:paraId="2D5C424C" w14:textId="02C99FE0" w:rsidR="00EA5213" w:rsidRDefault="006E75EA" w:rsidP="00EA5213">
                  <w:pPr>
                    <w:rPr>
                      <w:sz w:val="16"/>
                      <w:szCs w:val="16"/>
                    </w:rPr>
                  </w:pPr>
                  <w:r>
                    <w:rPr>
                      <w:sz w:val="16"/>
                      <w:szCs w:val="16"/>
                    </w:rPr>
                    <w:t>-5.43</w:t>
                  </w:r>
                  <w:r w:rsidR="00D3608A">
                    <w:rPr>
                      <w:sz w:val="16"/>
                      <w:szCs w:val="16"/>
                    </w:rPr>
                    <w:t>%</w:t>
                  </w:r>
                </w:p>
              </w:tc>
            </w:tr>
            <w:tr w:rsidR="00EA5213" w14:paraId="0876038A" w14:textId="77777777" w:rsidTr="00371C05">
              <w:tc>
                <w:tcPr>
                  <w:tcW w:w="1422" w:type="dxa"/>
                </w:tcPr>
                <w:p w14:paraId="1F90980B" w14:textId="77777777" w:rsidR="00EA5213" w:rsidRDefault="00EA5213" w:rsidP="00EA5213">
                  <w:pPr>
                    <w:rPr>
                      <w:sz w:val="16"/>
                      <w:szCs w:val="16"/>
                    </w:rPr>
                  </w:pPr>
                  <w:r>
                    <w:rPr>
                      <w:sz w:val="16"/>
                      <w:szCs w:val="16"/>
                    </w:rPr>
                    <w:t xml:space="preserve">Last 3 Years </w:t>
                  </w:r>
                </w:p>
              </w:tc>
              <w:tc>
                <w:tcPr>
                  <w:tcW w:w="900" w:type="dxa"/>
                </w:tcPr>
                <w:p w14:paraId="0925A661" w14:textId="0618389D" w:rsidR="00EA5213" w:rsidRDefault="006E75EA" w:rsidP="00EA5213">
                  <w:pPr>
                    <w:rPr>
                      <w:sz w:val="16"/>
                      <w:szCs w:val="16"/>
                    </w:rPr>
                  </w:pPr>
                  <w:r>
                    <w:rPr>
                      <w:sz w:val="16"/>
                      <w:szCs w:val="16"/>
                    </w:rPr>
                    <w:t>30.17</w:t>
                  </w:r>
                  <w:r w:rsidR="00D3608A">
                    <w:rPr>
                      <w:sz w:val="16"/>
                      <w:szCs w:val="16"/>
                    </w:rPr>
                    <w:t>%</w:t>
                  </w:r>
                </w:p>
              </w:tc>
              <w:tc>
                <w:tcPr>
                  <w:tcW w:w="810" w:type="dxa"/>
                </w:tcPr>
                <w:p w14:paraId="046C9C8D" w14:textId="49BFC719" w:rsidR="00EA5213" w:rsidRDefault="006E75EA" w:rsidP="00EA5213">
                  <w:pPr>
                    <w:rPr>
                      <w:sz w:val="16"/>
                      <w:szCs w:val="16"/>
                    </w:rPr>
                  </w:pPr>
                  <w:r>
                    <w:rPr>
                      <w:sz w:val="16"/>
                      <w:szCs w:val="16"/>
                    </w:rPr>
                    <w:t>14.49</w:t>
                  </w:r>
                  <w:r w:rsidR="00D3608A">
                    <w:rPr>
                      <w:sz w:val="16"/>
                      <w:szCs w:val="16"/>
                    </w:rPr>
                    <w:t>%</w:t>
                  </w:r>
                </w:p>
              </w:tc>
              <w:tc>
                <w:tcPr>
                  <w:tcW w:w="962" w:type="dxa"/>
                </w:tcPr>
                <w:p w14:paraId="55BE815F" w14:textId="5D0C28FE" w:rsidR="00EA5213" w:rsidRDefault="006E75EA" w:rsidP="00EA5213">
                  <w:pPr>
                    <w:rPr>
                      <w:sz w:val="16"/>
                      <w:szCs w:val="16"/>
                    </w:rPr>
                  </w:pPr>
                  <w:r>
                    <w:rPr>
                      <w:sz w:val="16"/>
                      <w:szCs w:val="16"/>
                    </w:rPr>
                    <w:t>10.5</w:t>
                  </w:r>
                  <w:r w:rsidR="00D3608A">
                    <w:rPr>
                      <w:sz w:val="16"/>
                      <w:szCs w:val="16"/>
                    </w:rPr>
                    <w:t>%</w:t>
                  </w:r>
                </w:p>
              </w:tc>
            </w:tr>
            <w:tr w:rsidR="00EA5213" w14:paraId="28B8CB1E" w14:textId="77777777" w:rsidTr="00371C05">
              <w:tc>
                <w:tcPr>
                  <w:tcW w:w="1422" w:type="dxa"/>
                </w:tcPr>
                <w:p w14:paraId="3272796F" w14:textId="77777777" w:rsidR="00EA5213" w:rsidRDefault="00EA5213" w:rsidP="00EA5213">
                  <w:pPr>
                    <w:rPr>
                      <w:sz w:val="16"/>
                      <w:szCs w:val="16"/>
                    </w:rPr>
                  </w:pPr>
                  <w:r>
                    <w:rPr>
                      <w:sz w:val="16"/>
                      <w:szCs w:val="16"/>
                    </w:rPr>
                    <w:t xml:space="preserve">Last 5 Years </w:t>
                  </w:r>
                </w:p>
              </w:tc>
              <w:tc>
                <w:tcPr>
                  <w:tcW w:w="900" w:type="dxa"/>
                </w:tcPr>
                <w:p w14:paraId="6CA968EB" w14:textId="6C28CB27" w:rsidR="00EA5213" w:rsidRDefault="006E75EA" w:rsidP="00EA5213">
                  <w:pPr>
                    <w:rPr>
                      <w:sz w:val="16"/>
                      <w:szCs w:val="16"/>
                    </w:rPr>
                  </w:pPr>
                  <w:r>
                    <w:rPr>
                      <w:sz w:val="16"/>
                      <w:szCs w:val="16"/>
                    </w:rPr>
                    <w:t>29.82</w:t>
                  </w:r>
                  <w:r w:rsidR="00D3608A">
                    <w:rPr>
                      <w:sz w:val="16"/>
                      <w:szCs w:val="16"/>
                    </w:rPr>
                    <w:t>%</w:t>
                  </w:r>
                </w:p>
              </w:tc>
              <w:tc>
                <w:tcPr>
                  <w:tcW w:w="810" w:type="dxa"/>
                </w:tcPr>
                <w:p w14:paraId="3A2AF828" w14:textId="38DC0C70" w:rsidR="00EA5213" w:rsidRDefault="006E75EA" w:rsidP="00EA5213">
                  <w:pPr>
                    <w:rPr>
                      <w:sz w:val="16"/>
                      <w:szCs w:val="16"/>
                    </w:rPr>
                  </w:pPr>
                  <w:r>
                    <w:rPr>
                      <w:sz w:val="16"/>
                      <w:szCs w:val="16"/>
                    </w:rPr>
                    <w:t>14.77</w:t>
                  </w:r>
                  <w:r w:rsidR="00D3608A">
                    <w:rPr>
                      <w:sz w:val="16"/>
                      <w:szCs w:val="16"/>
                    </w:rPr>
                    <w:t>%</w:t>
                  </w:r>
                </w:p>
              </w:tc>
              <w:tc>
                <w:tcPr>
                  <w:tcW w:w="962" w:type="dxa"/>
                </w:tcPr>
                <w:p w14:paraId="1D7EE8E1" w14:textId="65117B10" w:rsidR="00EA5213" w:rsidRDefault="006E75EA" w:rsidP="00EA5213">
                  <w:pPr>
                    <w:rPr>
                      <w:sz w:val="16"/>
                      <w:szCs w:val="16"/>
                    </w:rPr>
                  </w:pPr>
                  <w:r>
                    <w:rPr>
                      <w:sz w:val="16"/>
                      <w:szCs w:val="16"/>
                    </w:rPr>
                    <w:t>9.83</w:t>
                  </w:r>
                  <w:r w:rsidR="00D3608A">
                    <w:rPr>
                      <w:sz w:val="16"/>
                      <w:szCs w:val="16"/>
                    </w:rPr>
                    <w:t>%</w:t>
                  </w:r>
                </w:p>
              </w:tc>
            </w:tr>
          </w:tbl>
          <w:p w14:paraId="51BB9526" w14:textId="77777777" w:rsidR="00096901" w:rsidRDefault="00096901" w:rsidP="0010720B">
            <w:pPr>
              <w:jc w:val="both"/>
              <w:rPr>
                <w:b/>
                <w:sz w:val="16"/>
                <w:szCs w:val="16"/>
              </w:rPr>
            </w:pPr>
          </w:p>
          <w:p w14:paraId="221910A7" w14:textId="368D2A1A" w:rsidR="009F0D12" w:rsidRDefault="009F0D12" w:rsidP="0010720B">
            <w:pPr>
              <w:jc w:val="both"/>
              <w:rPr>
                <w:b/>
                <w:sz w:val="16"/>
                <w:szCs w:val="16"/>
              </w:rPr>
            </w:pPr>
            <w:r>
              <w:rPr>
                <w:b/>
                <w:sz w:val="16"/>
                <w:szCs w:val="16"/>
              </w:rPr>
              <w:t>CSR Characteristics</w:t>
            </w:r>
          </w:p>
          <w:tbl>
            <w:tblPr>
              <w:tblStyle w:val="TableGrid"/>
              <w:tblW w:w="4166" w:type="dxa"/>
              <w:tblLook w:val="04A0" w:firstRow="1" w:lastRow="0" w:firstColumn="1" w:lastColumn="0" w:noHBand="0" w:noVBand="1"/>
            </w:tblPr>
            <w:tblGrid>
              <w:gridCol w:w="2497"/>
              <w:gridCol w:w="862"/>
              <w:gridCol w:w="807"/>
            </w:tblGrid>
            <w:tr w:rsidR="00EB73D7" w14:paraId="331C9CF3" w14:textId="77777777" w:rsidTr="002D655C">
              <w:tc>
                <w:tcPr>
                  <w:tcW w:w="2497" w:type="dxa"/>
                  <w:shd w:val="clear" w:color="auto" w:fill="DBE5F1" w:themeFill="accent1" w:themeFillTint="33"/>
                </w:tcPr>
                <w:p w14:paraId="434A59A4" w14:textId="77777777" w:rsidR="00EB73D7" w:rsidRDefault="00EB73D7" w:rsidP="002D655C">
                  <w:pPr>
                    <w:rPr>
                      <w:sz w:val="16"/>
                      <w:szCs w:val="16"/>
                    </w:rPr>
                  </w:pPr>
                </w:p>
              </w:tc>
              <w:tc>
                <w:tcPr>
                  <w:tcW w:w="862" w:type="dxa"/>
                  <w:shd w:val="clear" w:color="auto" w:fill="DBE5F1" w:themeFill="accent1" w:themeFillTint="33"/>
                </w:tcPr>
                <w:p w14:paraId="165DC052" w14:textId="5B9B7468" w:rsidR="00EB73D7" w:rsidRDefault="00054A41" w:rsidP="002D655C">
                  <w:pPr>
                    <w:rPr>
                      <w:sz w:val="16"/>
                      <w:szCs w:val="16"/>
                      <w:lang w:eastAsia="zh-CN"/>
                    </w:rPr>
                  </w:pPr>
                  <w:r>
                    <w:rPr>
                      <w:sz w:val="16"/>
                      <w:szCs w:val="16"/>
                    </w:rPr>
                    <w:t>SBUX</w:t>
                  </w:r>
                </w:p>
              </w:tc>
              <w:tc>
                <w:tcPr>
                  <w:tcW w:w="807" w:type="dxa"/>
                  <w:shd w:val="clear" w:color="auto" w:fill="DBE5F1" w:themeFill="accent1" w:themeFillTint="33"/>
                </w:tcPr>
                <w:p w14:paraId="25A7D82A" w14:textId="77777777" w:rsidR="00EB73D7" w:rsidRDefault="00EB73D7" w:rsidP="002D655C">
                  <w:pPr>
                    <w:rPr>
                      <w:sz w:val="16"/>
                      <w:szCs w:val="16"/>
                    </w:rPr>
                  </w:pPr>
                  <w:r>
                    <w:rPr>
                      <w:sz w:val="16"/>
                      <w:szCs w:val="16"/>
                    </w:rPr>
                    <w:t xml:space="preserve">Industry  </w:t>
                  </w:r>
                </w:p>
              </w:tc>
            </w:tr>
            <w:tr w:rsidR="00E76B43" w14:paraId="5846D050" w14:textId="77777777" w:rsidTr="00E76B43">
              <w:tc>
                <w:tcPr>
                  <w:tcW w:w="2497" w:type="dxa"/>
                </w:tcPr>
                <w:p w14:paraId="6BBDDA03" w14:textId="77777777" w:rsidR="00E76B43" w:rsidRDefault="00E76B43" w:rsidP="002D655C">
                  <w:pPr>
                    <w:rPr>
                      <w:sz w:val="16"/>
                      <w:szCs w:val="16"/>
                    </w:rPr>
                  </w:pPr>
                  <w:r>
                    <w:rPr>
                      <w:sz w:val="16"/>
                      <w:szCs w:val="16"/>
                    </w:rPr>
                    <w:t>ESG Disclosure Score</w:t>
                  </w:r>
                </w:p>
              </w:tc>
              <w:tc>
                <w:tcPr>
                  <w:tcW w:w="862" w:type="dxa"/>
                  <w:vAlign w:val="bottom"/>
                </w:tcPr>
                <w:p w14:paraId="6D6186B8" w14:textId="2449E949" w:rsidR="00E76B43" w:rsidRDefault="00054A41" w:rsidP="002D655C">
                  <w:pPr>
                    <w:rPr>
                      <w:sz w:val="16"/>
                      <w:szCs w:val="16"/>
                    </w:rPr>
                  </w:pPr>
                  <w:r>
                    <w:rPr>
                      <w:sz w:val="16"/>
                      <w:szCs w:val="16"/>
                    </w:rPr>
                    <w:t xml:space="preserve"> 50.72</w:t>
                  </w:r>
                </w:p>
              </w:tc>
              <w:tc>
                <w:tcPr>
                  <w:tcW w:w="807" w:type="dxa"/>
                  <w:vAlign w:val="bottom"/>
                </w:tcPr>
                <w:p w14:paraId="517A34C2" w14:textId="0DDC43BF" w:rsidR="00E76B43" w:rsidRDefault="00054A41" w:rsidP="002D655C">
                  <w:pPr>
                    <w:rPr>
                      <w:sz w:val="16"/>
                      <w:szCs w:val="16"/>
                    </w:rPr>
                  </w:pPr>
                  <w:r>
                    <w:rPr>
                      <w:sz w:val="16"/>
                      <w:szCs w:val="16"/>
                    </w:rPr>
                    <w:t xml:space="preserve"> 27.8</w:t>
                  </w:r>
                </w:p>
              </w:tc>
            </w:tr>
            <w:tr w:rsidR="00E76B43" w14:paraId="7A94F7D3" w14:textId="77777777" w:rsidTr="00E76B43">
              <w:tc>
                <w:tcPr>
                  <w:tcW w:w="2497" w:type="dxa"/>
                </w:tcPr>
                <w:p w14:paraId="2FB28519" w14:textId="77777777" w:rsidR="00E76B43" w:rsidRDefault="00E76B43" w:rsidP="002D655C">
                  <w:pPr>
                    <w:rPr>
                      <w:sz w:val="16"/>
                      <w:szCs w:val="16"/>
                    </w:rPr>
                  </w:pPr>
                  <w:r>
                    <w:rPr>
                      <w:sz w:val="16"/>
                      <w:szCs w:val="16"/>
                    </w:rPr>
                    <w:t>Governance Disclosure Score</w:t>
                  </w:r>
                </w:p>
              </w:tc>
              <w:tc>
                <w:tcPr>
                  <w:tcW w:w="862" w:type="dxa"/>
                  <w:vAlign w:val="bottom"/>
                </w:tcPr>
                <w:p w14:paraId="6EA8E978" w14:textId="3B09C449" w:rsidR="00E76B43" w:rsidRDefault="00054A41" w:rsidP="002D655C">
                  <w:pPr>
                    <w:rPr>
                      <w:sz w:val="16"/>
                      <w:szCs w:val="16"/>
                    </w:rPr>
                  </w:pPr>
                  <w:r>
                    <w:rPr>
                      <w:sz w:val="16"/>
                      <w:szCs w:val="16"/>
                    </w:rPr>
                    <w:t xml:space="preserve"> 60.71</w:t>
                  </w:r>
                </w:p>
              </w:tc>
              <w:tc>
                <w:tcPr>
                  <w:tcW w:w="807" w:type="dxa"/>
                  <w:vAlign w:val="bottom"/>
                </w:tcPr>
                <w:p w14:paraId="6111952E" w14:textId="7234B3F3" w:rsidR="00E76B43" w:rsidRDefault="00E76B43" w:rsidP="002D655C">
                  <w:pPr>
                    <w:rPr>
                      <w:sz w:val="16"/>
                      <w:szCs w:val="16"/>
                    </w:rPr>
                  </w:pPr>
                  <w:r w:rsidRPr="00E76B43">
                    <w:rPr>
                      <w:sz w:val="16"/>
                      <w:szCs w:val="16"/>
                    </w:rPr>
                    <w:t xml:space="preserve"> </w:t>
                  </w:r>
                  <w:r w:rsidR="00054A41">
                    <w:rPr>
                      <w:sz w:val="16"/>
                      <w:szCs w:val="16"/>
                    </w:rPr>
                    <w:t>54.76</w:t>
                  </w:r>
                </w:p>
              </w:tc>
            </w:tr>
            <w:tr w:rsidR="00E76B43" w14:paraId="4A0DF326" w14:textId="77777777" w:rsidTr="00E76B43">
              <w:tc>
                <w:tcPr>
                  <w:tcW w:w="2497" w:type="dxa"/>
                </w:tcPr>
                <w:p w14:paraId="3FF44BFE" w14:textId="77777777" w:rsidR="00E76B43" w:rsidRDefault="00E76B43" w:rsidP="002D655C">
                  <w:pPr>
                    <w:rPr>
                      <w:sz w:val="16"/>
                      <w:szCs w:val="16"/>
                    </w:rPr>
                  </w:pPr>
                  <w:r>
                    <w:rPr>
                      <w:sz w:val="16"/>
                      <w:szCs w:val="16"/>
                    </w:rPr>
                    <w:t>Social Disclosure Score</w:t>
                  </w:r>
                </w:p>
              </w:tc>
              <w:tc>
                <w:tcPr>
                  <w:tcW w:w="862" w:type="dxa"/>
                  <w:vAlign w:val="bottom"/>
                </w:tcPr>
                <w:p w14:paraId="1A14304F" w14:textId="3593E02B" w:rsidR="00E76B43" w:rsidRDefault="00054A41" w:rsidP="002D655C">
                  <w:pPr>
                    <w:rPr>
                      <w:sz w:val="16"/>
                      <w:szCs w:val="16"/>
                    </w:rPr>
                  </w:pPr>
                  <w:r>
                    <w:rPr>
                      <w:sz w:val="16"/>
                      <w:szCs w:val="16"/>
                    </w:rPr>
                    <w:t xml:space="preserve"> 29.82</w:t>
                  </w:r>
                </w:p>
              </w:tc>
              <w:tc>
                <w:tcPr>
                  <w:tcW w:w="807" w:type="dxa"/>
                  <w:vAlign w:val="bottom"/>
                </w:tcPr>
                <w:p w14:paraId="138E02CB" w14:textId="5643129A" w:rsidR="00E76B43" w:rsidRDefault="00054A41" w:rsidP="002D655C">
                  <w:pPr>
                    <w:rPr>
                      <w:sz w:val="16"/>
                      <w:szCs w:val="16"/>
                    </w:rPr>
                  </w:pPr>
                  <w:r>
                    <w:rPr>
                      <w:sz w:val="16"/>
                      <w:szCs w:val="16"/>
                    </w:rPr>
                    <w:t xml:space="preserve"> 15.79</w:t>
                  </w:r>
                  <w:r w:rsidR="00E76B43" w:rsidRPr="00E76B43">
                    <w:rPr>
                      <w:sz w:val="16"/>
                      <w:szCs w:val="16"/>
                    </w:rPr>
                    <w:t xml:space="preserve"> </w:t>
                  </w:r>
                </w:p>
              </w:tc>
            </w:tr>
            <w:tr w:rsidR="00E76B43" w14:paraId="390BAB0E" w14:textId="77777777" w:rsidTr="00E76B43">
              <w:tc>
                <w:tcPr>
                  <w:tcW w:w="2497" w:type="dxa"/>
                </w:tcPr>
                <w:p w14:paraId="1435C4A3" w14:textId="77777777" w:rsidR="00E76B43" w:rsidRDefault="00E76B43" w:rsidP="002D655C">
                  <w:pPr>
                    <w:rPr>
                      <w:sz w:val="16"/>
                      <w:szCs w:val="16"/>
                    </w:rPr>
                  </w:pPr>
                  <w:r>
                    <w:rPr>
                      <w:sz w:val="16"/>
                      <w:szCs w:val="16"/>
                    </w:rPr>
                    <w:t>Environmental Disclosure Score</w:t>
                  </w:r>
                </w:p>
              </w:tc>
              <w:tc>
                <w:tcPr>
                  <w:tcW w:w="862" w:type="dxa"/>
                  <w:vAlign w:val="bottom"/>
                </w:tcPr>
                <w:p w14:paraId="6DC54DCB" w14:textId="2A73CF04" w:rsidR="00E76B43" w:rsidRDefault="00617CC4" w:rsidP="002D655C">
                  <w:pPr>
                    <w:rPr>
                      <w:sz w:val="16"/>
                      <w:szCs w:val="16"/>
                    </w:rPr>
                  </w:pPr>
                  <w:r>
                    <w:rPr>
                      <w:sz w:val="16"/>
                      <w:szCs w:val="16"/>
                    </w:rPr>
                    <w:t xml:space="preserve"> </w:t>
                  </w:r>
                  <w:r w:rsidR="00054A41">
                    <w:rPr>
                      <w:sz w:val="16"/>
                      <w:szCs w:val="16"/>
                    </w:rPr>
                    <w:t>57.29</w:t>
                  </w:r>
                </w:p>
              </w:tc>
              <w:tc>
                <w:tcPr>
                  <w:tcW w:w="807" w:type="dxa"/>
                  <w:vAlign w:val="bottom"/>
                </w:tcPr>
                <w:p w14:paraId="454667DF" w14:textId="1E33FBDB" w:rsidR="00E76B43" w:rsidRDefault="00054A41" w:rsidP="002D655C">
                  <w:pPr>
                    <w:rPr>
                      <w:sz w:val="16"/>
                      <w:szCs w:val="16"/>
                    </w:rPr>
                  </w:pPr>
                  <w:r>
                    <w:rPr>
                      <w:sz w:val="16"/>
                      <w:szCs w:val="16"/>
                    </w:rPr>
                    <w:t xml:space="preserve"> 31.77</w:t>
                  </w:r>
                </w:p>
              </w:tc>
            </w:tr>
          </w:tbl>
          <w:p w14:paraId="62EFF545" w14:textId="318E76C9" w:rsidR="009F0D12" w:rsidRDefault="00C91424" w:rsidP="0010720B">
            <w:pPr>
              <w:jc w:val="both"/>
              <w:rPr>
                <w:b/>
                <w:sz w:val="16"/>
                <w:szCs w:val="16"/>
                <w:lang w:eastAsia="zh-CN"/>
              </w:rPr>
            </w:pPr>
            <w:r>
              <w:rPr>
                <w:b/>
                <w:sz w:val="16"/>
                <w:szCs w:val="16"/>
              </w:rPr>
              <w:t xml:space="preserve">Prepared By: </w:t>
            </w:r>
            <w:proofErr w:type="spellStart"/>
            <w:r>
              <w:rPr>
                <w:b/>
                <w:sz w:val="16"/>
                <w:szCs w:val="16"/>
              </w:rPr>
              <w:t>Jifeng</w:t>
            </w:r>
            <w:proofErr w:type="spellEnd"/>
            <w:r>
              <w:rPr>
                <w:b/>
                <w:sz w:val="16"/>
                <w:szCs w:val="16"/>
              </w:rPr>
              <w:t xml:space="preserve"> Hu, </w:t>
            </w:r>
            <w:r>
              <w:rPr>
                <w:rFonts w:hint="eastAsia"/>
                <w:b/>
                <w:sz w:val="16"/>
                <w:szCs w:val="16"/>
                <w:lang w:eastAsia="zh-CN"/>
              </w:rPr>
              <w:t>2</w:t>
            </w:r>
            <w:r>
              <w:rPr>
                <w:b/>
                <w:sz w:val="16"/>
                <w:szCs w:val="16"/>
              </w:rPr>
              <w:t>/</w:t>
            </w:r>
            <w:r w:rsidR="00054A41">
              <w:rPr>
                <w:rFonts w:hint="eastAsia"/>
                <w:b/>
                <w:sz w:val="16"/>
                <w:szCs w:val="16"/>
                <w:lang w:eastAsia="zh-CN"/>
              </w:rPr>
              <w:t>18</w:t>
            </w:r>
            <w:r>
              <w:rPr>
                <w:b/>
                <w:sz w:val="16"/>
                <w:szCs w:val="16"/>
              </w:rPr>
              <w:t>/201</w:t>
            </w:r>
            <w:r>
              <w:rPr>
                <w:rFonts w:hint="eastAsia"/>
                <w:b/>
                <w:sz w:val="16"/>
                <w:szCs w:val="16"/>
                <w:lang w:eastAsia="zh-CN"/>
              </w:rPr>
              <w:t>6</w:t>
            </w:r>
            <w:r w:rsidR="00DF0D9C" w:rsidRPr="00D8492B">
              <w:rPr>
                <w:b/>
                <w:sz w:val="16"/>
                <w:szCs w:val="16"/>
              </w:rPr>
              <w:t> </w:t>
            </w:r>
          </w:p>
        </w:tc>
      </w:tr>
    </w:tbl>
    <w:p w14:paraId="5C1E381E" w14:textId="36A09156" w:rsidR="00830F06" w:rsidRDefault="00830F06" w:rsidP="00D8492B">
      <w:pPr>
        <w:jc w:val="both"/>
        <w:rPr>
          <w:b/>
          <w:sz w:val="16"/>
          <w:szCs w:val="16"/>
          <w:lang w:eastAsia="zh-CN"/>
        </w:rPr>
      </w:pPr>
    </w:p>
    <w:sectPr w:rsidR="00830F06" w:rsidSect="00920D13">
      <w:pgSz w:w="12240" w:h="15840"/>
      <w:pgMar w:top="45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UniversLTStd-BoldCn">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E21187B"/>
    <w:multiLevelType w:val="hybridMultilevel"/>
    <w:tmpl w:val="BD90D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7D323D"/>
    <w:multiLevelType w:val="hybridMultilevel"/>
    <w:tmpl w:val="2DC67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2AD4605"/>
    <w:multiLevelType w:val="hybridMultilevel"/>
    <w:tmpl w:val="12D00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5F5E15"/>
    <w:multiLevelType w:val="hybridMultilevel"/>
    <w:tmpl w:val="2656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FE07C3"/>
    <w:multiLevelType w:val="hybridMultilevel"/>
    <w:tmpl w:val="CA9C8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4B8"/>
    <w:rsid w:val="000145A7"/>
    <w:rsid w:val="00014EFE"/>
    <w:rsid w:val="00022508"/>
    <w:rsid w:val="00026F5E"/>
    <w:rsid w:val="0003326A"/>
    <w:rsid w:val="00034A52"/>
    <w:rsid w:val="00042A3B"/>
    <w:rsid w:val="000528A3"/>
    <w:rsid w:val="00053B90"/>
    <w:rsid w:val="00054A41"/>
    <w:rsid w:val="00056CE9"/>
    <w:rsid w:val="00066CC4"/>
    <w:rsid w:val="00071F4F"/>
    <w:rsid w:val="00096901"/>
    <w:rsid w:val="000973A6"/>
    <w:rsid w:val="000A0DE5"/>
    <w:rsid w:val="000E0407"/>
    <w:rsid w:val="000E0C3A"/>
    <w:rsid w:val="000E4C0C"/>
    <w:rsid w:val="000F122E"/>
    <w:rsid w:val="0010720B"/>
    <w:rsid w:val="00107431"/>
    <w:rsid w:val="00107E5A"/>
    <w:rsid w:val="0012425D"/>
    <w:rsid w:val="0013332F"/>
    <w:rsid w:val="001366A3"/>
    <w:rsid w:val="0014778C"/>
    <w:rsid w:val="0018105A"/>
    <w:rsid w:val="00197A37"/>
    <w:rsid w:val="001A0791"/>
    <w:rsid w:val="001A0951"/>
    <w:rsid w:val="001A4CD7"/>
    <w:rsid w:val="001A54DB"/>
    <w:rsid w:val="001C5C89"/>
    <w:rsid w:val="001D3CAE"/>
    <w:rsid w:val="001F411C"/>
    <w:rsid w:val="001F4C8C"/>
    <w:rsid w:val="002039D4"/>
    <w:rsid w:val="00206EA0"/>
    <w:rsid w:val="002105B2"/>
    <w:rsid w:val="00231874"/>
    <w:rsid w:val="00231ED5"/>
    <w:rsid w:val="00242434"/>
    <w:rsid w:val="00245DD4"/>
    <w:rsid w:val="002523F7"/>
    <w:rsid w:val="002535D2"/>
    <w:rsid w:val="00254456"/>
    <w:rsid w:val="00260948"/>
    <w:rsid w:val="00263A2E"/>
    <w:rsid w:val="00274740"/>
    <w:rsid w:val="00287C09"/>
    <w:rsid w:val="002936C8"/>
    <w:rsid w:val="0029559F"/>
    <w:rsid w:val="002A0663"/>
    <w:rsid w:val="002A7956"/>
    <w:rsid w:val="002B04FE"/>
    <w:rsid w:val="002D3CFC"/>
    <w:rsid w:val="002D655C"/>
    <w:rsid w:val="002E16BA"/>
    <w:rsid w:val="002F062C"/>
    <w:rsid w:val="003073EA"/>
    <w:rsid w:val="003173DA"/>
    <w:rsid w:val="0033512A"/>
    <w:rsid w:val="00357218"/>
    <w:rsid w:val="00364BFF"/>
    <w:rsid w:val="00371C05"/>
    <w:rsid w:val="00375DB5"/>
    <w:rsid w:val="00384388"/>
    <w:rsid w:val="00386A22"/>
    <w:rsid w:val="00392411"/>
    <w:rsid w:val="00392719"/>
    <w:rsid w:val="003A37CB"/>
    <w:rsid w:val="003B3070"/>
    <w:rsid w:val="003C3391"/>
    <w:rsid w:val="003C3EC1"/>
    <w:rsid w:val="003E5DB4"/>
    <w:rsid w:val="003E7CA1"/>
    <w:rsid w:val="003F3FCE"/>
    <w:rsid w:val="00401063"/>
    <w:rsid w:val="00401E94"/>
    <w:rsid w:val="00417CC5"/>
    <w:rsid w:val="00443ED9"/>
    <w:rsid w:val="00462682"/>
    <w:rsid w:val="004870D9"/>
    <w:rsid w:val="00494A95"/>
    <w:rsid w:val="004B0ACB"/>
    <w:rsid w:val="004D3729"/>
    <w:rsid w:val="004D7282"/>
    <w:rsid w:val="004E4FA4"/>
    <w:rsid w:val="004F2EAA"/>
    <w:rsid w:val="004F53DC"/>
    <w:rsid w:val="0050052A"/>
    <w:rsid w:val="00500BAE"/>
    <w:rsid w:val="00501519"/>
    <w:rsid w:val="00521066"/>
    <w:rsid w:val="005226C0"/>
    <w:rsid w:val="00532418"/>
    <w:rsid w:val="00537D04"/>
    <w:rsid w:val="00543417"/>
    <w:rsid w:val="00547B13"/>
    <w:rsid w:val="0056019E"/>
    <w:rsid w:val="00566D6B"/>
    <w:rsid w:val="00575123"/>
    <w:rsid w:val="00594257"/>
    <w:rsid w:val="005A43A8"/>
    <w:rsid w:val="005D4654"/>
    <w:rsid w:val="005D533F"/>
    <w:rsid w:val="005E114B"/>
    <w:rsid w:val="005E4CAC"/>
    <w:rsid w:val="005F606E"/>
    <w:rsid w:val="0060598F"/>
    <w:rsid w:val="00617CC4"/>
    <w:rsid w:val="00630775"/>
    <w:rsid w:val="00643A41"/>
    <w:rsid w:val="00667760"/>
    <w:rsid w:val="00674795"/>
    <w:rsid w:val="006830DB"/>
    <w:rsid w:val="006953F0"/>
    <w:rsid w:val="006A37B5"/>
    <w:rsid w:val="006A575D"/>
    <w:rsid w:val="006A61A4"/>
    <w:rsid w:val="006A778C"/>
    <w:rsid w:val="006B0A61"/>
    <w:rsid w:val="006C1408"/>
    <w:rsid w:val="006E2939"/>
    <w:rsid w:val="006E44B8"/>
    <w:rsid w:val="006E5EA1"/>
    <w:rsid w:val="006E75EA"/>
    <w:rsid w:val="0073207E"/>
    <w:rsid w:val="00747220"/>
    <w:rsid w:val="0076327C"/>
    <w:rsid w:val="007814A0"/>
    <w:rsid w:val="00786CCC"/>
    <w:rsid w:val="0079525F"/>
    <w:rsid w:val="007B2A6D"/>
    <w:rsid w:val="007B6409"/>
    <w:rsid w:val="007B6D7D"/>
    <w:rsid w:val="007D12F0"/>
    <w:rsid w:val="007D4DEC"/>
    <w:rsid w:val="007F4659"/>
    <w:rsid w:val="00804E00"/>
    <w:rsid w:val="00815FF3"/>
    <w:rsid w:val="008304CC"/>
    <w:rsid w:val="00830F06"/>
    <w:rsid w:val="00832142"/>
    <w:rsid w:val="00835134"/>
    <w:rsid w:val="00841E8A"/>
    <w:rsid w:val="008428F6"/>
    <w:rsid w:val="0084410F"/>
    <w:rsid w:val="0085115D"/>
    <w:rsid w:val="00857BC1"/>
    <w:rsid w:val="008717C3"/>
    <w:rsid w:val="00874223"/>
    <w:rsid w:val="00874A7B"/>
    <w:rsid w:val="00891308"/>
    <w:rsid w:val="008B72AE"/>
    <w:rsid w:val="008D49EF"/>
    <w:rsid w:val="008D6FBE"/>
    <w:rsid w:val="008F5A79"/>
    <w:rsid w:val="00900789"/>
    <w:rsid w:val="009007A6"/>
    <w:rsid w:val="00911AF8"/>
    <w:rsid w:val="00913FF8"/>
    <w:rsid w:val="00915605"/>
    <w:rsid w:val="00920D13"/>
    <w:rsid w:val="00920E56"/>
    <w:rsid w:val="00923CAB"/>
    <w:rsid w:val="00927E43"/>
    <w:rsid w:val="00944804"/>
    <w:rsid w:val="00947B96"/>
    <w:rsid w:val="009564F2"/>
    <w:rsid w:val="009574EF"/>
    <w:rsid w:val="0097552E"/>
    <w:rsid w:val="009B77FB"/>
    <w:rsid w:val="009C3267"/>
    <w:rsid w:val="009C57C6"/>
    <w:rsid w:val="009D5A45"/>
    <w:rsid w:val="009D7A72"/>
    <w:rsid w:val="009E520D"/>
    <w:rsid w:val="009F0830"/>
    <w:rsid w:val="009F0D12"/>
    <w:rsid w:val="009F2E51"/>
    <w:rsid w:val="00A10BEF"/>
    <w:rsid w:val="00A217ED"/>
    <w:rsid w:val="00A26727"/>
    <w:rsid w:val="00A30926"/>
    <w:rsid w:val="00A36F84"/>
    <w:rsid w:val="00A56542"/>
    <w:rsid w:val="00A603A6"/>
    <w:rsid w:val="00A63E9D"/>
    <w:rsid w:val="00A717BA"/>
    <w:rsid w:val="00A8460D"/>
    <w:rsid w:val="00A85575"/>
    <w:rsid w:val="00A85D07"/>
    <w:rsid w:val="00AA0C48"/>
    <w:rsid w:val="00AA3D7D"/>
    <w:rsid w:val="00AA5ED5"/>
    <w:rsid w:val="00AB003F"/>
    <w:rsid w:val="00AB159E"/>
    <w:rsid w:val="00AF5942"/>
    <w:rsid w:val="00B22327"/>
    <w:rsid w:val="00B271D1"/>
    <w:rsid w:val="00B335E6"/>
    <w:rsid w:val="00B355CD"/>
    <w:rsid w:val="00B502EC"/>
    <w:rsid w:val="00B52573"/>
    <w:rsid w:val="00B7642F"/>
    <w:rsid w:val="00B76988"/>
    <w:rsid w:val="00B94DBA"/>
    <w:rsid w:val="00BA6F89"/>
    <w:rsid w:val="00BA7CED"/>
    <w:rsid w:val="00BB3908"/>
    <w:rsid w:val="00BB61F8"/>
    <w:rsid w:val="00BC3AB4"/>
    <w:rsid w:val="00BC5E50"/>
    <w:rsid w:val="00BD22CE"/>
    <w:rsid w:val="00BD4639"/>
    <w:rsid w:val="00BE10B7"/>
    <w:rsid w:val="00BF2DE5"/>
    <w:rsid w:val="00BF5A31"/>
    <w:rsid w:val="00BF7BB3"/>
    <w:rsid w:val="00C15E83"/>
    <w:rsid w:val="00C161B3"/>
    <w:rsid w:val="00C2195E"/>
    <w:rsid w:val="00C352F3"/>
    <w:rsid w:val="00C441B3"/>
    <w:rsid w:val="00C505BA"/>
    <w:rsid w:val="00C75DE2"/>
    <w:rsid w:val="00C9117C"/>
    <w:rsid w:val="00C91424"/>
    <w:rsid w:val="00C97C4E"/>
    <w:rsid w:val="00CA45D9"/>
    <w:rsid w:val="00CA4BBF"/>
    <w:rsid w:val="00CA7C70"/>
    <w:rsid w:val="00CC0565"/>
    <w:rsid w:val="00CE4435"/>
    <w:rsid w:val="00CF27D4"/>
    <w:rsid w:val="00CF2F28"/>
    <w:rsid w:val="00D04F99"/>
    <w:rsid w:val="00D0612C"/>
    <w:rsid w:val="00D12C28"/>
    <w:rsid w:val="00D16B81"/>
    <w:rsid w:val="00D3608A"/>
    <w:rsid w:val="00D363A8"/>
    <w:rsid w:val="00D52F55"/>
    <w:rsid w:val="00D570FE"/>
    <w:rsid w:val="00D636EF"/>
    <w:rsid w:val="00D8492B"/>
    <w:rsid w:val="00DA56AC"/>
    <w:rsid w:val="00DB303B"/>
    <w:rsid w:val="00DB5A10"/>
    <w:rsid w:val="00DB5E73"/>
    <w:rsid w:val="00DB7B0E"/>
    <w:rsid w:val="00DE0586"/>
    <w:rsid w:val="00DE069C"/>
    <w:rsid w:val="00DE0C0C"/>
    <w:rsid w:val="00DF007C"/>
    <w:rsid w:val="00DF0D9C"/>
    <w:rsid w:val="00DF5BFB"/>
    <w:rsid w:val="00E0583C"/>
    <w:rsid w:val="00E13617"/>
    <w:rsid w:val="00E14AC6"/>
    <w:rsid w:val="00E348AE"/>
    <w:rsid w:val="00E349B1"/>
    <w:rsid w:val="00E3542E"/>
    <w:rsid w:val="00E51FAC"/>
    <w:rsid w:val="00E56142"/>
    <w:rsid w:val="00E5675C"/>
    <w:rsid w:val="00E6009F"/>
    <w:rsid w:val="00E76B43"/>
    <w:rsid w:val="00E8555E"/>
    <w:rsid w:val="00E90970"/>
    <w:rsid w:val="00E96657"/>
    <w:rsid w:val="00E96739"/>
    <w:rsid w:val="00EA31B0"/>
    <w:rsid w:val="00EA5213"/>
    <w:rsid w:val="00EB73D7"/>
    <w:rsid w:val="00EB7E76"/>
    <w:rsid w:val="00EC2755"/>
    <w:rsid w:val="00EC75B4"/>
    <w:rsid w:val="00EF1E8D"/>
    <w:rsid w:val="00F04E1E"/>
    <w:rsid w:val="00F2004E"/>
    <w:rsid w:val="00F272C6"/>
    <w:rsid w:val="00F31E0C"/>
    <w:rsid w:val="00F56067"/>
    <w:rsid w:val="00F56E16"/>
    <w:rsid w:val="00F6473E"/>
    <w:rsid w:val="00F65A7F"/>
    <w:rsid w:val="00F75698"/>
    <w:rsid w:val="00F77D0C"/>
    <w:rsid w:val="00F83E10"/>
    <w:rsid w:val="00F856C9"/>
    <w:rsid w:val="00F92EDE"/>
    <w:rsid w:val="00F96F5E"/>
    <w:rsid w:val="00FB159E"/>
    <w:rsid w:val="00FC20D0"/>
    <w:rsid w:val="00FC33EF"/>
    <w:rsid w:val="00FC4084"/>
    <w:rsid w:val="00FF2C25"/>
    <w:rsid w:val="00FF7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3A89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4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6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409"/>
    <w:rPr>
      <w:rFonts w:ascii="Lucida Grande" w:hAnsi="Lucida Grande" w:cs="Lucida Grande"/>
      <w:sz w:val="18"/>
      <w:szCs w:val="18"/>
    </w:rPr>
  </w:style>
  <w:style w:type="paragraph" w:styleId="ListParagraph">
    <w:name w:val="List Paragraph"/>
    <w:basedOn w:val="Normal"/>
    <w:uiPriority w:val="34"/>
    <w:qFormat/>
    <w:rsid w:val="001F4C8C"/>
    <w:pPr>
      <w:ind w:left="720"/>
      <w:contextualSpacing/>
    </w:pPr>
  </w:style>
  <w:style w:type="paragraph" w:styleId="NormalWeb">
    <w:name w:val="Normal (Web)"/>
    <w:basedOn w:val="Normal"/>
    <w:uiPriority w:val="99"/>
    <w:semiHidden/>
    <w:unhideWhenUsed/>
    <w:rsid w:val="00D8492B"/>
    <w:rPr>
      <w:rFonts w:ascii="Times New Roman" w:hAnsi="Times New Roman" w:cs="Times New Roman"/>
    </w:rPr>
  </w:style>
  <w:style w:type="character" w:styleId="Hyperlink">
    <w:name w:val="Hyperlink"/>
    <w:basedOn w:val="DefaultParagraphFont"/>
    <w:uiPriority w:val="99"/>
    <w:unhideWhenUsed/>
    <w:rsid w:val="009564F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4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6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409"/>
    <w:rPr>
      <w:rFonts w:ascii="Lucida Grande" w:hAnsi="Lucida Grande" w:cs="Lucida Grande"/>
      <w:sz w:val="18"/>
      <w:szCs w:val="18"/>
    </w:rPr>
  </w:style>
  <w:style w:type="paragraph" w:styleId="ListParagraph">
    <w:name w:val="List Paragraph"/>
    <w:basedOn w:val="Normal"/>
    <w:uiPriority w:val="34"/>
    <w:qFormat/>
    <w:rsid w:val="001F4C8C"/>
    <w:pPr>
      <w:ind w:left="720"/>
      <w:contextualSpacing/>
    </w:pPr>
  </w:style>
  <w:style w:type="paragraph" w:styleId="NormalWeb">
    <w:name w:val="Normal (Web)"/>
    <w:basedOn w:val="Normal"/>
    <w:uiPriority w:val="99"/>
    <w:semiHidden/>
    <w:unhideWhenUsed/>
    <w:rsid w:val="00D8492B"/>
    <w:rPr>
      <w:rFonts w:ascii="Times New Roman" w:hAnsi="Times New Roman" w:cs="Times New Roman"/>
    </w:rPr>
  </w:style>
  <w:style w:type="character" w:styleId="Hyperlink">
    <w:name w:val="Hyperlink"/>
    <w:basedOn w:val="DefaultParagraphFont"/>
    <w:uiPriority w:val="99"/>
    <w:unhideWhenUsed/>
    <w:rsid w:val="009564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3600">
      <w:bodyDiv w:val="1"/>
      <w:marLeft w:val="0"/>
      <w:marRight w:val="0"/>
      <w:marTop w:val="0"/>
      <w:marBottom w:val="0"/>
      <w:divBdr>
        <w:top w:val="none" w:sz="0" w:space="0" w:color="auto"/>
        <w:left w:val="none" w:sz="0" w:space="0" w:color="auto"/>
        <w:bottom w:val="none" w:sz="0" w:space="0" w:color="auto"/>
        <w:right w:val="none" w:sz="0" w:space="0" w:color="auto"/>
      </w:divBdr>
      <w:divsChild>
        <w:div w:id="1172987387">
          <w:marLeft w:val="0"/>
          <w:marRight w:val="0"/>
          <w:marTop w:val="0"/>
          <w:marBottom w:val="0"/>
          <w:divBdr>
            <w:top w:val="none" w:sz="0" w:space="0" w:color="auto"/>
            <w:left w:val="none" w:sz="0" w:space="0" w:color="auto"/>
            <w:bottom w:val="none" w:sz="0" w:space="0" w:color="auto"/>
            <w:right w:val="none" w:sz="0" w:space="0" w:color="auto"/>
          </w:divBdr>
          <w:divsChild>
            <w:div w:id="984772771">
              <w:marLeft w:val="0"/>
              <w:marRight w:val="0"/>
              <w:marTop w:val="0"/>
              <w:marBottom w:val="0"/>
              <w:divBdr>
                <w:top w:val="none" w:sz="0" w:space="0" w:color="auto"/>
                <w:left w:val="none" w:sz="0" w:space="0" w:color="auto"/>
                <w:bottom w:val="none" w:sz="0" w:space="0" w:color="auto"/>
                <w:right w:val="none" w:sz="0" w:space="0" w:color="auto"/>
              </w:divBdr>
              <w:divsChild>
                <w:div w:id="680930212">
                  <w:marLeft w:val="0"/>
                  <w:marRight w:val="0"/>
                  <w:marTop w:val="0"/>
                  <w:marBottom w:val="0"/>
                  <w:divBdr>
                    <w:top w:val="none" w:sz="0" w:space="0" w:color="auto"/>
                    <w:left w:val="none" w:sz="0" w:space="0" w:color="auto"/>
                    <w:bottom w:val="none" w:sz="0" w:space="0" w:color="auto"/>
                    <w:right w:val="none" w:sz="0" w:space="0" w:color="auto"/>
                  </w:divBdr>
                  <w:divsChild>
                    <w:div w:id="10576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2245">
      <w:bodyDiv w:val="1"/>
      <w:marLeft w:val="0"/>
      <w:marRight w:val="0"/>
      <w:marTop w:val="0"/>
      <w:marBottom w:val="0"/>
      <w:divBdr>
        <w:top w:val="none" w:sz="0" w:space="0" w:color="auto"/>
        <w:left w:val="none" w:sz="0" w:space="0" w:color="auto"/>
        <w:bottom w:val="none" w:sz="0" w:space="0" w:color="auto"/>
        <w:right w:val="none" w:sz="0" w:space="0" w:color="auto"/>
      </w:divBdr>
      <w:divsChild>
        <w:div w:id="1587835805">
          <w:marLeft w:val="0"/>
          <w:marRight w:val="0"/>
          <w:marTop w:val="0"/>
          <w:marBottom w:val="0"/>
          <w:divBdr>
            <w:top w:val="none" w:sz="0" w:space="0" w:color="auto"/>
            <w:left w:val="none" w:sz="0" w:space="0" w:color="auto"/>
            <w:bottom w:val="none" w:sz="0" w:space="0" w:color="auto"/>
            <w:right w:val="none" w:sz="0" w:space="0" w:color="auto"/>
          </w:divBdr>
          <w:divsChild>
            <w:div w:id="1725566102">
              <w:marLeft w:val="0"/>
              <w:marRight w:val="0"/>
              <w:marTop w:val="0"/>
              <w:marBottom w:val="0"/>
              <w:divBdr>
                <w:top w:val="none" w:sz="0" w:space="0" w:color="auto"/>
                <w:left w:val="none" w:sz="0" w:space="0" w:color="auto"/>
                <w:bottom w:val="none" w:sz="0" w:space="0" w:color="auto"/>
                <w:right w:val="none" w:sz="0" w:space="0" w:color="auto"/>
              </w:divBdr>
              <w:divsChild>
                <w:div w:id="1553007555">
                  <w:marLeft w:val="0"/>
                  <w:marRight w:val="0"/>
                  <w:marTop w:val="0"/>
                  <w:marBottom w:val="0"/>
                  <w:divBdr>
                    <w:top w:val="none" w:sz="0" w:space="0" w:color="auto"/>
                    <w:left w:val="none" w:sz="0" w:space="0" w:color="auto"/>
                    <w:bottom w:val="none" w:sz="0" w:space="0" w:color="auto"/>
                    <w:right w:val="none" w:sz="0" w:space="0" w:color="auto"/>
                  </w:divBdr>
                  <w:divsChild>
                    <w:div w:id="3877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623579">
      <w:bodyDiv w:val="1"/>
      <w:marLeft w:val="0"/>
      <w:marRight w:val="0"/>
      <w:marTop w:val="0"/>
      <w:marBottom w:val="0"/>
      <w:divBdr>
        <w:top w:val="none" w:sz="0" w:space="0" w:color="auto"/>
        <w:left w:val="none" w:sz="0" w:space="0" w:color="auto"/>
        <w:bottom w:val="none" w:sz="0" w:space="0" w:color="auto"/>
        <w:right w:val="none" w:sz="0" w:space="0" w:color="auto"/>
      </w:divBdr>
      <w:divsChild>
        <w:div w:id="500781612">
          <w:marLeft w:val="0"/>
          <w:marRight w:val="0"/>
          <w:marTop w:val="0"/>
          <w:marBottom w:val="0"/>
          <w:divBdr>
            <w:top w:val="none" w:sz="0" w:space="0" w:color="auto"/>
            <w:left w:val="none" w:sz="0" w:space="0" w:color="auto"/>
            <w:bottom w:val="none" w:sz="0" w:space="0" w:color="auto"/>
            <w:right w:val="none" w:sz="0" w:space="0" w:color="auto"/>
          </w:divBdr>
          <w:divsChild>
            <w:div w:id="237834088">
              <w:marLeft w:val="0"/>
              <w:marRight w:val="0"/>
              <w:marTop w:val="0"/>
              <w:marBottom w:val="0"/>
              <w:divBdr>
                <w:top w:val="none" w:sz="0" w:space="0" w:color="auto"/>
                <w:left w:val="none" w:sz="0" w:space="0" w:color="auto"/>
                <w:bottom w:val="none" w:sz="0" w:space="0" w:color="auto"/>
                <w:right w:val="none" w:sz="0" w:space="0" w:color="auto"/>
              </w:divBdr>
              <w:divsChild>
                <w:div w:id="1181551780">
                  <w:marLeft w:val="0"/>
                  <w:marRight w:val="0"/>
                  <w:marTop w:val="0"/>
                  <w:marBottom w:val="0"/>
                  <w:divBdr>
                    <w:top w:val="none" w:sz="0" w:space="0" w:color="auto"/>
                    <w:left w:val="none" w:sz="0" w:space="0" w:color="auto"/>
                    <w:bottom w:val="none" w:sz="0" w:space="0" w:color="auto"/>
                    <w:right w:val="none" w:sz="0" w:space="0" w:color="auto"/>
                  </w:divBdr>
                  <w:divsChild>
                    <w:div w:id="167360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90140">
      <w:bodyDiv w:val="1"/>
      <w:marLeft w:val="0"/>
      <w:marRight w:val="0"/>
      <w:marTop w:val="0"/>
      <w:marBottom w:val="0"/>
      <w:divBdr>
        <w:top w:val="none" w:sz="0" w:space="0" w:color="auto"/>
        <w:left w:val="none" w:sz="0" w:space="0" w:color="auto"/>
        <w:bottom w:val="none" w:sz="0" w:space="0" w:color="auto"/>
        <w:right w:val="none" w:sz="0" w:space="0" w:color="auto"/>
      </w:divBdr>
    </w:div>
    <w:div w:id="848064216">
      <w:bodyDiv w:val="1"/>
      <w:marLeft w:val="0"/>
      <w:marRight w:val="0"/>
      <w:marTop w:val="0"/>
      <w:marBottom w:val="0"/>
      <w:divBdr>
        <w:top w:val="none" w:sz="0" w:space="0" w:color="auto"/>
        <w:left w:val="none" w:sz="0" w:space="0" w:color="auto"/>
        <w:bottom w:val="none" w:sz="0" w:space="0" w:color="auto"/>
        <w:right w:val="none" w:sz="0" w:space="0" w:color="auto"/>
      </w:divBdr>
      <w:divsChild>
        <w:div w:id="22707984">
          <w:marLeft w:val="0"/>
          <w:marRight w:val="0"/>
          <w:marTop w:val="0"/>
          <w:marBottom w:val="0"/>
          <w:divBdr>
            <w:top w:val="none" w:sz="0" w:space="0" w:color="auto"/>
            <w:left w:val="none" w:sz="0" w:space="0" w:color="auto"/>
            <w:bottom w:val="none" w:sz="0" w:space="0" w:color="auto"/>
            <w:right w:val="none" w:sz="0" w:space="0" w:color="auto"/>
          </w:divBdr>
          <w:divsChild>
            <w:div w:id="2010865557">
              <w:marLeft w:val="0"/>
              <w:marRight w:val="0"/>
              <w:marTop w:val="0"/>
              <w:marBottom w:val="0"/>
              <w:divBdr>
                <w:top w:val="none" w:sz="0" w:space="0" w:color="auto"/>
                <w:left w:val="none" w:sz="0" w:space="0" w:color="auto"/>
                <w:bottom w:val="none" w:sz="0" w:space="0" w:color="auto"/>
                <w:right w:val="none" w:sz="0" w:space="0" w:color="auto"/>
              </w:divBdr>
              <w:divsChild>
                <w:div w:id="45029891">
                  <w:marLeft w:val="0"/>
                  <w:marRight w:val="0"/>
                  <w:marTop w:val="0"/>
                  <w:marBottom w:val="0"/>
                  <w:divBdr>
                    <w:top w:val="none" w:sz="0" w:space="0" w:color="auto"/>
                    <w:left w:val="none" w:sz="0" w:space="0" w:color="auto"/>
                    <w:bottom w:val="none" w:sz="0" w:space="0" w:color="auto"/>
                    <w:right w:val="none" w:sz="0" w:space="0" w:color="auto"/>
                  </w:divBdr>
                  <w:divsChild>
                    <w:div w:id="14562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37758">
      <w:bodyDiv w:val="1"/>
      <w:marLeft w:val="0"/>
      <w:marRight w:val="0"/>
      <w:marTop w:val="0"/>
      <w:marBottom w:val="0"/>
      <w:divBdr>
        <w:top w:val="none" w:sz="0" w:space="0" w:color="auto"/>
        <w:left w:val="none" w:sz="0" w:space="0" w:color="auto"/>
        <w:bottom w:val="none" w:sz="0" w:space="0" w:color="auto"/>
        <w:right w:val="none" w:sz="0" w:space="0" w:color="auto"/>
      </w:divBdr>
    </w:div>
    <w:div w:id="1367943900">
      <w:bodyDiv w:val="1"/>
      <w:marLeft w:val="0"/>
      <w:marRight w:val="0"/>
      <w:marTop w:val="0"/>
      <w:marBottom w:val="0"/>
      <w:divBdr>
        <w:top w:val="none" w:sz="0" w:space="0" w:color="auto"/>
        <w:left w:val="none" w:sz="0" w:space="0" w:color="auto"/>
        <w:bottom w:val="none" w:sz="0" w:space="0" w:color="auto"/>
        <w:right w:val="none" w:sz="0" w:space="0" w:color="auto"/>
      </w:divBdr>
    </w:div>
    <w:div w:id="1478259102">
      <w:bodyDiv w:val="1"/>
      <w:marLeft w:val="0"/>
      <w:marRight w:val="0"/>
      <w:marTop w:val="0"/>
      <w:marBottom w:val="0"/>
      <w:divBdr>
        <w:top w:val="none" w:sz="0" w:space="0" w:color="auto"/>
        <w:left w:val="none" w:sz="0" w:space="0" w:color="auto"/>
        <w:bottom w:val="none" w:sz="0" w:space="0" w:color="auto"/>
        <w:right w:val="none" w:sz="0" w:space="0" w:color="auto"/>
      </w:divBdr>
    </w:div>
    <w:div w:id="1655721980">
      <w:bodyDiv w:val="1"/>
      <w:marLeft w:val="0"/>
      <w:marRight w:val="0"/>
      <w:marTop w:val="0"/>
      <w:marBottom w:val="0"/>
      <w:divBdr>
        <w:top w:val="none" w:sz="0" w:space="0" w:color="auto"/>
        <w:left w:val="none" w:sz="0" w:space="0" w:color="auto"/>
        <w:bottom w:val="none" w:sz="0" w:space="0" w:color="auto"/>
        <w:right w:val="none" w:sz="0" w:space="0" w:color="auto"/>
      </w:divBdr>
      <w:divsChild>
        <w:div w:id="2027362331">
          <w:marLeft w:val="0"/>
          <w:marRight w:val="0"/>
          <w:marTop w:val="0"/>
          <w:marBottom w:val="0"/>
          <w:divBdr>
            <w:top w:val="none" w:sz="0" w:space="0" w:color="auto"/>
            <w:left w:val="none" w:sz="0" w:space="0" w:color="auto"/>
            <w:bottom w:val="none" w:sz="0" w:space="0" w:color="auto"/>
            <w:right w:val="none" w:sz="0" w:space="0" w:color="auto"/>
          </w:divBdr>
          <w:divsChild>
            <w:div w:id="1464229130">
              <w:marLeft w:val="0"/>
              <w:marRight w:val="0"/>
              <w:marTop w:val="0"/>
              <w:marBottom w:val="0"/>
              <w:divBdr>
                <w:top w:val="none" w:sz="0" w:space="0" w:color="auto"/>
                <w:left w:val="none" w:sz="0" w:space="0" w:color="auto"/>
                <w:bottom w:val="none" w:sz="0" w:space="0" w:color="auto"/>
                <w:right w:val="none" w:sz="0" w:space="0" w:color="auto"/>
              </w:divBdr>
              <w:divsChild>
                <w:div w:id="1979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36002">
      <w:bodyDiv w:val="1"/>
      <w:marLeft w:val="0"/>
      <w:marRight w:val="0"/>
      <w:marTop w:val="0"/>
      <w:marBottom w:val="0"/>
      <w:divBdr>
        <w:top w:val="none" w:sz="0" w:space="0" w:color="auto"/>
        <w:left w:val="none" w:sz="0" w:space="0" w:color="auto"/>
        <w:bottom w:val="none" w:sz="0" w:space="0" w:color="auto"/>
        <w:right w:val="none" w:sz="0" w:space="0" w:color="auto"/>
      </w:divBdr>
    </w:div>
    <w:div w:id="18790504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1E1F4-CF44-6942-9898-8738A106B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1777</TotalTime>
  <Pages>1</Pages>
  <Words>791</Words>
  <Characters>4513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Harris</dc:creator>
  <cp:keywords/>
  <dc:description/>
  <cp:lastModifiedBy>胡 记丰</cp:lastModifiedBy>
  <cp:revision>37</cp:revision>
  <dcterms:created xsi:type="dcterms:W3CDTF">2015-10-27T14:07:00Z</dcterms:created>
  <dcterms:modified xsi:type="dcterms:W3CDTF">2016-02-18T19:44:00Z</dcterms:modified>
</cp:coreProperties>
</file>