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700" w:type="dxa"/>
        <w:tblInd w:w="-1332" w:type="dxa"/>
        <w:tblLayout w:type="fixed"/>
        <w:tblLook w:val="04A0" w:firstRow="1" w:lastRow="0" w:firstColumn="1" w:lastColumn="0" w:noHBand="0" w:noVBand="1"/>
      </w:tblPr>
      <w:tblGrid>
        <w:gridCol w:w="3005"/>
        <w:gridCol w:w="3655"/>
        <w:gridCol w:w="2340"/>
        <w:gridCol w:w="2700"/>
      </w:tblGrid>
      <w:tr w:rsidR="009F284E" w:rsidRPr="00214834" w14:paraId="0E1ADA39" w14:textId="77777777" w:rsidTr="009F284E">
        <w:trPr>
          <w:trHeight w:val="80"/>
        </w:trPr>
        <w:tc>
          <w:tcPr>
            <w:tcW w:w="3005" w:type="dxa"/>
            <w:shd w:val="clear" w:color="auto" w:fill="365F91" w:themeFill="accent1" w:themeFillShade="BF"/>
          </w:tcPr>
          <w:p w14:paraId="7365F82C" w14:textId="77777777" w:rsidR="009F284E" w:rsidRPr="00214834" w:rsidRDefault="009F284E" w:rsidP="009F284E">
            <w:pPr>
              <w:rPr>
                <w:b/>
                <w:color w:val="FFFFFF" w:themeColor="background1"/>
                <w:sz w:val="14"/>
                <w:szCs w:val="14"/>
              </w:rPr>
            </w:pPr>
            <w:r w:rsidRPr="00214834">
              <w:rPr>
                <w:b/>
                <w:color w:val="FFFFFF" w:themeColor="background1"/>
                <w:sz w:val="14"/>
                <w:szCs w:val="14"/>
              </w:rPr>
              <w:t>Company</w:t>
            </w:r>
            <w:r>
              <w:rPr>
                <w:b/>
                <w:color w:val="FFFFFF" w:themeColor="background1"/>
                <w:sz w:val="14"/>
                <w:szCs w:val="14"/>
              </w:rPr>
              <w:t xml:space="preserve"> Polaris Inc.</w:t>
            </w:r>
          </w:p>
        </w:tc>
        <w:tc>
          <w:tcPr>
            <w:tcW w:w="3655" w:type="dxa"/>
            <w:shd w:val="clear" w:color="auto" w:fill="365F91" w:themeFill="accent1" w:themeFillShade="BF"/>
          </w:tcPr>
          <w:p w14:paraId="29EEA805" w14:textId="77777777" w:rsidR="009F284E" w:rsidRPr="00214834" w:rsidRDefault="009F284E" w:rsidP="009F284E">
            <w:pPr>
              <w:rPr>
                <w:color w:val="FFFFFF" w:themeColor="background1"/>
                <w:sz w:val="14"/>
                <w:szCs w:val="14"/>
              </w:rPr>
            </w:pPr>
            <w:r w:rsidRPr="00214834">
              <w:rPr>
                <w:color w:val="FFFFFF" w:themeColor="background1"/>
                <w:sz w:val="14"/>
                <w:szCs w:val="14"/>
              </w:rPr>
              <w:t>Ticker:</w:t>
            </w:r>
            <w:r>
              <w:rPr>
                <w:color w:val="FFFFFF" w:themeColor="background1"/>
                <w:sz w:val="14"/>
                <w:szCs w:val="14"/>
              </w:rPr>
              <w:t xml:space="preserve"> PII</w:t>
            </w:r>
            <w:r w:rsidRPr="00214834">
              <w:rPr>
                <w:color w:val="FFFFFF" w:themeColor="background1"/>
                <w:sz w:val="14"/>
                <w:szCs w:val="14"/>
              </w:rPr>
              <w:t xml:space="preserve">          </w:t>
            </w:r>
            <w:r>
              <w:rPr>
                <w:color w:val="FFFFFF" w:themeColor="background1"/>
                <w:sz w:val="14"/>
                <w:szCs w:val="14"/>
              </w:rPr>
              <w:t xml:space="preserve">       </w:t>
            </w:r>
            <w:r w:rsidRPr="00214834">
              <w:rPr>
                <w:color w:val="FFFFFF" w:themeColor="background1"/>
                <w:sz w:val="14"/>
                <w:szCs w:val="14"/>
              </w:rPr>
              <w:t xml:space="preserve">          Current Price:</w:t>
            </w:r>
            <w:r>
              <w:rPr>
                <w:color w:val="FFFFFF" w:themeColor="background1"/>
                <w:sz w:val="14"/>
                <w:szCs w:val="14"/>
              </w:rPr>
              <w:t xml:space="preserve"> $69.30</w:t>
            </w:r>
          </w:p>
        </w:tc>
        <w:tc>
          <w:tcPr>
            <w:tcW w:w="2340" w:type="dxa"/>
            <w:shd w:val="clear" w:color="auto" w:fill="365F91" w:themeFill="accent1" w:themeFillShade="BF"/>
          </w:tcPr>
          <w:p w14:paraId="43B0A15B" w14:textId="77777777" w:rsidR="009F284E" w:rsidRPr="00214834" w:rsidRDefault="009F284E" w:rsidP="009F284E">
            <w:pPr>
              <w:rPr>
                <w:color w:val="FFFFFF" w:themeColor="background1"/>
                <w:sz w:val="14"/>
                <w:szCs w:val="14"/>
              </w:rPr>
            </w:pPr>
            <w:r w:rsidRPr="00214834">
              <w:rPr>
                <w:color w:val="FFFFFF" w:themeColor="background1"/>
                <w:sz w:val="14"/>
                <w:szCs w:val="14"/>
              </w:rPr>
              <w:t>Sector:</w:t>
            </w:r>
            <w:r>
              <w:rPr>
                <w:color w:val="FFFFFF" w:themeColor="background1"/>
                <w:sz w:val="14"/>
                <w:szCs w:val="14"/>
              </w:rPr>
              <w:t xml:space="preserve"> </w:t>
            </w:r>
            <w:proofErr w:type="gramStart"/>
            <w:r>
              <w:rPr>
                <w:color w:val="FFFFFF" w:themeColor="background1"/>
                <w:sz w:val="14"/>
                <w:szCs w:val="14"/>
              </w:rPr>
              <w:t>Utilities</w:t>
            </w:r>
            <w:r w:rsidRPr="00214834">
              <w:rPr>
                <w:color w:val="FFFFFF" w:themeColor="background1"/>
                <w:sz w:val="14"/>
                <w:szCs w:val="14"/>
              </w:rPr>
              <w:t xml:space="preserve">  </w:t>
            </w:r>
            <w:proofErr w:type="gramEnd"/>
          </w:p>
        </w:tc>
        <w:tc>
          <w:tcPr>
            <w:tcW w:w="2700" w:type="dxa"/>
            <w:shd w:val="clear" w:color="auto" w:fill="365F91" w:themeFill="accent1" w:themeFillShade="BF"/>
          </w:tcPr>
          <w:p w14:paraId="6A2AFC38" w14:textId="77777777" w:rsidR="009F284E" w:rsidRPr="00214834" w:rsidRDefault="009F284E" w:rsidP="009F284E">
            <w:pPr>
              <w:rPr>
                <w:color w:val="FFFFFF" w:themeColor="background1"/>
                <w:sz w:val="14"/>
                <w:szCs w:val="14"/>
              </w:rPr>
            </w:pPr>
            <w:r w:rsidRPr="00214834">
              <w:rPr>
                <w:color w:val="FFFFFF" w:themeColor="background1"/>
                <w:sz w:val="14"/>
                <w:szCs w:val="14"/>
              </w:rPr>
              <w:t>Sub Industry:</w:t>
            </w:r>
            <w:r>
              <w:rPr>
                <w:color w:val="FFFFFF" w:themeColor="background1"/>
                <w:sz w:val="14"/>
                <w:szCs w:val="14"/>
              </w:rPr>
              <w:t xml:space="preserve"> Utilities Network</w:t>
            </w:r>
          </w:p>
        </w:tc>
      </w:tr>
      <w:tr w:rsidR="009F284E" w:rsidRPr="00214834" w14:paraId="39C9BEFD" w14:textId="77777777" w:rsidTr="009F284E">
        <w:trPr>
          <w:trHeight w:val="512"/>
        </w:trPr>
        <w:tc>
          <w:tcPr>
            <w:tcW w:w="3005" w:type="dxa"/>
          </w:tcPr>
          <w:p w14:paraId="37326312" w14:textId="77777777" w:rsidR="009F284E" w:rsidRDefault="009F284E" w:rsidP="009F284E">
            <w:pPr>
              <w:rPr>
                <w:sz w:val="14"/>
                <w:szCs w:val="14"/>
              </w:rPr>
            </w:pPr>
            <w:r>
              <w:rPr>
                <w:sz w:val="14"/>
                <w:szCs w:val="14"/>
              </w:rPr>
              <w:t>Target Price: $92.19</w:t>
            </w:r>
          </w:p>
          <w:p w14:paraId="230F8361" w14:textId="77777777" w:rsidR="009F284E" w:rsidRDefault="009F284E" w:rsidP="009F284E">
            <w:pPr>
              <w:rPr>
                <w:sz w:val="14"/>
                <w:szCs w:val="14"/>
              </w:rPr>
            </w:pPr>
            <w:r>
              <w:rPr>
                <w:sz w:val="14"/>
                <w:szCs w:val="14"/>
              </w:rPr>
              <w:t>Stop Loss: $58.90</w:t>
            </w:r>
          </w:p>
          <w:p w14:paraId="252FF1E9" w14:textId="77777777" w:rsidR="009F284E" w:rsidRPr="00214834" w:rsidRDefault="009F284E" w:rsidP="009F284E">
            <w:pPr>
              <w:rPr>
                <w:sz w:val="14"/>
                <w:szCs w:val="14"/>
              </w:rPr>
            </w:pPr>
            <w:r>
              <w:rPr>
                <w:sz w:val="14"/>
                <w:szCs w:val="14"/>
              </w:rPr>
              <w:t>52 Week High/Low: $157.62/$69.11</w:t>
            </w:r>
          </w:p>
        </w:tc>
        <w:tc>
          <w:tcPr>
            <w:tcW w:w="3655" w:type="dxa"/>
          </w:tcPr>
          <w:p w14:paraId="3B605109" w14:textId="77777777" w:rsidR="009F284E" w:rsidRDefault="009F284E" w:rsidP="009F284E">
            <w:pPr>
              <w:rPr>
                <w:sz w:val="14"/>
                <w:szCs w:val="14"/>
              </w:rPr>
            </w:pPr>
            <w:r>
              <w:rPr>
                <w:sz w:val="14"/>
                <w:szCs w:val="14"/>
              </w:rPr>
              <w:t>TTM P/E: $10.24</w:t>
            </w:r>
          </w:p>
          <w:p w14:paraId="7911947E" w14:textId="77777777" w:rsidR="009F284E" w:rsidRDefault="009F284E" w:rsidP="009F284E">
            <w:pPr>
              <w:rPr>
                <w:sz w:val="14"/>
                <w:szCs w:val="14"/>
              </w:rPr>
            </w:pPr>
            <w:r>
              <w:rPr>
                <w:sz w:val="14"/>
                <w:szCs w:val="14"/>
              </w:rPr>
              <w:t>Forward P/E: $10.66</w:t>
            </w:r>
          </w:p>
          <w:p w14:paraId="327A97E4" w14:textId="77777777" w:rsidR="009F284E" w:rsidRPr="00214834" w:rsidRDefault="009F284E" w:rsidP="009F284E">
            <w:pPr>
              <w:rPr>
                <w:sz w:val="14"/>
                <w:szCs w:val="14"/>
              </w:rPr>
            </w:pPr>
            <w:r>
              <w:rPr>
                <w:sz w:val="14"/>
                <w:szCs w:val="14"/>
              </w:rPr>
              <w:t>TTM EPS: $6.73</w:t>
            </w:r>
          </w:p>
        </w:tc>
        <w:tc>
          <w:tcPr>
            <w:tcW w:w="2340" w:type="dxa"/>
          </w:tcPr>
          <w:p w14:paraId="2421D1E2" w14:textId="77777777" w:rsidR="009F284E" w:rsidRDefault="009F284E" w:rsidP="009F284E">
            <w:pPr>
              <w:rPr>
                <w:sz w:val="14"/>
                <w:szCs w:val="14"/>
              </w:rPr>
            </w:pPr>
            <w:r>
              <w:rPr>
                <w:sz w:val="14"/>
                <w:szCs w:val="14"/>
              </w:rPr>
              <w:t>Beta: 0.90</w:t>
            </w:r>
          </w:p>
          <w:p w14:paraId="407D8C97" w14:textId="77777777" w:rsidR="009F284E" w:rsidRDefault="009F284E" w:rsidP="009F284E">
            <w:pPr>
              <w:rPr>
                <w:sz w:val="14"/>
                <w:szCs w:val="14"/>
              </w:rPr>
            </w:pPr>
            <w:r>
              <w:rPr>
                <w:sz w:val="14"/>
                <w:szCs w:val="14"/>
              </w:rPr>
              <w:t xml:space="preserve">Credit Rating: </w:t>
            </w:r>
            <w:r w:rsidR="00BE7D67">
              <w:rPr>
                <w:sz w:val="14"/>
                <w:szCs w:val="14"/>
              </w:rPr>
              <w:t>IG6 (0.029% 1-Yr Default Probability)</w:t>
            </w:r>
          </w:p>
          <w:p w14:paraId="2B874D41" w14:textId="77777777" w:rsidR="009F284E" w:rsidRPr="00214834" w:rsidRDefault="009F284E" w:rsidP="009F284E">
            <w:pPr>
              <w:rPr>
                <w:sz w:val="14"/>
                <w:szCs w:val="14"/>
              </w:rPr>
            </w:pPr>
            <w:r>
              <w:rPr>
                <w:sz w:val="14"/>
                <w:szCs w:val="14"/>
              </w:rPr>
              <w:t>Rating Outlook</w:t>
            </w:r>
            <w:r w:rsidR="00BE7D67">
              <w:rPr>
                <w:sz w:val="14"/>
                <w:szCs w:val="14"/>
              </w:rPr>
              <w:t xml:space="preserve">: </w:t>
            </w:r>
            <w:bookmarkStart w:id="0" w:name="_GoBack"/>
            <w:bookmarkEnd w:id="0"/>
          </w:p>
        </w:tc>
        <w:tc>
          <w:tcPr>
            <w:tcW w:w="2700" w:type="dxa"/>
          </w:tcPr>
          <w:p w14:paraId="00AB8CA3" w14:textId="77777777" w:rsidR="009F284E" w:rsidRDefault="009F284E" w:rsidP="009F284E">
            <w:pPr>
              <w:rPr>
                <w:sz w:val="14"/>
                <w:szCs w:val="14"/>
              </w:rPr>
            </w:pPr>
            <w:r>
              <w:rPr>
                <w:sz w:val="14"/>
                <w:szCs w:val="14"/>
              </w:rPr>
              <w:t>Market Cap: $45.539B</w:t>
            </w:r>
          </w:p>
          <w:p w14:paraId="503EEA68" w14:textId="77777777" w:rsidR="009F284E" w:rsidRDefault="009F284E" w:rsidP="009F284E">
            <w:pPr>
              <w:rPr>
                <w:sz w:val="14"/>
                <w:szCs w:val="14"/>
              </w:rPr>
            </w:pPr>
            <w:r>
              <w:rPr>
                <w:sz w:val="14"/>
                <w:szCs w:val="14"/>
              </w:rPr>
              <w:t xml:space="preserve">Avg. </w:t>
            </w:r>
            <w:proofErr w:type="spellStart"/>
            <w:r>
              <w:rPr>
                <w:sz w:val="14"/>
                <w:szCs w:val="14"/>
              </w:rPr>
              <w:t>Vol</w:t>
            </w:r>
            <w:proofErr w:type="spellEnd"/>
            <w:r>
              <w:rPr>
                <w:sz w:val="14"/>
                <w:szCs w:val="14"/>
              </w:rPr>
              <w:t xml:space="preserve"> (30 day): 125M</w:t>
            </w:r>
          </w:p>
          <w:p w14:paraId="18B38388" w14:textId="77777777" w:rsidR="009F284E" w:rsidRPr="00214834" w:rsidRDefault="009F284E" w:rsidP="009F284E">
            <w:pPr>
              <w:rPr>
                <w:sz w:val="14"/>
                <w:szCs w:val="14"/>
              </w:rPr>
            </w:pPr>
            <w:r>
              <w:rPr>
                <w:sz w:val="14"/>
                <w:szCs w:val="14"/>
              </w:rPr>
              <w:t>Dividend Yield: 3.52%</w:t>
            </w:r>
          </w:p>
        </w:tc>
      </w:tr>
    </w:tbl>
    <w:p w14:paraId="0BB0CDCC" w14:textId="77777777" w:rsidR="009F284E" w:rsidRPr="00214834" w:rsidRDefault="009F284E" w:rsidP="009F284E">
      <w:pPr>
        <w:rPr>
          <w:sz w:val="14"/>
          <w:szCs w:val="14"/>
        </w:rPr>
      </w:pPr>
    </w:p>
    <w:tbl>
      <w:tblPr>
        <w:tblStyle w:val="TableGrid"/>
        <w:tblW w:w="11700" w:type="dxa"/>
        <w:tblInd w:w="-1332" w:type="dxa"/>
        <w:tblLook w:val="04A0" w:firstRow="1" w:lastRow="0" w:firstColumn="1" w:lastColumn="0" w:noHBand="0" w:noVBand="1"/>
      </w:tblPr>
      <w:tblGrid>
        <w:gridCol w:w="11700"/>
      </w:tblGrid>
      <w:tr w:rsidR="009F284E" w:rsidRPr="00214834" w14:paraId="11B00AB9" w14:textId="77777777" w:rsidTr="009F284E">
        <w:trPr>
          <w:trHeight w:val="197"/>
        </w:trPr>
        <w:tc>
          <w:tcPr>
            <w:tcW w:w="11700" w:type="dxa"/>
            <w:shd w:val="clear" w:color="auto" w:fill="365F91" w:themeFill="accent1" w:themeFillShade="BF"/>
          </w:tcPr>
          <w:p w14:paraId="18D3D571" w14:textId="77777777" w:rsidR="009F284E" w:rsidRPr="00214834" w:rsidRDefault="009F284E" w:rsidP="009F284E">
            <w:pPr>
              <w:tabs>
                <w:tab w:val="left" w:pos="3690"/>
              </w:tabs>
              <w:jc w:val="both"/>
              <w:rPr>
                <w:color w:val="FFFFFF" w:themeColor="background1"/>
                <w:sz w:val="14"/>
                <w:szCs w:val="14"/>
              </w:rPr>
            </w:pPr>
            <w:r w:rsidRPr="00214834">
              <w:rPr>
                <w:b/>
                <w:color w:val="FFFFFF" w:themeColor="background1"/>
                <w:sz w:val="14"/>
                <w:szCs w:val="14"/>
              </w:rPr>
              <w:t xml:space="preserve">Company Background:  </w:t>
            </w:r>
            <w:r w:rsidRPr="00214834">
              <w:rPr>
                <w:b/>
                <w:color w:val="FFFFFF" w:themeColor="background1"/>
                <w:sz w:val="14"/>
                <w:szCs w:val="14"/>
              </w:rPr>
              <w:tab/>
            </w:r>
          </w:p>
        </w:tc>
      </w:tr>
      <w:tr w:rsidR="009F284E" w:rsidRPr="00214834" w14:paraId="2A41D8B4" w14:textId="77777777" w:rsidTr="009F284E">
        <w:tc>
          <w:tcPr>
            <w:tcW w:w="11700" w:type="dxa"/>
          </w:tcPr>
          <w:p w14:paraId="2998174D" w14:textId="77777777" w:rsidR="00B77088" w:rsidRDefault="00B77088" w:rsidP="00B77088">
            <w:pPr>
              <w:rPr>
                <w:sz w:val="16"/>
                <w:szCs w:val="16"/>
              </w:rPr>
            </w:pPr>
            <w:r>
              <w:rPr>
                <w:sz w:val="16"/>
                <w:szCs w:val="16"/>
              </w:rPr>
              <w:t xml:space="preserve">Polaris Industries manufacturers off-road vehicles for recreational and utility use. Vehicles include motorcycle, snowmobiles, and side-by-side vehicles. The company is present in the U.S., Canada, Mexico, Western Europe, and Australia. Polaris provides replacement parts and accessories for all products and sells through a network of independent distributors and dealers. </w:t>
            </w:r>
          </w:p>
          <w:p w14:paraId="4AC2B260" w14:textId="77777777" w:rsidR="009F284E" w:rsidRPr="00214834" w:rsidRDefault="009F284E" w:rsidP="009F284E">
            <w:pPr>
              <w:rPr>
                <w:sz w:val="14"/>
                <w:szCs w:val="14"/>
              </w:rPr>
            </w:pPr>
            <w:r>
              <w:rPr>
                <w:sz w:val="14"/>
                <w:szCs w:val="14"/>
              </w:rPr>
              <w:t xml:space="preserve">Yahoo Finance. </w:t>
            </w:r>
          </w:p>
        </w:tc>
      </w:tr>
      <w:tr w:rsidR="009F284E" w:rsidRPr="00214834" w14:paraId="53017401" w14:textId="77777777" w:rsidTr="009F284E">
        <w:tc>
          <w:tcPr>
            <w:tcW w:w="11700" w:type="dxa"/>
            <w:shd w:val="clear" w:color="auto" w:fill="365F91" w:themeFill="accent1" w:themeFillShade="BF"/>
          </w:tcPr>
          <w:p w14:paraId="3B234456" w14:textId="77777777" w:rsidR="009F284E" w:rsidRPr="00214834" w:rsidRDefault="009F284E" w:rsidP="009F284E">
            <w:pPr>
              <w:tabs>
                <w:tab w:val="left" w:pos="3225"/>
              </w:tabs>
              <w:rPr>
                <w:b/>
                <w:color w:val="FFFFFF" w:themeColor="background1"/>
                <w:sz w:val="14"/>
                <w:szCs w:val="14"/>
              </w:rPr>
            </w:pPr>
            <w:r w:rsidRPr="00214834">
              <w:rPr>
                <w:b/>
                <w:color w:val="FFFFFF" w:themeColor="background1"/>
                <w:sz w:val="14"/>
                <w:szCs w:val="14"/>
              </w:rPr>
              <w:t xml:space="preserve">Industry Outlook: </w:t>
            </w:r>
          </w:p>
        </w:tc>
      </w:tr>
      <w:tr w:rsidR="009F284E" w:rsidRPr="00214834" w14:paraId="467C10EB" w14:textId="77777777" w:rsidTr="009F284E">
        <w:tc>
          <w:tcPr>
            <w:tcW w:w="11700" w:type="dxa"/>
          </w:tcPr>
          <w:p w14:paraId="79CC1F41" w14:textId="77777777" w:rsidR="009F284E" w:rsidRDefault="009F284E" w:rsidP="009F284E">
            <w:pPr>
              <w:rPr>
                <w:sz w:val="14"/>
                <w:szCs w:val="14"/>
              </w:rPr>
            </w:pPr>
          </w:p>
          <w:p w14:paraId="26D7F91A" w14:textId="77777777" w:rsidR="009F284E" w:rsidRPr="00214834" w:rsidRDefault="00B77088" w:rsidP="009F284E">
            <w:pPr>
              <w:rPr>
                <w:sz w:val="14"/>
                <w:szCs w:val="14"/>
              </w:rPr>
            </w:pPr>
            <w:r>
              <w:rPr>
                <w:sz w:val="16"/>
                <w:szCs w:val="16"/>
              </w:rPr>
              <w:t xml:space="preserve">Unemployment has steadily been decreasing since 2009 and now sits at 5.1%. Additionally, U.S. home prices have rebounded from the recession. Both are good pieces of news for the leisure product industry. When the workforce is employed, there are more discretionary funds available for recreation.  Following suit, when home values rise, homeowners feel more comfortable spending cash. The industry as a whole has a large potential in developing countries.  Low gasoline prices also make these vehicles more affordable to operate. Lastly, baby boomers will continue to be drawn to Polaris Vehicle activities. </w:t>
            </w:r>
          </w:p>
        </w:tc>
      </w:tr>
      <w:tr w:rsidR="009F284E" w:rsidRPr="00214834" w14:paraId="7D9742CB" w14:textId="77777777" w:rsidTr="009F284E">
        <w:tc>
          <w:tcPr>
            <w:tcW w:w="11700" w:type="dxa"/>
            <w:shd w:val="clear" w:color="auto" w:fill="365F91" w:themeFill="accent1" w:themeFillShade="BF"/>
          </w:tcPr>
          <w:p w14:paraId="20A1E33C" w14:textId="77777777" w:rsidR="009F284E" w:rsidRPr="00214834" w:rsidRDefault="009F284E" w:rsidP="009F284E">
            <w:pPr>
              <w:tabs>
                <w:tab w:val="left" w:pos="3225"/>
              </w:tabs>
              <w:rPr>
                <w:b/>
                <w:color w:val="FFFFFF" w:themeColor="background1"/>
                <w:sz w:val="14"/>
                <w:szCs w:val="14"/>
              </w:rPr>
            </w:pPr>
            <w:r w:rsidRPr="00214834">
              <w:rPr>
                <w:b/>
                <w:color w:val="FFFFFF" w:themeColor="background1"/>
                <w:sz w:val="14"/>
                <w:szCs w:val="14"/>
              </w:rPr>
              <w:t>Investment Thesis:</w:t>
            </w:r>
            <w:r w:rsidRPr="00214834">
              <w:rPr>
                <w:b/>
                <w:color w:val="FFFFFF" w:themeColor="background1"/>
                <w:sz w:val="14"/>
                <w:szCs w:val="14"/>
              </w:rPr>
              <w:tab/>
            </w:r>
          </w:p>
        </w:tc>
      </w:tr>
      <w:tr w:rsidR="009F284E" w:rsidRPr="00214834" w14:paraId="6AD09CBF" w14:textId="77777777" w:rsidTr="009F284E">
        <w:tc>
          <w:tcPr>
            <w:tcW w:w="11700" w:type="dxa"/>
          </w:tcPr>
          <w:p w14:paraId="2EEA6952" w14:textId="77777777" w:rsidR="009F284E" w:rsidRPr="008561E0" w:rsidRDefault="009F284E" w:rsidP="009F284E">
            <w:pPr>
              <w:rPr>
                <w:sz w:val="16"/>
                <w:szCs w:val="16"/>
              </w:rPr>
            </w:pPr>
            <w:r w:rsidRPr="008561E0">
              <w:rPr>
                <w:sz w:val="16"/>
                <w:szCs w:val="16"/>
              </w:rPr>
              <w:t xml:space="preserve">Since the ROE regulation may change from the FERC’s decision, ITC is shifting its capital plans to focus more on contractual transmission projects. </w:t>
            </w:r>
            <w:r>
              <w:rPr>
                <w:sz w:val="16"/>
                <w:szCs w:val="16"/>
              </w:rPr>
              <w:t xml:space="preserve">It currently has two projects in the pipeline. The first is the Lake Erie Connector, which will bring power back and forth from Canada to the U.S. The </w:t>
            </w:r>
            <w:proofErr w:type="gramStart"/>
            <w:r>
              <w:rPr>
                <w:sz w:val="16"/>
                <w:szCs w:val="16"/>
              </w:rPr>
              <w:t>second,</w:t>
            </w:r>
            <w:proofErr w:type="gramEnd"/>
            <w:r>
              <w:rPr>
                <w:sz w:val="16"/>
                <w:szCs w:val="16"/>
              </w:rPr>
              <w:t xml:space="preserve"> is a project shared with NRG Energy and York Capital Management to bail out the Puerto Rico Electric Power Authority with $3.5B. PREPA is about to default on $700M in loans and the new capital would allow the utility to modernize and upgrade. It is estimated that PREPA is owed $1.75B in surge charge. </w:t>
            </w:r>
            <w:r w:rsidRPr="008561E0">
              <w:rPr>
                <w:sz w:val="16"/>
                <w:szCs w:val="16"/>
              </w:rPr>
              <w:t xml:space="preserve">Additionally, the company last year had announced a repurchase program of $150 million common stock shares. However, </w:t>
            </w:r>
            <w:r>
              <w:rPr>
                <w:sz w:val="16"/>
                <w:szCs w:val="16"/>
              </w:rPr>
              <w:t xml:space="preserve">ITC’s high gross and pre-tax margins indicate a differentiated product portfolio and good cost control. </w:t>
            </w:r>
          </w:p>
          <w:p w14:paraId="71D74720" w14:textId="77777777" w:rsidR="009F284E" w:rsidRPr="00214834" w:rsidRDefault="009F284E" w:rsidP="009F284E">
            <w:pPr>
              <w:autoSpaceDE w:val="0"/>
              <w:autoSpaceDN w:val="0"/>
              <w:adjustRightInd w:val="0"/>
              <w:rPr>
                <w:sz w:val="14"/>
                <w:szCs w:val="14"/>
              </w:rPr>
            </w:pPr>
            <w:proofErr w:type="spellStart"/>
            <w:r>
              <w:rPr>
                <w:sz w:val="14"/>
                <w:szCs w:val="14"/>
              </w:rPr>
              <w:t>Valueline</w:t>
            </w:r>
            <w:proofErr w:type="spellEnd"/>
            <w:r>
              <w:rPr>
                <w:sz w:val="14"/>
                <w:szCs w:val="14"/>
              </w:rPr>
              <w:t>, Utility Dive.</w:t>
            </w:r>
          </w:p>
        </w:tc>
      </w:tr>
      <w:tr w:rsidR="009F284E" w:rsidRPr="00214834" w14:paraId="66E1EA81" w14:textId="77777777" w:rsidTr="009F284E">
        <w:tc>
          <w:tcPr>
            <w:tcW w:w="11700" w:type="dxa"/>
            <w:shd w:val="clear" w:color="auto" w:fill="365F91" w:themeFill="accent1" w:themeFillShade="BF"/>
          </w:tcPr>
          <w:p w14:paraId="601A2A9E" w14:textId="77777777" w:rsidR="009F284E" w:rsidRPr="00214834" w:rsidRDefault="009F284E" w:rsidP="009F284E">
            <w:pPr>
              <w:tabs>
                <w:tab w:val="left" w:pos="2235"/>
              </w:tabs>
              <w:rPr>
                <w:sz w:val="14"/>
                <w:szCs w:val="14"/>
              </w:rPr>
            </w:pPr>
            <w:r w:rsidRPr="00214834">
              <w:rPr>
                <w:b/>
                <w:color w:val="FFFFFF" w:themeColor="background1"/>
                <w:sz w:val="14"/>
                <w:szCs w:val="14"/>
              </w:rPr>
              <w:t>Investment Risks:</w:t>
            </w:r>
            <w:r w:rsidRPr="00214834">
              <w:rPr>
                <w:b/>
                <w:color w:val="FFFFFF" w:themeColor="background1"/>
                <w:sz w:val="14"/>
                <w:szCs w:val="14"/>
              </w:rPr>
              <w:tab/>
            </w:r>
          </w:p>
        </w:tc>
      </w:tr>
      <w:tr w:rsidR="009F284E" w:rsidRPr="00214834" w14:paraId="66503E39" w14:textId="77777777" w:rsidTr="009F284E">
        <w:tc>
          <w:tcPr>
            <w:tcW w:w="11700" w:type="dxa"/>
          </w:tcPr>
          <w:p w14:paraId="03EE416A" w14:textId="77777777" w:rsidR="009F284E" w:rsidRPr="00214834" w:rsidRDefault="00B77088" w:rsidP="009F284E">
            <w:pPr>
              <w:rPr>
                <w:sz w:val="14"/>
                <w:szCs w:val="14"/>
              </w:rPr>
            </w:pPr>
            <w:r>
              <w:rPr>
                <w:sz w:val="16"/>
                <w:szCs w:val="16"/>
              </w:rPr>
              <w:t xml:space="preserve">Polaris is well positioned for substantial growth for the next 3-5 years. The company has been bolstering expansion efforts in Europe, which will also diversify of risk. Currently, the stock is experiencing a selloff based on slightly lower reforecast earnings for 4Q15 and recall of 53,000 RZR units. That being said, Polaris currently sits just above its 52-week low and is severely undervalued.  Look forward to big gains once the market realizes the company’s true market value. Polaris is deeply rooted in the ORV’s snowmobile markets and also has a presence in motorcycles manufacturing. There are only a handful of companies that are involved in these markets. Polaris and Artic Cat are the only companies that are heavily involved in both ORV and Snowmobiles. Most other Polaris’s competitors only focus on one </w:t>
            </w:r>
            <w:proofErr w:type="gramStart"/>
            <w:r>
              <w:rPr>
                <w:sz w:val="16"/>
                <w:szCs w:val="16"/>
              </w:rPr>
              <w:t>market,</w:t>
            </w:r>
            <w:proofErr w:type="gramEnd"/>
            <w:r>
              <w:rPr>
                <w:sz w:val="16"/>
                <w:szCs w:val="16"/>
              </w:rPr>
              <w:t xml:space="preserve"> for example, Harley-Davidson is the world’s largest motorcycle manufacturer. </w:t>
            </w:r>
            <w:r w:rsidR="009F284E">
              <w:rPr>
                <w:sz w:val="14"/>
                <w:szCs w:val="14"/>
              </w:rPr>
              <w:t>Morningstar</w:t>
            </w:r>
          </w:p>
        </w:tc>
      </w:tr>
      <w:tr w:rsidR="009F284E" w:rsidRPr="00214834" w14:paraId="73B6AC54" w14:textId="77777777" w:rsidTr="009F284E">
        <w:tc>
          <w:tcPr>
            <w:tcW w:w="11700" w:type="dxa"/>
            <w:shd w:val="clear" w:color="auto" w:fill="365F91" w:themeFill="accent1" w:themeFillShade="BF"/>
          </w:tcPr>
          <w:p w14:paraId="2F6FEBD2" w14:textId="77777777" w:rsidR="009F284E" w:rsidRPr="00214834" w:rsidRDefault="009F284E" w:rsidP="009F284E">
            <w:pPr>
              <w:ind w:left="72"/>
              <w:jc w:val="both"/>
              <w:rPr>
                <w:color w:val="FFFFFF" w:themeColor="background1"/>
                <w:sz w:val="14"/>
                <w:szCs w:val="14"/>
              </w:rPr>
            </w:pPr>
            <w:r w:rsidRPr="00214834">
              <w:rPr>
                <w:b/>
                <w:color w:val="FFFFFF" w:themeColor="background1"/>
                <w:sz w:val="14"/>
                <w:szCs w:val="14"/>
              </w:rPr>
              <w:t xml:space="preserve">Takeaways From Last Quarter’s Investor Call Transcripts: </w:t>
            </w:r>
          </w:p>
        </w:tc>
      </w:tr>
      <w:tr w:rsidR="009F284E" w:rsidRPr="00214834" w14:paraId="7AAC1132" w14:textId="77777777" w:rsidTr="009F284E">
        <w:trPr>
          <w:trHeight w:val="70"/>
        </w:trPr>
        <w:tc>
          <w:tcPr>
            <w:tcW w:w="11700" w:type="dxa"/>
          </w:tcPr>
          <w:p w14:paraId="41FE18F0" w14:textId="77777777" w:rsidR="009F284E" w:rsidRPr="006C779F" w:rsidRDefault="009F284E" w:rsidP="009F284E">
            <w:pPr>
              <w:rPr>
                <w:sz w:val="16"/>
                <w:szCs w:val="16"/>
              </w:rPr>
            </w:pPr>
            <w:r w:rsidRPr="006C779F">
              <w:rPr>
                <w:sz w:val="16"/>
                <w:szCs w:val="16"/>
              </w:rPr>
              <w:t xml:space="preserve">• </w:t>
            </w:r>
            <w:r w:rsidR="00B77088">
              <w:rPr>
                <w:sz w:val="16"/>
                <w:szCs w:val="16"/>
              </w:rPr>
              <w:t>Slightly beat reduced 4Q15 Estimates</w:t>
            </w:r>
          </w:p>
          <w:p w14:paraId="4C0F83EE" w14:textId="77777777" w:rsidR="009F284E" w:rsidRPr="006C779F" w:rsidRDefault="009F284E" w:rsidP="009F284E">
            <w:pPr>
              <w:rPr>
                <w:sz w:val="16"/>
                <w:szCs w:val="16"/>
              </w:rPr>
            </w:pPr>
            <w:r w:rsidRPr="006C779F">
              <w:rPr>
                <w:sz w:val="16"/>
                <w:szCs w:val="16"/>
              </w:rPr>
              <w:t xml:space="preserve">• </w:t>
            </w:r>
            <w:r w:rsidR="00B77088">
              <w:rPr>
                <w:sz w:val="16"/>
                <w:szCs w:val="16"/>
              </w:rPr>
              <w:t>100 Workers preemptively laid off to reduce costs</w:t>
            </w:r>
            <w:r w:rsidR="00A308B8">
              <w:rPr>
                <w:sz w:val="16"/>
                <w:szCs w:val="16"/>
              </w:rPr>
              <w:t>, no other major planned cuts</w:t>
            </w:r>
          </w:p>
          <w:p w14:paraId="0A452C03" w14:textId="77777777" w:rsidR="00A308B8" w:rsidRDefault="009F284E" w:rsidP="009F284E">
            <w:pPr>
              <w:rPr>
                <w:sz w:val="16"/>
                <w:szCs w:val="16"/>
              </w:rPr>
            </w:pPr>
            <w:r w:rsidRPr="006C779F">
              <w:rPr>
                <w:sz w:val="16"/>
                <w:szCs w:val="16"/>
              </w:rPr>
              <w:t xml:space="preserve">• </w:t>
            </w:r>
            <w:r w:rsidR="00B77088">
              <w:rPr>
                <w:sz w:val="16"/>
                <w:szCs w:val="16"/>
              </w:rPr>
              <w:t>Reduced output to allow dealers to sell through inventory</w:t>
            </w:r>
          </w:p>
          <w:p w14:paraId="1AB62DCF" w14:textId="77777777" w:rsidR="00A308B8" w:rsidRDefault="00A308B8" w:rsidP="009F284E">
            <w:pPr>
              <w:rPr>
                <w:sz w:val="16"/>
                <w:szCs w:val="16"/>
              </w:rPr>
            </w:pPr>
            <w:r>
              <w:rPr>
                <w:sz w:val="16"/>
                <w:szCs w:val="16"/>
              </w:rPr>
              <w:t>• Expect high dollar to put pressure on sales for first quarter to 50% less than last year</w:t>
            </w:r>
          </w:p>
          <w:p w14:paraId="5A0812F3" w14:textId="77777777" w:rsidR="00A308B8" w:rsidRDefault="00A308B8" w:rsidP="009F284E">
            <w:pPr>
              <w:rPr>
                <w:sz w:val="16"/>
                <w:szCs w:val="16"/>
              </w:rPr>
            </w:pPr>
            <w:r>
              <w:rPr>
                <w:sz w:val="16"/>
                <w:szCs w:val="16"/>
              </w:rPr>
              <w:t>• Light snowfall in N. America compounds drop in demand for snowmobiles and ORV</w:t>
            </w:r>
          </w:p>
          <w:p w14:paraId="02CBC953" w14:textId="77777777" w:rsidR="00A308B8" w:rsidRDefault="00A308B8" w:rsidP="009F284E">
            <w:pPr>
              <w:rPr>
                <w:sz w:val="16"/>
                <w:szCs w:val="16"/>
              </w:rPr>
            </w:pPr>
            <w:r>
              <w:rPr>
                <w:sz w:val="16"/>
                <w:szCs w:val="16"/>
              </w:rPr>
              <w:t>• Management still moving forward to open Alabama plant later this year</w:t>
            </w:r>
          </w:p>
          <w:p w14:paraId="5EF72ED8" w14:textId="77777777" w:rsidR="00A308B8" w:rsidRDefault="00A308B8" w:rsidP="009F284E">
            <w:pPr>
              <w:rPr>
                <w:sz w:val="16"/>
                <w:szCs w:val="16"/>
              </w:rPr>
            </w:pPr>
            <w:r>
              <w:rPr>
                <w:sz w:val="16"/>
                <w:szCs w:val="16"/>
              </w:rPr>
              <w:t>• Motorcycle sales were up 33% in 4</w:t>
            </w:r>
            <w:r w:rsidRPr="00A308B8">
              <w:rPr>
                <w:sz w:val="16"/>
                <w:szCs w:val="16"/>
                <w:vertAlign w:val="superscript"/>
              </w:rPr>
              <w:t>th</w:t>
            </w:r>
            <w:r>
              <w:rPr>
                <w:sz w:val="16"/>
                <w:szCs w:val="16"/>
              </w:rPr>
              <w:t xml:space="preserve"> quarter, 67% increase </w:t>
            </w:r>
            <w:proofErr w:type="spellStart"/>
            <w:r>
              <w:rPr>
                <w:sz w:val="16"/>
                <w:szCs w:val="16"/>
              </w:rPr>
              <w:t>YoY</w:t>
            </w:r>
            <w:proofErr w:type="spellEnd"/>
            <w:r>
              <w:rPr>
                <w:sz w:val="16"/>
                <w:szCs w:val="16"/>
              </w:rPr>
              <w:t xml:space="preserve"> comparison</w:t>
            </w:r>
          </w:p>
          <w:p w14:paraId="4BCD0F6E" w14:textId="77777777" w:rsidR="00213F00" w:rsidRDefault="00213F00" w:rsidP="009F284E">
            <w:pPr>
              <w:rPr>
                <w:sz w:val="16"/>
                <w:szCs w:val="16"/>
              </w:rPr>
            </w:pPr>
          </w:p>
          <w:p w14:paraId="14D5BC37" w14:textId="77777777" w:rsidR="00A308B8" w:rsidRPr="006C779F" w:rsidRDefault="00A308B8" w:rsidP="009F284E">
            <w:pPr>
              <w:rPr>
                <w:sz w:val="16"/>
                <w:szCs w:val="16"/>
              </w:rPr>
            </w:pPr>
            <w:r>
              <w:rPr>
                <w:sz w:val="16"/>
                <w:szCs w:val="16"/>
              </w:rPr>
              <w:t xml:space="preserve">“Our outlook for 2016 </w:t>
            </w:r>
            <w:r w:rsidR="00213F00">
              <w:rPr>
                <w:sz w:val="16"/>
                <w:szCs w:val="16"/>
              </w:rPr>
              <w:t xml:space="preserve">reflects another volatile year in </w:t>
            </w:r>
            <w:proofErr w:type="spellStart"/>
            <w:r w:rsidR="00213F00">
              <w:rPr>
                <w:sz w:val="16"/>
                <w:szCs w:val="16"/>
              </w:rPr>
              <w:t>powersports</w:t>
            </w:r>
            <w:proofErr w:type="spellEnd"/>
            <w:r w:rsidR="00213F00">
              <w:rPr>
                <w:sz w:val="16"/>
                <w:szCs w:val="16"/>
              </w:rPr>
              <w:t xml:space="preserve"> driven by near-term growth pressures from weak end markets as the threat of a worldwide economic slowdown looms” – CEO Scott Wine</w:t>
            </w:r>
          </w:p>
          <w:p w14:paraId="66A247DF" w14:textId="77777777" w:rsidR="009F284E" w:rsidRPr="0073387A" w:rsidRDefault="009F284E" w:rsidP="009F284E">
            <w:pPr>
              <w:rPr>
                <w:sz w:val="14"/>
                <w:szCs w:val="14"/>
              </w:rPr>
            </w:pPr>
            <w:r>
              <w:rPr>
                <w:sz w:val="14"/>
                <w:szCs w:val="14"/>
              </w:rPr>
              <w:t>Yahoo Finance</w:t>
            </w:r>
          </w:p>
        </w:tc>
      </w:tr>
    </w:tbl>
    <w:p w14:paraId="361CAD8A" w14:textId="77777777" w:rsidR="009F284E" w:rsidRPr="00214834" w:rsidRDefault="009F284E" w:rsidP="009F284E">
      <w:pPr>
        <w:rPr>
          <w:sz w:val="14"/>
          <w:szCs w:val="14"/>
        </w:rPr>
      </w:pPr>
    </w:p>
    <w:tbl>
      <w:tblPr>
        <w:tblStyle w:val="TableGrid"/>
        <w:tblW w:w="11808" w:type="dxa"/>
        <w:tblInd w:w="-1440" w:type="dxa"/>
        <w:tblLook w:val="04A0" w:firstRow="1" w:lastRow="0" w:firstColumn="1" w:lastColumn="0" w:noHBand="0" w:noVBand="1"/>
      </w:tblPr>
      <w:tblGrid>
        <w:gridCol w:w="7465"/>
        <w:gridCol w:w="4343"/>
      </w:tblGrid>
      <w:tr w:rsidR="009F284E" w:rsidRPr="00214834" w14:paraId="50BD1A51" w14:textId="77777777" w:rsidTr="009F284E">
        <w:tc>
          <w:tcPr>
            <w:tcW w:w="7488" w:type="dxa"/>
            <w:shd w:val="clear" w:color="auto" w:fill="365F91" w:themeFill="accent1" w:themeFillShade="BF"/>
          </w:tcPr>
          <w:p w14:paraId="053A6313" w14:textId="77777777" w:rsidR="009F284E" w:rsidRPr="00214834" w:rsidRDefault="009F284E" w:rsidP="009F284E">
            <w:pPr>
              <w:jc w:val="both"/>
              <w:rPr>
                <w:b/>
                <w:color w:val="FFFFFF" w:themeColor="background1"/>
                <w:sz w:val="14"/>
                <w:szCs w:val="14"/>
              </w:rPr>
            </w:pPr>
            <w:r w:rsidRPr="00214834">
              <w:rPr>
                <w:b/>
                <w:color w:val="FFFFFF" w:themeColor="background1"/>
                <w:sz w:val="14"/>
                <w:szCs w:val="14"/>
              </w:rPr>
              <w:t>Financial Performance:</w:t>
            </w:r>
          </w:p>
        </w:tc>
        <w:tc>
          <w:tcPr>
            <w:tcW w:w="4320" w:type="dxa"/>
            <w:shd w:val="clear" w:color="auto" w:fill="365F91" w:themeFill="accent1" w:themeFillShade="BF"/>
          </w:tcPr>
          <w:p w14:paraId="2BF77E82" w14:textId="77777777" w:rsidR="009F284E" w:rsidRPr="00214834" w:rsidRDefault="009F284E" w:rsidP="009F284E">
            <w:pPr>
              <w:jc w:val="both"/>
              <w:rPr>
                <w:b/>
                <w:color w:val="FFFFFF" w:themeColor="background1"/>
                <w:sz w:val="14"/>
                <w:szCs w:val="14"/>
              </w:rPr>
            </w:pPr>
            <w:r w:rsidRPr="00214834">
              <w:rPr>
                <w:b/>
                <w:color w:val="FFFFFF" w:themeColor="background1"/>
                <w:sz w:val="14"/>
                <w:szCs w:val="14"/>
              </w:rPr>
              <w:t xml:space="preserve">Discounted Cash Flow </w:t>
            </w:r>
          </w:p>
        </w:tc>
      </w:tr>
      <w:tr w:rsidR="009F284E" w:rsidRPr="00214834" w14:paraId="63C2D6C8" w14:textId="77777777" w:rsidTr="009F284E">
        <w:tc>
          <w:tcPr>
            <w:tcW w:w="7488" w:type="dxa"/>
          </w:tcPr>
          <w:p w14:paraId="01A76E25" w14:textId="77777777" w:rsidR="009F284E" w:rsidRPr="00214834" w:rsidRDefault="009F284E" w:rsidP="009F284E">
            <w:pPr>
              <w:jc w:val="both"/>
              <w:rPr>
                <w:b/>
                <w:sz w:val="14"/>
                <w:szCs w:val="14"/>
              </w:rPr>
            </w:pPr>
          </w:p>
          <w:tbl>
            <w:tblPr>
              <w:tblStyle w:val="TableGrid"/>
              <w:tblW w:w="0" w:type="auto"/>
              <w:tblLook w:val="04A0" w:firstRow="1" w:lastRow="0" w:firstColumn="1" w:lastColumn="0" w:noHBand="0" w:noVBand="1"/>
            </w:tblPr>
            <w:tblGrid>
              <w:gridCol w:w="1557"/>
              <w:gridCol w:w="947"/>
              <w:gridCol w:w="1051"/>
              <w:gridCol w:w="921"/>
              <w:gridCol w:w="921"/>
              <w:gridCol w:w="921"/>
              <w:gridCol w:w="921"/>
            </w:tblGrid>
            <w:tr w:rsidR="009F284E" w:rsidRPr="00214834" w14:paraId="63169D42" w14:textId="77777777" w:rsidTr="009F284E">
              <w:tc>
                <w:tcPr>
                  <w:tcW w:w="1557" w:type="dxa"/>
                  <w:shd w:val="clear" w:color="auto" w:fill="DBE5F1" w:themeFill="accent1" w:themeFillTint="33"/>
                </w:tcPr>
                <w:p w14:paraId="0F393751" w14:textId="77777777" w:rsidR="009F284E" w:rsidRPr="00214834" w:rsidRDefault="009F284E" w:rsidP="009F284E">
                  <w:pPr>
                    <w:rPr>
                      <w:sz w:val="14"/>
                      <w:szCs w:val="14"/>
                    </w:rPr>
                  </w:pPr>
                </w:p>
              </w:tc>
              <w:tc>
                <w:tcPr>
                  <w:tcW w:w="947" w:type="dxa"/>
                  <w:shd w:val="clear" w:color="auto" w:fill="DBE5F1" w:themeFill="accent1" w:themeFillTint="33"/>
                </w:tcPr>
                <w:p w14:paraId="210BE8E8" w14:textId="77777777" w:rsidR="009F284E" w:rsidRPr="00214834" w:rsidRDefault="009F284E" w:rsidP="009F284E">
                  <w:pPr>
                    <w:rPr>
                      <w:sz w:val="14"/>
                      <w:szCs w:val="14"/>
                    </w:rPr>
                  </w:pPr>
                  <w:r w:rsidRPr="00214834">
                    <w:rPr>
                      <w:sz w:val="14"/>
                      <w:szCs w:val="14"/>
                    </w:rPr>
                    <w:t>2012</w:t>
                  </w:r>
                </w:p>
              </w:tc>
              <w:tc>
                <w:tcPr>
                  <w:tcW w:w="1051" w:type="dxa"/>
                  <w:shd w:val="clear" w:color="auto" w:fill="DBE5F1" w:themeFill="accent1" w:themeFillTint="33"/>
                </w:tcPr>
                <w:p w14:paraId="60F2E063" w14:textId="77777777" w:rsidR="009F284E" w:rsidRPr="00214834" w:rsidRDefault="009F284E" w:rsidP="009F284E">
                  <w:pPr>
                    <w:rPr>
                      <w:sz w:val="14"/>
                      <w:szCs w:val="14"/>
                    </w:rPr>
                  </w:pPr>
                  <w:r w:rsidRPr="00214834">
                    <w:rPr>
                      <w:sz w:val="14"/>
                      <w:szCs w:val="14"/>
                    </w:rPr>
                    <w:t>2013</w:t>
                  </w:r>
                </w:p>
              </w:tc>
              <w:tc>
                <w:tcPr>
                  <w:tcW w:w="921" w:type="dxa"/>
                  <w:shd w:val="clear" w:color="auto" w:fill="DBE5F1" w:themeFill="accent1" w:themeFillTint="33"/>
                </w:tcPr>
                <w:p w14:paraId="60971ED3" w14:textId="77777777" w:rsidR="009F284E" w:rsidRPr="00214834" w:rsidRDefault="009F284E" w:rsidP="009F284E">
                  <w:pPr>
                    <w:rPr>
                      <w:sz w:val="14"/>
                      <w:szCs w:val="14"/>
                    </w:rPr>
                  </w:pPr>
                  <w:r w:rsidRPr="00214834">
                    <w:rPr>
                      <w:sz w:val="14"/>
                      <w:szCs w:val="14"/>
                    </w:rPr>
                    <w:t>2014</w:t>
                  </w:r>
                </w:p>
              </w:tc>
              <w:tc>
                <w:tcPr>
                  <w:tcW w:w="921" w:type="dxa"/>
                  <w:shd w:val="clear" w:color="auto" w:fill="DBE5F1" w:themeFill="accent1" w:themeFillTint="33"/>
                </w:tcPr>
                <w:p w14:paraId="2086798B" w14:textId="77777777" w:rsidR="009F284E" w:rsidRPr="00214834" w:rsidRDefault="00A8602F" w:rsidP="009F284E">
                  <w:pPr>
                    <w:rPr>
                      <w:sz w:val="14"/>
                      <w:szCs w:val="14"/>
                    </w:rPr>
                  </w:pPr>
                  <w:r>
                    <w:rPr>
                      <w:sz w:val="14"/>
                      <w:szCs w:val="14"/>
                    </w:rPr>
                    <w:t>2015</w:t>
                  </w:r>
                </w:p>
              </w:tc>
              <w:tc>
                <w:tcPr>
                  <w:tcW w:w="921" w:type="dxa"/>
                  <w:shd w:val="clear" w:color="auto" w:fill="DBE5F1" w:themeFill="accent1" w:themeFillTint="33"/>
                </w:tcPr>
                <w:p w14:paraId="61F18AC2" w14:textId="77777777" w:rsidR="009F284E" w:rsidRPr="00214834" w:rsidRDefault="00A8602F" w:rsidP="009F284E">
                  <w:pPr>
                    <w:rPr>
                      <w:sz w:val="14"/>
                      <w:szCs w:val="14"/>
                    </w:rPr>
                  </w:pPr>
                  <w:r>
                    <w:rPr>
                      <w:sz w:val="14"/>
                      <w:szCs w:val="14"/>
                    </w:rPr>
                    <w:t>2016E</w:t>
                  </w:r>
                </w:p>
              </w:tc>
              <w:tc>
                <w:tcPr>
                  <w:tcW w:w="921" w:type="dxa"/>
                  <w:shd w:val="clear" w:color="auto" w:fill="DBE5F1" w:themeFill="accent1" w:themeFillTint="33"/>
                </w:tcPr>
                <w:p w14:paraId="0A651656" w14:textId="77777777" w:rsidR="009F284E" w:rsidRPr="00214834" w:rsidRDefault="00A8602F" w:rsidP="009F284E">
                  <w:pPr>
                    <w:rPr>
                      <w:sz w:val="14"/>
                      <w:szCs w:val="14"/>
                    </w:rPr>
                  </w:pPr>
                  <w:r>
                    <w:rPr>
                      <w:sz w:val="14"/>
                      <w:szCs w:val="14"/>
                    </w:rPr>
                    <w:t>2017E</w:t>
                  </w:r>
                </w:p>
              </w:tc>
            </w:tr>
            <w:tr w:rsidR="00A8602F" w:rsidRPr="00214834" w14:paraId="7116FB5E" w14:textId="77777777" w:rsidTr="009F284E">
              <w:tc>
                <w:tcPr>
                  <w:tcW w:w="1557" w:type="dxa"/>
                </w:tcPr>
                <w:p w14:paraId="759BD9C5" w14:textId="77777777" w:rsidR="00A8602F" w:rsidRPr="00214834" w:rsidRDefault="00A8602F" w:rsidP="009F284E">
                  <w:pPr>
                    <w:rPr>
                      <w:sz w:val="14"/>
                      <w:szCs w:val="14"/>
                    </w:rPr>
                  </w:pPr>
                  <w:r w:rsidRPr="00214834">
                    <w:rPr>
                      <w:sz w:val="14"/>
                      <w:szCs w:val="14"/>
                    </w:rPr>
                    <w:t xml:space="preserve">Revenue </w:t>
                  </w:r>
                </w:p>
              </w:tc>
              <w:tc>
                <w:tcPr>
                  <w:tcW w:w="947" w:type="dxa"/>
                  <w:vAlign w:val="bottom"/>
                </w:tcPr>
                <w:p w14:paraId="76FE50E0" w14:textId="77777777" w:rsidR="00A8602F" w:rsidRPr="00E35436" w:rsidRDefault="00A8602F" w:rsidP="009F284E">
                  <w:pPr>
                    <w:jc w:val="right"/>
                    <w:rPr>
                      <w:sz w:val="14"/>
                      <w:szCs w:val="14"/>
                    </w:rPr>
                  </w:pPr>
                  <w:r>
                    <w:rPr>
                      <w:sz w:val="14"/>
                      <w:szCs w:val="14"/>
                    </w:rPr>
                    <w:t>3,209.80</w:t>
                  </w:r>
                </w:p>
              </w:tc>
              <w:tc>
                <w:tcPr>
                  <w:tcW w:w="1051" w:type="dxa"/>
                  <w:vAlign w:val="bottom"/>
                </w:tcPr>
                <w:p w14:paraId="15719A63" w14:textId="77777777" w:rsidR="00A8602F" w:rsidRPr="00E35436" w:rsidRDefault="00A8602F" w:rsidP="009F284E">
                  <w:pPr>
                    <w:jc w:val="right"/>
                    <w:rPr>
                      <w:sz w:val="14"/>
                      <w:szCs w:val="14"/>
                    </w:rPr>
                  </w:pPr>
                  <w:r>
                    <w:rPr>
                      <w:sz w:val="14"/>
                      <w:szCs w:val="14"/>
                    </w:rPr>
                    <w:t>3</w:t>
                  </w:r>
                  <w:r w:rsidR="00BE7D67">
                    <w:rPr>
                      <w:sz w:val="14"/>
                      <w:szCs w:val="14"/>
                    </w:rPr>
                    <w:t>,</w:t>
                  </w:r>
                  <w:r>
                    <w:rPr>
                      <w:sz w:val="14"/>
                      <w:szCs w:val="14"/>
                    </w:rPr>
                    <w:t>777.1</w:t>
                  </w:r>
                </w:p>
              </w:tc>
              <w:tc>
                <w:tcPr>
                  <w:tcW w:w="921" w:type="dxa"/>
                  <w:vAlign w:val="bottom"/>
                </w:tcPr>
                <w:p w14:paraId="423C88EE" w14:textId="77777777" w:rsidR="00A8602F" w:rsidRPr="00E35436" w:rsidRDefault="00A8602F" w:rsidP="009F284E">
                  <w:pPr>
                    <w:jc w:val="right"/>
                    <w:rPr>
                      <w:sz w:val="14"/>
                      <w:szCs w:val="14"/>
                    </w:rPr>
                  </w:pPr>
                  <w:r>
                    <w:rPr>
                      <w:sz w:val="14"/>
                      <w:szCs w:val="14"/>
                    </w:rPr>
                    <w:t>4</w:t>
                  </w:r>
                  <w:r w:rsidR="00BE7D67">
                    <w:rPr>
                      <w:sz w:val="14"/>
                      <w:szCs w:val="14"/>
                    </w:rPr>
                    <w:t>,</w:t>
                  </w:r>
                  <w:r>
                    <w:rPr>
                      <w:sz w:val="14"/>
                      <w:szCs w:val="14"/>
                    </w:rPr>
                    <w:t>479.6</w:t>
                  </w:r>
                </w:p>
              </w:tc>
              <w:tc>
                <w:tcPr>
                  <w:tcW w:w="921" w:type="dxa"/>
                  <w:vAlign w:val="bottom"/>
                </w:tcPr>
                <w:p w14:paraId="275DD872" w14:textId="77777777" w:rsidR="00A8602F" w:rsidRPr="00E35436" w:rsidRDefault="00BE7D67" w:rsidP="009F284E">
                  <w:pPr>
                    <w:jc w:val="right"/>
                    <w:rPr>
                      <w:sz w:val="14"/>
                      <w:szCs w:val="14"/>
                    </w:rPr>
                  </w:pPr>
                  <w:r>
                    <w:rPr>
                      <w:sz w:val="14"/>
                      <w:szCs w:val="14"/>
                    </w:rPr>
                    <w:t>4,719.3</w:t>
                  </w:r>
                </w:p>
              </w:tc>
              <w:tc>
                <w:tcPr>
                  <w:tcW w:w="921" w:type="dxa"/>
                  <w:vAlign w:val="bottom"/>
                </w:tcPr>
                <w:p w14:paraId="564559EA" w14:textId="77777777" w:rsidR="00A8602F" w:rsidRPr="00BE7D67" w:rsidRDefault="00A8602F">
                  <w:pPr>
                    <w:jc w:val="right"/>
                    <w:rPr>
                      <w:rFonts w:eastAsia="Times New Roman" w:cs="Arial"/>
                      <w:color w:val="000000"/>
                      <w:sz w:val="14"/>
                      <w:szCs w:val="14"/>
                    </w:rPr>
                  </w:pPr>
                  <w:r w:rsidRPr="00BE7D67">
                    <w:rPr>
                      <w:rFonts w:eastAsia="Times New Roman" w:cs="Arial"/>
                      <w:color w:val="000000"/>
                      <w:sz w:val="14"/>
                      <w:szCs w:val="14"/>
                    </w:rPr>
                    <w:t>4,761.7</w:t>
                  </w:r>
                </w:p>
              </w:tc>
              <w:tc>
                <w:tcPr>
                  <w:tcW w:w="921" w:type="dxa"/>
                  <w:vAlign w:val="bottom"/>
                </w:tcPr>
                <w:p w14:paraId="3D97514E" w14:textId="77777777" w:rsidR="00A8602F" w:rsidRPr="00BE7D67" w:rsidRDefault="00A8602F">
                  <w:pPr>
                    <w:jc w:val="right"/>
                    <w:rPr>
                      <w:rFonts w:eastAsia="Times New Roman" w:cs="Arial"/>
                      <w:color w:val="000000"/>
                      <w:sz w:val="14"/>
                      <w:szCs w:val="14"/>
                    </w:rPr>
                  </w:pPr>
                  <w:r w:rsidRPr="00BE7D67">
                    <w:rPr>
                      <w:rFonts w:eastAsia="Times New Roman" w:cs="Arial"/>
                      <w:color w:val="000000"/>
                      <w:sz w:val="14"/>
                      <w:szCs w:val="14"/>
                    </w:rPr>
                    <w:t>4,949.3</w:t>
                  </w:r>
                </w:p>
              </w:tc>
            </w:tr>
            <w:tr w:rsidR="00A8602F" w:rsidRPr="00214834" w14:paraId="19A329E9" w14:textId="77777777" w:rsidTr="009F284E">
              <w:tc>
                <w:tcPr>
                  <w:tcW w:w="1557" w:type="dxa"/>
                </w:tcPr>
                <w:p w14:paraId="19B643C8" w14:textId="77777777" w:rsidR="00A8602F" w:rsidRPr="00214834" w:rsidRDefault="00A8602F" w:rsidP="009F284E">
                  <w:pPr>
                    <w:rPr>
                      <w:sz w:val="14"/>
                      <w:szCs w:val="14"/>
                    </w:rPr>
                  </w:pPr>
                  <w:r w:rsidRPr="00214834">
                    <w:rPr>
                      <w:sz w:val="14"/>
                      <w:szCs w:val="14"/>
                    </w:rPr>
                    <w:t>Operating Profit</w:t>
                  </w:r>
                </w:p>
              </w:tc>
              <w:tc>
                <w:tcPr>
                  <w:tcW w:w="947" w:type="dxa"/>
                  <w:vAlign w:val="bottom"/>
                </w:tcPr>
                <w:p w14:paraId="0053023D" w14:textId="77777777" w:rsidR="00A8602F" w:rsidRPr="00E35436" w:rsidRDefault="00A8602F" w:rsidP="00A8602F">
                  <w:pPr>
                    <w:jc w:val="right"/>
                    <w:rPr>
                      <w:sz w:val="14"/>
                      <w:szCs w:val="14"/>
                    </w:rPr>
                  </w:pPr>
                  <w:r>
                    <w:rPr>
                      <w:sz w:val="14"/>
                      <w:szCs w:val="14"/>
                    </w:rPr>
                    <w:t>478.4</w:t>
                  </w:r>
                </w:p>
              </w:tc>
              <w:tc>
                <w:tcPr>
                  <w:tcW w:w="1051" w:type="dxa"/>
                  <w:vAlign w:val="bottom"/>
                </w:tcPr>
                <w:p w14:paraId="0B898294" w14:textId="77777777" w:rsidR="00A8602F" w:rsidRPr="00E35436" w:rsidRDefault="00BE7D67" w:rsidP="009F284E">
                  <w:pPr>
                    <w:jc w:val="right"/>
                    <w:rPr>
                      <w:sz w:val="14"/>
                      <w:szCs w:val="14"/>
                    </w:rPr>
                  </w:pPr>
                  <w:r>
                    <w:rPr>
                      <w:sz w:val="14"/>
                      <w:szCs w:val="14"/>
                    </w:rPr>
                    <w:t>577.9</w:t>
                  </w:r>
                </w:p>
              </w:tc>
              <w:tc>
                <w:tcPr>
                  <w:tcW w:w="921" w:type="dxa"/>
                  <w:vAlign w:val="bottom"/>
                </w:tcPr>
                <w:p w14:paraId="356325E2" w14:textId="77777777" w:rsidR="00A8602F" w:rsidRPr="00E35436" w:rsidRDefault="00BE7D67" w:rsidP="009F284E">
                  <w:pPr>
                    <w:jc w:val="right"/>
                    <w:rPr>
                      <w:sz w:val="14"/>
                      <w:szCs w:val="14"/>
                    </w:rPr>
                  </w:pPr>
                  <w:r>
                    <w:rPr>
                      <w:sz w:val="14"/>
                      <w:szCs w:val="14"/>
                    </w:rPr>
                    <w:t>714.7</w:t>
                  </w:r>
                </w:p>
              </w:tc>
              <w:tc>
                <w:tcPr>
                  <w:tcW w:w="921" w:type="dxa"/>
                  <w:vAlign w:val="bottom"/>
                </w:tcPr>
                <w:p w14:paraId="37B12735" w14:textId="77777777" w:rsidR="00A8602F" w:rsidRPr="00E35436" w:rsidRDefault="00BE7D67" w:rsidP="009F284E">
                  <w:pPr>
                    <w:jc w:val="right"/>
                    <w:rPr>
                      <w:sz w:val="14"/>
                      <w:szCs w:val="14"/>
                    </w:rPr>
                  </w:pPr>
                  <w:r>
                    <w:rPr>
                      <w:sz w:val="14"/>
                      <w:szCs w:val="14"/>
                    </w:rPr>
                    <w:t>716.1</w:t>
                  </w:r>
                </w:p>
              </w:tc>
              <w:tc>
                <w:tcPr>
                  <w:tcW w:w="921" w:type="dxa"/>
                  <w:vAlign w:val="bottom"/>
                </w:tcPr>
                <w:p w14:paraId="2239FE30" w14:textId="77777777" w:rsidR="00A8602F" w:rsidRPr="00BE7D67" w:rsidRDefault="00A8602F">
                  <w:pPr>
                    <w:jc w:val="right"/>
                    <w:rPr>
                      <w:rFonts w:eastAsia="Times New Roman" w:cs="Arial"/>
                      <w:color w:val="000000"/>
                      <w:sz w:val="14"/>
                      <w:szCs w:val="14"/>
                    </w:rPr>
                  </w:pPr>
                  <w:r w:rsidRPr="00BE7D67">
                    <w:rPr>
                      <w:rFonts w:eastAsia="Times New Roman" w:cs="Arial"/>
                      <w:color w:val="000000"/>
                      <w:sz w:val="14"/>
                      <w:szCs w:val="14"/>
                    </w:rPr>
                    <w:t>656.1</w:t>
                  </w:r>
                </w:p>
              </w:tc>
              <w:tc>
                <w:tcPr>
                  <w:tcW w:w="921" w:type="dxa"/>
                  <w:vAlign w:val="bottom"/>
                </w:tcPr>
                <w:p w14:paraId="25D93A6D" w14:textId="77777777" w:rsidR="00A8602F" w:rsidRPr="00BE7D67" w:rsidRDefault="00A8602F">
                  <w:pPr>
                    <w:jc w:val="right"/>
                    <w:rPr>
                      <w:rFonts w:eastAsia="Times New Roman" w:cs="Arial"/>
                      <w:color w:val="000000"/>
                      <w:sz w:val="14"/>
                      <w:szCs w:val="14"/>
                    </w:rPr>
                  </w:pPr>
                  <w:r w:rsidRPr="00BE7D67">
                    <w:rPr>
                      <w:rFonts w:eastAsia="Times New Roman" w:cs="Arial"/>
                      <w:color w:val="000000"/>
                      <w:sz w:val="14"/>
                      <w:szCs w:val="14"/>
                    </w:rPr>
                    <w:t>717.9</w:t>
                  </w:r>
                </w:p>
              </w:tc>
            </w:tr>
            <w:tr w:rsidR="00A8602F" w:rsidRPr="00214834" w14:paraId="3E5E07A4" w14:textId="77777777" w:rsidTr="009F284E">
              <w:tc>
                <w:tcPr>
                  <w:tcW w:w="1557" w:type="dxa"/>
                </w:tcPr>
                <w:p w14:paraId="238B9FF8" w14:textId="77777777" w:rsidR="00A8602F" w:rsidRPr="00214834" w:rsidRDefault="00A8602F" w:rsidP="009F284E">
                  <w:pPr>
                    <w:rPr>
                      <w:sz w:val="14"/>
                      <w:szCs w:val="14"/>
                    </w:rPr>
                  </w:pPr>
                  <w:r w:rsidRPr="00214834">
                    <w:rPr>
                      <w:sz w:val="14"/>
                      <w:szCs w:val="14"/>
                    </w:rPr>
                    <w:t xml:space="preserve">Net Income </w:t>
                  </w:r>
                </w:p>
              </w:tc>
              <w:tc>
                <w:tcPr>
                  <w:tcW w:w="947" w:type="dxa"/>
                  <w:vAlign w:val="bottom"/>
                </w:tcPr>
                <w:p w14:paraId="3E84BC25" w14:textId="77777777" w:rsidR="00A8602F" w:rsidRPr="00E35436" w:rsidRDefault="00A8602F" w:rsidP="009F284E">
                  <w:pPr>
                    <w:jc w:val="right"/>
                    <w:rPr>
                      <w:sz w:val="14"/>
                      <w:szCs w:val="14"/>
                    </w:rPr>
                  </w:pPr>
                  <w:r>
                    <w:rPr>
                      <w:sz w:val="14"/>
                      <w:szCs w:val="14"/>
                    </w:rPr>
                    <w:t>312.3</w:t>
                  </w:r>
                </w:p>
              </w:tc>
              <w:tc>
                <w:tcPr>
                  <w:tcW w:w="1051" w:type="dxa"/>
                  <w:vAlign w:val="bottom"/>
                </w:tcPr>
                <w:p w14:paraId="0532A31F" w14:textId="77777777" w:rsidR="00A8602F" w:rsidRPr="00E35436" w:rsidRDefault="00BE7D67" w:rsidP="009F284E">
                  <w:pPr>
                    <w:jc w:val="right"/>
                    <w:rPr>
                      <w:sz w:val="14"/>
                      <w:szCs w:val="14"/>
                    </w:rPr>
                  </w:pPr>
                  <w:r>
                    <w:rPr>
                      <w:sz w:val="14"/>
                      <w:szCs w:val="14"/>
                    </w:rPr>
                    <w:t>377.3</w:t>
                  </w:r>
                </w:p>
              </w:tc>
              <w:tc>
                <w:tcPr>
                  <w:tcW w:w="921" w:type="dxa"/>
                  <w:vAlign w:val="bottom"/>
                </w:tcPr>
                <w:p w14:paraId="02A8A146" w14:textId="77777777" w:rsidR="00A8602F" w:rsidRPr="00E35436" w:rsidRDefault="00BE7D67" w:rsidP="009F284E">
                  <w:pPr>
                    <w:jc w:val="right"/>
                    <w:rPr>
                      <w:sz w:val="14"/>
                      <w:szCs w:val="14"/>
                    </w:rPr>
                  </w:pPr>
                  <w:r>
                    <w:rPr>
                      <w:sz w:val="14"/>
                      <w:szCs w:val="14"/>
                    </w:rPr>
                    <w:t>545.0</w:t>
                  </w:r>
                </w:p>
              </w:tc>
              <w:tc>
                <w:tcPr>
                  <w:tcW w:w="921" w:type="dxa"/>
                  <w:vAlign w:val="bottom"/>
                </w:tcPr>
                <w:p w14:paraId="1A3FB913" w14:textId="77777777" w:rsidR="00A8602F" w:rsidRPr="00E35436" w:rsidRDefault="00BE7D67" w:rsidP="009F284E">
                  <w:pPr>
                    <w:jc w:val="right"/>
                    <w:rPr>
                      <w:sz w:val="14"/>
                      <w:szCs w:val="14"/>
                    </w:rPr>
                  </w:pPr>
                  <w:r>
                    <w:rPr>
                      <w:sz w:val="14"/>
                      <w:szCs w:val="14"/>
                    </w:rPr>
                    <w:t>455.4</w:t>
                  </w:r>
                </w:p>
              </w:tc>
              <w:tc>
                <w:tcPr>
                  <w:tcW w:w="921" w:type="dxa"/>
                  <w:vAlign w:val="bottom"/>
                </w:tcPr>
                <w:p w14:paraId="19ABBBB0" w14:textId="77777777" w:rsidR="00A8602F" w:rsidRPr="00BE7D67" w:rsidRDefault="00A8602F">
                  <w:pPr>
                    <w:jc w:val="right"/>
                    <w:rPr>
                      <w:rFonts w:eastAsia="Times New Roman" w:cs="Arial"/>
                      <w:color w:val="000000"/>
                      <w:sz w:val="14"/>
                      <w:szCs w:val="14"/>
                    </w:rPr>
                  </w:pPr>
                  <w:r w:rsidRPr="00BE7D67">
                    <w:rPr>
                      <w:rFonts w:eastAsia="Times New Roman" w:cs="Arial"/>
                      <w:color w:val="000000"/>
                      <w:sz w:val="14"/>
                      <w:szCs w:val="14"/>
                    </w:rPr>
                    <w:t>423.6</w:t>
                  </w:r>
                </w:p>
              </w:tc>
              <w:tc>
                <w:tcPr>
                  <w:tcW w:w="921" w:type="dxa"/>
                  <w:vAlign w:val="bottom"/>
                </w:tcPr>
                <w:p w14:paraId="6C4C18BD" w14:textId="77777777" w:rsidR="00A8602F" w:rsidRPr="00BE7D67" w:rsidRDefault="00A8602F">
                  <w:pPr>
                    <w:jc w:val="right"/>
                    <w:rPr>
                      <w:rFonts w:eastAsia="Times New Roman" w:cs="Arial"/>
                      <w:color w:val="000000"/>
                      <w:sz w:val="14"/>
                      <w:szCs w:val="14"/>
                    </w:rPr>
                  </w:pPr>
                  <w:r w:rsidRPr="00BE7D67">
                    <w:rPr>
                      <w:rFonts w:eastAsia="Times New Roman" w:cs="Arial"/>
                      <w:color w:val="000000"/>
                      <w:sz w:val="14"/>
                      <w:szCs w:val="14"/>
                    </w:rPr>
                    <w:t>459.9</w:t>
                  </w:r>
                </w:p>
              </w:tc>
            </w:tr>
            <w:tr w:rsidR="00A8602F" w:rsidRPr="00214834" w14:paraId="72948391" w14:textId="77777777" w:rsidTr="009F284E">
              <w:tc>
                <w:tcPr>
                  <w:tcW w:w="1557" w:type="dxa"/>
                </w:tcPr>
                <w:p w14:paraId="3857F785" w14:textId="77777777" w:rsidR="00A8602F" w:rsidRPr="00214834" w:rsidRDefault="00A8602F" w:rsidP="009F284E">
                  <w:pPr>
                    <w:rPr>
                      <w:sz w:val="14"/>
                      <w:szCs w:val="14"/>
                    </w:rPr>
                  </w:pPr>
                  <w:r w:rsidRPr="00214834">
                    <w:rPr>
                      <w:sz w:val="14"/>
                      <w:szCs w:val="14"/>
                    </w:rPr>
                    <w:t>Revenue Growth %</w:t>
                  </w:r>
                </w:p>
              </w:tc>
              <w:tc>
                <w:tcPr>
                  <w:tcW w:w="947" w:type="dxa"/>
                  <w:vAlign w:val="bottom"/>
                </w:tcPr>
                <w:p w14:paraId="21BF7419" w14:textId="77777777" w:rsidR="00A8602F" w:rsidRPr="00E35436" w:rsidRDefault="00A8602F" w:rsidP="009F284E">
                  <w:pPr>
                    <w:jc w:val="right"/>
                    <w:rPr>
                      <w:sz w:val="14"/>
                      <w:szCs w:val="14"/>
                    </w:rPr>
                  </w:pPr>
                  <w:r>
                    <w:rPr>
                      <w:sz w:val="14"/>
                      <w:szCs w:val="14"/>
                    </w:rPr>
                    <w:t>20.81</w:t>
                  </w:r>
                </w:p>
              </w:tc>
              <w:tc>
                <w:tcPr>
                  <w:tcW w:w="1051" w:type="dxa"/>
                  <w:vAlign w:val="bottom"/>
                </w:tcPr>
                <w:p w14:paraId="48D5A133" w14:textId="77777777" w:rsidR="00A8602F" w:rsidRPr="00E35436" w:rsidRDefault="00BE7D67" w:rsidP="009F284E">
                  <w:pPr>
                    <w:jc w:val="right"/>
                    <w:rPr>
                      <w:sz w:val="14"/>
                      <w:szCs w:val="14"/>
                    </w:rPr>
                  </w:pPr>
                  <w:r>
                    <w:rPr>
                      <w:sz w:val="14"/>
                      <w:szCs w:val="14"/>
                    </w:rPr>
                    <w:t>17.67</w:t>
                  </w:r>
                </w:p>
              </w:tc>
              <w:tc>
                <w:tcPr>
                  <w:tcW w:w="921" w:type="dxa"/>
                  <w:vAlign w:val="bottom"/>
                </w:tcPr>
                <w:p w14:paraId="4695EB42" w14:textId="77777777" w:rsidR="00A8602F" w:rsidRPr="00E35436" w:rsidRDefault="00BE7D67" w:rsidP="009F284E">
                  <w:pPr>
                    <w:jc w:val="right"/>
                    <w:rPr>
                      <w:sz w:val="14"/>
                      <w:szCs w:val="14"/>
                    </w:rPr>
                  </w:pPr>
                  <w:r>
                    <w:rPr>
                      <w:sz w:val="14"/>
                      <w:szCs w:val="14"/>
                    </w:rPr>
                    <w:t>18.6</w:t>
                  </w:r>
                </w:p>
              </w:tc>
              <w:tc>
                <w:tcPr>
                  <w:tcW w:w="921" w:type="dxa"/>
                  <w:vAlign w:val="bottom"/>
                </w:tcPr>
                <w:p w14:paraId="006F12A1" w14:textId="77777777" w:rsidR="00A8602F" w:rsidRPr="00E35436" w:rsidRDefault="00BE7D67" w:rsidP="009F284E">
                  <w:pPr>
                    <w:jc w:val="right"/>
                    <w:rPr>
                      <w:sz w:val="14"/>
                      <w:szCs w:val="14"/>
                    </w:rPr>
                  </w:pPr>
                  <w:r>
                    <w:rPr>
                      <w:sz w:val="14"/>
                      <w:szCs w:val="14"/>
                    </w:rPr>
                    <w:t>5.35</w:t>
                  </w:r>
                </w:p>
              </w:tc>
              <w:tc>
                <w:tcPr>
                  <w:tcW w:w="921" w:type="dxa"/>
                  <w:vAlign w:val="bottom"/>
                </w:tcPr>
                <w:p w14:paraId="402A6130" w14:textId="77777777" w:rsidR="00A8602F" w:rsidRPr="00BE7D67" w:rsidRDefault="00A8602F">
                  <w:pPr>
                    <w:jc w:val="right"/>
                    <w:rPr>
                      <w:rFonts w:eastAsia="Times New Roman" w:cs="Arial"/>
                      <w:color w:val="000000"/>
                      <w:sz w:val="14"/>
                      <w:szCs w:val="14"/>
                    </w:rPr>
                  </w:pPr>
                  <w:r w:rsidRPr="00BE7D67">
                    <w:rPr>
                      <w:rFonts w:eastAsia="Times New Roman" w:cs="Arial"/>
                      <w:color w:val="000000"/>
                      <w:sz w:val="14"/>
                      <w:szCs w:val="14"/>
                    </w:rPr>
                    <w:t>0.90</w:t>
                  </w:r>
                </w:p>
              </w:tc>
              <w:tc>
                <w:tcPr>
                  <w:tcW w:w="921" w:type="dxa"/>
                  <w:vAlign w:val="bottom"/>
                </w:tcPr>
                <w:p w14:paraId="34DF38D8" w14:textId="77777777" w:rsidR="00A8602F" w:rsidRPr="00BE7D67" w:rsidRDefault="00A8602F">
                  <w:pPr>
                    <w:jc w:val="right"/>
                    <w:rPr>
                      <w:rFonts w:eastAsia="Times New Roman" w:cs="Arial"/>
                      <w:color w:val="000000"/>
                      <w:sz w:val="14"/>
                      <w:szCs w:val="14"/>
                    </w:rPr>
                  </w:pPr>
                  <w:r w:rsidRPr="00BE7D67">
                    <w:rPr>
                      <w:rFonts w:eastAsia="Times New Roman" w:cs="Arial"/>
                      <w:color w:val="000000"/>
                      <w:sz w:val="14"/>
                      <w:szCs w:val="14"/>
                    </w:rPr>
                    <w:t>3.94</w:t>
                  </w:r>
                </w:p>
              </w:tc>
            </w:tr>
            <w:tr w:rsidR="00A8602F" w:rsidRPr="00214834" w14:paraId="73444336" w14:textId="77777777" w:rsidTr="009F284E">
              <w:tc>
                <w:tcPr>
                  <w:tcW w:w="1557" w:type="dxa"/>
                </w:tcPr>
                <w:p w14:paraId="46884E5B" w14:textId="77777777" w:rsidR="00A8602F" w:rsidRPr="00214834" w:rsidRDefault="00A8602F" w:rsidP="009F284E">
                  <w:pPr>
                    <w:rPr>
                      <w:sz w:val="14"/>
                      <w:szCs w:val="14"/>
                    </w:rPr>
                  </w:pPr>
                  <w:r w:rsidRPr="00214834">
                    <w:rPr>
                      <w:sz w:val="14"/>
                      <w:szCs w:val="14"/>
                    </w:rPr>
                    <w:t>EBITDA%</w:t>
                  </w:r>
                </w:p>
              </w:tc>
              <w:tc>
                <w:tcPr>
                  <w:tcW w:w="947" w:type="dxa"/>
                  <w:vAlign w:val="bottom"/>
                </w:tcPr>
                <w:p w14:paraId="7632DC7C" w14:textId="77777777" w:rsidR="00A8602F" w:rsidRPr="00E35436" w:rsidRDefault="00A8602F" w:rsidP="009F284E">
                  <w:pPr>
                    <w:jc w:val="right"/>
                    <w:rPr>
                      <w:sz w:val="14"/>
                      <w:szCs w:val="14"/>
                    </w:rPr>
                  </w:pPr>
                  <w:r>
                    <w:rPr>
                      <w:sz w:val="14"/>
                      <w:szCs w:val="14"/>
                    </w:rPr>
                    <w:t>549.0</w:t>
                  </w:r>
                </w:p>
              </w:tc>
              <w:tc>
                <w:tcPr>
                  <w:tcW w:w="1051" w:type="dxa"/>
                  <w:vAlign w:val="bottom"/>
                </w:tcPr>
                <w:p w14:paraId="184182AD" w14:textId="77777777" w:rsidR="00A8602F" w:rsidRPr="00E35436" w:rsidRDefault="00BE7D67" w:rsidP="009F284E">
                  <w:pPr>
                    <w:jc w:val="right"/>
                    <w:rPr>
                      <w:sz w:val="14"/>
                      <w:szCs w:val="14"/>
                    </w:rPr>
                  </w:pPr>
                  <w:r>
                    <w:rPr>
                      <w:sz w:val="14"/>
                      <w:szCs w:val="14"/>
                    </w:rPr>
                    <w:t>670.0</w:t>
                  </w:r>
                </w:p>
              </w:tc>
              <w:tc>
                <w:tcPr>
                  <w:tcW w:w="921" w:type="dxa"/>
                  <w:vAlign w:val="bottom"/>
                </w:tcPr>
                <w:p w14:paraId="243EE39E" w14:textId="77777777" w:rsidR="00A8602F" w:rsidRPr="00E35436" w:rsidRDefault="00BE7D67" w:rsidP="009F284E">
                  <w:pPr>
                    <w:jc w:val="right"/>
                    <w:rPr>
                      <w:sz w:val="14"/>
                      <w:szCs w:val="14"/>
                    </w:rPr>
                  </w:pPr>
                  <w:r>
                    <w:rPr>
                      <w:sz w:val="14"/>
                      <w:szCs w:val="14"/>
                    </w:rPr>
                    <w:t>842.2</w:t>
                  </w:r>
                </w:p>
              </w:tc>
              <w:tc>
                <w:tcPr>
                  <w:tcW w:w="921" w:type="dxa"/>
                  <w:vAlign w:val="bottom"/>
                </w:tcPr>
                <w:p w14:paraId="1BAEE3CA" w14:textId="77777777" w:rsidR="00A8602F" w:rsidRPr="00E35436" w:rsidRDefault="00BE7D67" w:rsidP="009F284E">
                  <w:pPr>
                    <w:jc w:val="right"/>
                    <w:rPr>
                      <w:sz w:val="14"/>
                      <w:szCs w:val="14"/>
                    </w:rPr>
                  </w:pPr>
                  <w:r>
                    <w:rPr>
                      <w:sz w:val="14"/>
                      <w:szCs w:val="14"/>
                    </w:rPr>
                    <w:t>868.3</w:t>
                  </w:r>
                </w:p>
              </w:tc>
              <w:tc>
                <w:tcPr>
                  <w:tcW w:w="921" w:type="dxa"/>
                  <w:vAlign w:val="bottom"/>
                </w:tcPr>
                <w:p w14:paraId="1F65897D" w14:textId="77777777" w:rsidR="00A8602F" w:rsidRPr="00BE7D67" w:rsidRDefault="00A8602F">
                  <w:pPr>
                    <w:jc w:val="right"/>
                    <w:rPr>
                      <w:rFonts w:eastAsia="Times New Roman" w:cs="Arial"/>
                      <w:color w:val="000000"/>
                      <w:sz w:val="14"/>
                      <w:szCs w:val="14"/>
                    </w:rPr>
                  </w:pPr>
                  <w:r w:rsidRPr="00BE7D67">
                    <w:rPr>
                      <w:rFonts w:eastAsia="Times New Roman" w:cs="Arial"/>
                      <w:color w:val="000000"/>
                      <w:sz w:val="14"/>
                      <w:szCs w:val="14"/>
                    </w:rPr>
                    <w:t>830.7</w:t>
                  </w:r>
                </w:p>
              </w:tc>
              <w:tc>
                <w:tcPr>
                  <w:tcW w:w="921" w:type="dxa"/>
                  <w:vAlign w:val="bottom"/>
                </w:tcPr>
                <w:p w14:paraId="1558305E" w14:textId="77777777" w:rsidR="00A8602F" w:rsidRPr="00BE7D67" w:rsidRDefault="00A8602F">
                  <w:pPr>
                    <w:jc w:val="right"/>
                    <w:rPr>
                      <w:rFonts w:eastAsia="Times New Roman" w:cs="Arial"/>
                      <w:color w:val="000000"/>
                      <w:sz w:val="14"/>
                      <w:szCs w:val="14"/>
                    </w:rPr>
                  </w:pPr>
                  <w:r w:rsidRPr="00BE7D67">
                    <w:rPr>
                      <w:rFonts w:eastAsia="Times New Roman" w:cs="Arial"/>
                      <w:color w:val="000000"/>
                      <w:sz w:val="14"/>
                      <w:szCs w:val="14"/>
                    </w:rPr>
                    <w:t>891.5</w:t>
                  </w:r>
                </w:p>
              </w:tc>
            </w:tr>
            <w:tr w:rsidR="00A8602F" w:rsidRPr="00214834" w14:paraId="17101739" w14:textId="77777777" w:rsidTr="009F284E">
              <w:tc>
                <w:tcPr>
                  <w:tcW w:w="1557" w:type="dxa"/>
                </w:tcPr>
                <w:p w14:paraId="1CD3703F" w14:textId="77777777" w:rsidR="00A8602F" w:rsidRPr="00214834" w:rsidRDefault="00A8602F" w:rsidP="009F284E">
                  <w:pPr>
                    <w:rPr>
                      <w:sz w:val="14"/>
                      <w:szCs w:val="14"/>
                    </w:rPr>
                  </w:pPr>
                  <w:r w:rsidRPr="00214834">
                    <w:rPr>
                      <w:sz w:val="14"/>
                      <w:szCs w:val="14"/>
                    </w:rPr>
                    <w:t>Operating Profit %</w:t>
                  </w:r>
                </w:p>
              </w:tc>
              <w:tc>
                <w:tcPr>
                  <w:tcW w:w="947" w:type="dxa"/>
                  <w:vAlign w:val="bottom"/>
                </w:tcPr>
                <w:p w14:paraId="7685DDA7" w14:textId="77777777" w:rsidR="00A8602F" w:rsidRPr="00E35436" w:rsidRDefault="00A8602F" w:rsidP="009F284E">
                  <w:pPr>
                    <w:jc w:val="right"/>
                    <w:rPr>
                      <w:sz w:val="14"/>
                      <w:szCs w:val="14"/>
                    </w:rPr>
                  </w:pPr>
                  <w:r>
                    <w:rPr>
                      <w:sz w:val="14"/>
                      <w:szCs w:val="14"/>
                    </w:rPr>
                    <w:t>14.91</w:t>
                  </w:r>
                </w:p>
              </w:tc>
              <w:tc>
                <w:tcPr>
                  <w:tcW w:w="1051" w:type="dxa"/>
                  <w:vAlign w:val="bottom"/>
                </w:tcPr>
                <w:p w14:paraId="0895356D" w14:textId="77777777" w:rsidR="00A8602F" w:rsidRPr="00E35436" w:rsidRDefault="00BE7D67" w:rsidP="009F284E">
                  <w:pPr>
                    <w:jc w:val="right"/>
                    <w:rPr>
                      <w:sz w:val="14"/>
                      <w:szCs w:val="14"/>
                    </w:rPr>
                  </w:pPr>
                  <w:r>
                    <w:rPr>
                      <w:sz w:val="14"/>
                      <w:szCs w:val="14"/>
                    </w:rPr>
                    <w:t>15.3</w:t>
                  </w:r>
                </w:p>
              </w:tc>
              <w:tc>
                <w:tcPr>
                  <w:tcW w:w="921" w:type="dxa"/>
                  <w:vAlign w:val="bottom"/>
                </w:tcPr>
                <w:p w14:paraId="5F2F3D7C" w14:textId="77777777" w:rsidR="00A8602F" w:rsidRPr="00E35436" w:rsidRDefault="00BE7D67" w:rsidP="009F284E">
                  <w:pPr>
                    <w:jc w:val="right"/>
                    <w:rPr>
                      <w:sz w:val="14"/>
                      <w:szCs w:val="14"/>
                    </w:rPr>
                  </w:pPr>
                  <w:r>
                    <w:rPr>
                      <w:sz w:val="14"/>
                      <w:szCs w:val="14"/>
                    </w:rPr>
                    <w:t>15.95</w:t>
                  </w:r>
                </w:p>
              </w:tc>
              <w:tc>
                <w:tcPr>
                  <w:tcW w:w="921" w:type="dxa"/>
                  <w:vAlign w:val="bottom"/>
                </w:tcPr>
                <w:p w14:paraId="3256A24D" w14:textId="77777777" w:rsidR="00A8602F" w:rsidRPr="00E35436" w:rsidRDefault="00BE7D67" w:rsidP="009F284E">
                  <w:pPr>
                    <w:jc w:val="right"/>
                    <w:rPr>
                      <w:sz w:val="14"/>
                      <w:szCs w:val="14"/>
                    </w:rPr>
                  </w:pPr>
                  <w:r>
                    <w:rPr>
                      <w:sz w:val="14"/>
                      <w:szCs w:val="14"/>
                    </w:rPr>
                    <w:t>15.17</w:t>
                  </w:r>
                </w:p>
              </w:tc>
              <w:tc>
                <w:tcPr>
                  <w:tcW w:w="921" w:type="dxa"/>
                  <w:vAlign w:val="bottom"/>
                </w:tcPr>
                <w:p w14:paraId="409D3F29" w14:textId="77777777" w:rsidR="00A8602F" w:rsidRPr="00BE7D67" w:rsidRDefault="00A8602F">
                  <w:pPr>
                    <w:jc w:val="right"/>
                    <w:rPr>
                      <w:rFonts w:eastAsia="Times New Roman" w:cs="Arial"/>
                      <w:color w:val="000000"/>
                      <w:sz w:val="14"/>
                      <w:szCs w:val="14"/>
                    </w:rPr>
                  </w:pPr>
                  <w:r w:rsidRPr="00BE7D67">
                    <w:rPr>
                      <w:rFonts w:eastAsia="Times New Roman" w:cs="Arial"/>
                      <w:color w:val="000000"/>
                      <w:sz w:val="14"/>
                      <w:szCs w:val="14"/>
                    </w:rPr>
                    <w:t>13.78</w:t>
                  </w:r>
                </w:p>
              </w:tc>
              <w:tc>
                <w:tcPr>
                  <w:tcW w:w="921" w:type="dxa"/>
                  <w:vAlign w:val="bottom"/>
                </w:tcPr>
                <w:p w14:paraId="6B8CE3E7" w14:textId="77777777" w:rsidR="00A8602F" w:rsidRPr="00BE7D67" w:rsidRDefault="00A8602F">
                  <w:pPr>
                    <w:jc w:val="right"/>
                    <w:rPr>
                      <w:rFonts w:eastAsia="Times New Roman" w:cs="Arial"/>
                      <w:color w:val="000000"/>
                      <w:sz w:val="14"/>
                      <w:szCs w:val="14"/>
                    </w:rPr>
                  </w:pPr>
                  <w:r w:rsidRPr="00BE7D67">
                    <w:rPr>
                      <w:rFonts w:eastAsia="Times New Roman" w:cs="Arial"/>
                      <w:color w:val="000000"/>
                      <w:sz w:val="14"/>
                      <w:szCs w:val="14"/>
                    </w:rPr>
                    <w:t>14.51</w:t>
                  </w:r>
                </w:p>
              </w:tc>
            </w:tr>
            <w:tr w:rsidR="00A8602F" w:rsidRPr="00214834" w14:paraId="770F4D73" w14:textId="77777777" w:rsidTr="009F284E">
              <w:tc>
                <w:tcPr>
                  <w:tcW w:w="1557" w:type="dxa"/>
                </w:tcPr>
                <w:p w14:paraId="5F579463" w14:textId="77777777" w:rsidR="00A8602F" w:rsidRPr="00214834" w:rsidRDefault="00A8602F" w:rsidP="009F284E">
                  <w:pPr>
                    <w:rPr>
                      <w:sz w:val="14"/>
                      <w:szCs w:val="14"/>
                    </w:rPr>
                  </w:pPr>
                  <w:r w:rsidRPr="00214834">
                    <w:rPr>
                      <w:sz w:val="14"/>
                      <w:szCs w:val="14"/>
                    </w:rPr>
                    <w:t>Net Income Margin</w:t>
                  </w:r>
                </w:p>
              </w:tc>
              <w:tc>
                <w:tcPr>
                  <w:tcW w:w="947" w:type="dxa"/>
                  <w:vAlign w:val="bottom"/>
                </w:tcPr>
                <w:p w14:paraId="3DE47A06" w14:textId="77777777" w:rsidR="00A8602F" w:rsidRPr="00E35436" w:rsidRDefault="00A8602F" w:rsidP="009F284E">
                  <w:pPr>
                    <w:jc w:val="right"/>
                    <w:rPr>
                      <w:sz w:val="14"/>
                      <w:szCs w:val="14"/>
                    </w:rPr>
                  </w:pPr>
                  <w:r>
                    <w:rPr>
                      <w:sz w:val="14"/>
                      <w:szCs w:val="14"/>
                    </w:rPr>
                    <w:t>9.73</w:t>
                  </w:r>
                </w:p>
              </w:tc>
              <w:tc>
                <w:tcPr>
                  <w:tcW w:w="1051" w:type="dxa"/>
                  <w:vAlign w:val="bottom"/>
                </w:tcPr>
                <w:p w14:paraId="012A0CC7" w14:textId="77777777" w:rsidR="00A8602F" w:rsidRPr="00E35436" w:rsidRDefault="00BE7D67" w:rsidP="009F284E">
                  <w:pPr>
                    <w:jc w:val="right"/>
                    <w:rPr>
                      <w:sz w:val="14"/>
                      <w:szCs w:val="14"/>
                    </w:rPr>
                  </w:pPr>
                  <w:r>
                    <w:rPr>
                      <w:sz w:val="14"/>
                      <w:szCs w:val="14"/>
                    </w:rPr>
                    <w:t>9.99</w:t>
                  </w:r>
                </w:p>
              </w:tc>
              <w:tc>
                <w:tcPr>
                  <w:tcW w:w="921" w:type="dxa"/>
                  <w:vAlign w:val="bottom"/>
                </w:tcPr>
                <w:p w14:paraId="4538E48B" w14:textId="77777777" w:rsidR="00A8602F" w:rsidRPr="00E35436" w:rsidRDefault="00BE7D67" w:rsidP="009F284E">
                  <w:pPr>
                    <w:jc w:val="right"/>
                    <w:rPr>
                      <w:sz w:val="14"/>
                      <w:szCs w:val="14"/>
                    </w:rPr>
                  </w:pPr>
                  <w:r>
                    <w:rPr>
                      <w:sz w:val="14"/>
                      <w:szCs w:val="14"/>
                    </w:rPr>
                    <w:t>10.14</w:t>
                  </w:r>
                </w:p>
              </w:tc>
              <w:tc>
                <w:tcPr>
                  <w:tcW w:w="921" w:type="dxa"/>
                  <w:vAlign w:val="bottom"/>
                </w:tcPr>
                <w:p w14:paraId="32A46F75" w14:textId="77777777" w:rsidR="00A8602F" w:rsidRPr="00E35436" w:rsidRDefault="00BE7D67" w:rsidP="009F284E">
                  <w:pPr>
                    <w:jc w:val="right"/>
                    <w:rPr>
                      <w:sz w:val="14"/>
                      <w:szCs w:val="14"/>
                    </w:rPr>
                  </w:pPr>
                  <w:r>
                    <w:rPr>
                      <w:sz w:val="14"/>
                      <w:szCs w:val="14"/>
                    </w:rPr>
                    <w:t>9.65</w:t>
                  </w:r>
                </w:p>
              </w:tc>
              <w:tc>
                <w:tcPr>
                  <w:tcW w:w="921" w:type="dxa"/>
                  <w:vAlign w:val="bottom"/>
                </w:tcPr>
                <w:p w14:paraId="69549AF7" w14:textId="77777777" w:rsidR="00A8602F" w:rsidRPr="00BE7D67" w:rsidRDefault="00A8602F">
                  <w:pPr>
                    <w:jc w:val="right"/>
                    <w:rPr>
                      <w:rFonts w:eastAsia="Times New Roman" w:cs="Arial"/>
                      <w:color w:val="000000"/>
                      <w:sz w:val="14"/>
                      <w:szCs w:val="14"/>
                    </w:rPr>
                  </w:pPr>
                  <w:r w:rsidRPr="00BE7D67">
                    <w:rPr>
                      <w:rFonts w:eastAsia="Times New Roman" w:cs="Arial"/>
                      <w:color w:val="000000"/>
                      <w:sz w:val="14"/>
                      <w:szCs w:val="14"/>
                    </w:rPr>
                    <w:t>8.95</w:t>
                  </w:r>
                </w:p>
              </w:tc>
              <w:tc>
                <w:tcPr>
                  <w:tcW w:w="921" w:type="dxa"/>
                  <w:vAlign w:val="bottom"/>
                </w:tcPr>
                <w:p w14:paraId="6DC9F029" w14:textId="77777777" w:rsidR="00A8602F" w:rsidRPr="00BE7D67" w:rsidRDefault="00A8602F">
                  <w:pPr>
                    <w:jc w:val="right"/>
                    <w:rPr>
                      <w:rFonts w:eastAsia="Times New Roman" w:cs="Arial"/>
                      <w:color w:val="000000"/>
                      <w:sz w:val="14"/>
                      <w:szCs w:val="14"/>
                    </w:rPr>
                  </w:pPr>
                  <w:r w:rsidRPr="00BE7D67">
                    <w:rPr>
                      <w:rFonts w:eastAsia="Times New Roman" w:cs="Arial"/>
                      <w:color w:val="000000"/>
                      <w:sz w:val="14"/>
                      <w:szCs w:val="14"/>
                    </w:rPr>
                    <w:t>9.46</w:t>
                  </w:r>
                </w:p>
              </w:tc>
            </w:tr>
            <w:tr w:rsidR="00A8602F" w:rsidRPr="00214834" w14:paraId="6C4E3ED8" w14:textId="77777777" w:rsidTr="009F284E">
              <w:tc>
                <w:tcPr>
                  <w:tcW w:w="1557" w:type="dxa"/>
                </w:tcPr>
                <w:p w14:paraId="211B3F06" w14:textId="77777777" w:rsidR="00A8602F" w:rsidRPr="00214834" w:rsidRDefault="00A8602F" w:rsidP="009F284E">
                  <w:pPr>
                    <w:rPr>
                      <w:sz w:val="14"/>
                      <w:szCs w:val="14"/>
                    </w:rPr>
                  </w:pPr>
                  <w:r w:rsidRPr="00214834">
                    <w:rPr>
                      <w:sz w:val="14"/>
                      <w:szCs w:val="14"/>
                    </w:rPr>
                    <w:t>D/E</w:t>
                  </w:r>
                </w:p>
              </w:tc>
              <w:tc>
                <w:tcPr>
                  <w:tcW w:w="947" w:type="dxa"/>
                  <w:vAlign w:val="bottom"/>
                </w:tcPr>
                <w:p w14:paraId="2D4D819A" w14:textId="77777777" w:rsidR="00A8602F" w:rsidRPr="00E35436" w:rsidRDefault="00A8602F" w:rsidP="009F284E">
                  <w:pPr>
                    <w:jc w:val="right"/>
                    <w:rPr>
                      <w:sz w:val="14"/>
                      <w:szCs w:val="14"/>
                    </w:rPr>
                  </w:pPr>
                  <w:r>
                    <w:rPr>
                      <w:sz w:val="14"/>
                      <w:szCs w:val="14"/>
                    </w:rPr>
                    <w:t>15.52</w:t>
                  </w:r>
                </w:p>
              </w:tc>
              <w:tc>
                <w:tcPr>
                  <w:tcW w:w="1051" w:type="dxa"/>
                  <w:vAlign w:val="bottom"/>
                </w:tcPr>
                <w:p w14:paraId="1171C22C" w14:textId="77777777" w:rsidR="00A8602F" w:rsidRPr="00E35436" w:rsidRDefault="00BE7D67" w:rsidP="009F284E">
                  <w:pPr>
                    <w:jc w:val="right"/>
                    <w:rPr>
                      <w:sz w:val="14"/>
                      <w:szCs w:val="14"/>
                    </w:rPr>
                  </w:pPr>
                  <w:r>
                    <w:rPr>
                      <w:sz w:val="14"/>
                      <w:szCs w:val="14"/>
                    </w:rPr>
                    <w:t>52.87</w:t>
                  </w:r>
                </w:p>
              </w:tc>
              <w:tc>
                <w:tcPr>
                  <w:tcW w:w="921" w:type="dxa"/>
                  <w:vAlign w:val="bottom"/>
                </w:tcPr>
                <w:p w14:paraId="5432C190" w14:textId="77777777" w:rsidR="00A8602F" w:rsidRPr="00E35436" w:rsidRDefault="00BE7D67" w:rsidP="009F284E">
                  <w:pPr>
                    <w:jc w:val="right"/>
                    <w:rPr>
                      <w:sz w:val="14"/>
                      <w:szCs w:val="14"/>
                    </w:rPr>
                  </w:pPr>
                  <w:r>
                    <w:rPr>
                      <w:sz w:val="14"/>
                      <w:szCs w:val="14"/>
                    </w:rPr>
                    <w:t>25.85</w:t>
                  </w:r>
                </w:p>
              </w:tc>
              <w:tc>
                <w:tcPr>
                  <w:tcW w:w="921" w:type="dxa"/>
                  <w:vAlign w:val="bottom"/>
                </w:tcPr>
                <w:p w14:paraId="3A389844" w14:textId="77777777" w:rsidR="00A8602F" w:rsidRPr="00E35436" w:rsidRDefault="00BE7D67" w:rsidP="009F284E">
                  <w:pPr>
                    <w:jc w:val="right"/>
                    <w:rPr>
                      <w:sz w:val="14"/>
                      <w:szCs w:val="14"/>
                    </w:rPr>
                  </w:pPr>
                  <w:r>
                    <w:rPr>
                      <w:sz w:val="14"/>
                      <w:szCs w:val="14"/>
                    </w:rPr>
                    <w:t>46.74</w:t>
                  </w:r>
                </w:p>
              </w:tc>
              <w:tc>
                <w:tcPr>
                  <w:tcW w:w="921" w:type="dxa"/>
                  <w:vAlign w:val="bottom"/>
                </w:tcPr>
                <w:p w14:paraId="28363236" w14:textId="77777777" w:rsidR="00A8602F" w:rsidRPr="00BE7D67" w:rsidRDefault="00A8602F">
                  <w:pPr>
                    <w:jc w:val="right"/>
                    <w:rPr>
                      <w:rFonts w:eastAsia="Times New Roman" w:cs="Arial"/>
                      <w:color w:val="000000"/>
                      <w:sz w:val="14"/>
                      <w:szCs w:val="14"/>
                    </w:rPr>
                  </w:pPr>
                  <w:r w:rsidRPr="00BE7D67">
                    <w:rPr>
                      <w:rFonts w:eastAsia="Times New Roman" w:cs="Arial"/>
                      <w:color w:val="000000"/>
                      <w:sz w:val="14"/>
                      <w:szCs w:val="14"/>
                    </w:rPr>
                    <w:t> </w:t>
                  </w:r>
                </w:p>
              </w:tc>
              <w:tc>
                <w:tcPr>
                  <w:tcW w:w="921" w:type="dxa"/>
                  <w:vAlign w:val="bottom"/>
                </w:tcPr>
                <w:p w14:paraId="4230FC5C" w14:textId="77777777" w:rsidR="00A8602F" w:rsidRPr="00BE7D67" w:rsidRDefault="00A8602F">
                  <w:pPr>
                    <w:jc w:val="right"/>
                    <w:rPr>
                      <w:rFonts w:eastAsia="Times New Roman" w:cs="Arial"/>
                      <w:color w:val="000000"/>
                      <w:sz w:val="14"/>
                      <w:szCs w:val="14"/>
                    </w:rPr>
                  </w:pPr>
                  <w:r w:rsidRPr="00BE7D67">
                    <w:rPr>
                      <w:rFonts w:eastAsia="Times New Roman" w:cs="Arial"/>
                      <w:color w:val="000000"/>
                      <w:sz w:val="14"/>
                      <w:szCs w:val="14"/>
                    </w:rPr>
                    <w:t> </w:t>
                  </w:r>
                </w:p>
              </w:tc>
            </w:tr>
            <w:tr w:rsidR="00A8602F" w:rsidRPr="00214834" w14:paraId="50063BD1" w14:textId="77777777" w:rsidTr="009F284E">
              <w:tc>
                <w:tcPr>
                  <w:tcW w:w="1557" w:type="dxa"/>
                </w:tcPr>
                <w:p w14:paraId="10CDD41D" w14:textId="77777777" w:rsidR="00A8602F" w:rsidRPr="00214834" w:rsidRDefault="00A8602F" w:rsidP="009F284E">
                  <w:pPr>
                    <w:rPr>
                      <w:sz w:val="14"/>
                      <w:szCs w:val="14"/>
                    </w:rPr>
                  </w:pPr>
                  <w:r w:rsidRPr="00214834">
                    <w:rPr>
                      <w:sz w:val="14"/>
                      <w:szCs w:val="14"/>
                    </w:rPr>
                    <w:t xml:space="preserve">Interest Coverage </w:t>
                  </w:r>
                </w:p>
              </w:tc>
              <w:tc>
                <w:tcPr>
                  <w:tcW w:w="947" w:type="dxa"/>
                  <w:vAlign w:val="bottom"/>
                </w:tcPr>
                <w:p w14:paraId="434F28E3" w14:textId="77777777" w:rsidR="00A8602F" w:rsidRPr="00E35436" w:rsidRDefault="00A8602F" w:rsidP="009F284E">
                  <w:pPr>
                    <w:jc w:val="right"/>
                    <w:rPr>
                      <w:sz w:val="14"/>
                      <w:szCs w:val="14"/>
                    </w:rPr>
                  </w:pPr>
                  <w:r>
                    <w:rPr>
                      <w:sz w:val="14"/>
                      <w:szCs w:val="14"/>
                    </w:rPr>
                    <w:t>80.65</w:t>
                  </w:r>
                </w:p>
              </w:tc>
              <w:tc>
                <w:tcPr>
                  <w:tcW w:w="1051" w:type="dxa"/>
                  <w:vAlign w:val="bottom"/>
                </w:tcPr>
                <w:p w14:paraId="4EE069D3" w14:textId="77777777" w:rsidR="00A8602F" w:rsidRPr="00E35436" w:rsidRDefault="00BE7D67" w:rsidP="009F284E">
                  <w:pPr>
                    <w:jc w:val="right"/>
                    <w:rPr>
                      <w:sz w:val="14"/>
                      <w:szCs w:val="14"/>
                    </w:rPr>
                  </w:pPr>
                  <w:r>
                    <w:rPr>
                      <w:sz w:val="14"/>
                      <w:szCs w:val="14"/>
                    </w:rPr>
                    <w:t>93.06</w:t>
                  </w:r>
                </w:p>
              </w:tc>
              <w:tc>
                <w:tcPr>
                  <w:tcW w:w="921" w:type="dxa"/>
                  <w:vAlign w:val="bottom"/>
                </w:tcPr>
                <w:p w14:paraId="1248A9EF" w14:textId="77777777" w:rsidR="00A8602F" w:rsidRPr="00E35436" w:rsidRDefault="00BE7D67" w:rsidP="009F284E">
                  <w:pPr>
                    <w:jc w:val="right"/>
                    <w:rPr>
                      <w:sz w:val="14"/>
                      <w:szCs w:val="14"/>
                    </w:rPr>
                  </w:pPr>
                  <w:r>
                    <w:rPr>
                      <w:sz w:val="14"/>
                      <w:szCs w:val="14"/>
                    </w:rPr>
                    <w:t>63.59</w:t>
                  </w:r>
                </w:p>
              </w:tc>
              <w:tc>
                <w:tcPr>
                  <w:tcW w:w="921" w:type="dxa"/>
                  <w:vAlign w:val="bottom"/>
                </w:tcPr>
                <w:p w14:paraId="08ABE6FB" w14:textId="77777777" w:rsidR="00A8602F" w:rsidRPr="00E35436" w:rsidRDefault="00BE7D67" w:rsidP="009F284E">
                  <w:pPr>
                    <w:jc w:val="right"/>
                    <w:rPr>
                      <w:sz w:val="14"/>
                      <w:szCs w:val="14"/>
                    </w:rPr>
                  </w:pPr>
                  <w:r>
                    <w:rPr>
                      <w:sz w:val="14"/>
                      <w:szCs w:val="14"/>
                    </w:rPr>
                    <w:t>62.51</w:t>
                  </w:r>
                </w:p>
              </w:tc>
              <w:tc>
                <w:tcPr>
                  <w:tcW w:w="921" w:type="dxa"/>
                  <w:vAlign w:val="bottom"/>
                </w:tcPr>
                <w:p w14:paraId="45C8E4A7" w14:textId="77777777" w:rsidR="00A8602F" w:rsidRPr="00BE7D67" w:rsidRDefault="00A8602F">
                  <w:pPr>
                    <w:jc w:val="right"/>
                    <w:rPr>
                      <w:rFonts w:eastAsia="Times New Roman" w:cs="Arial"/>
                      <w:color w:val="000000"/>
                      <w:sz w:val="14"/>
                      <w:szCs w:val="14"/>
                    </w:rPr>
                  </w:pPr>
                  <w:r w:rsidRPr="00BE7D67">
                    <w:rPr>
                      <w:rFonts w:eastAsia="Times New Roman" w:cs="Arial"/>
                      <w:color w:val="000000"/>
                      <w:sz w:val="14"/>
                      <w:szCs w:val="14"/>
                    </w:rPr>
                    <w:t> </w:t>
                  </w:r>
                </w:p>
              </w:tc>
              <w:tc>
                <w:tcPr>
                  <w:tcW w:w="921" w:type="dxa"/>
                  <w:vAlign w:val="bottom"/>
                </w:tcPr>
                <w:p w14:paraId="46F8C0B8" w14:textId="77777777" w:rsidR="00A8602F" w:rsidRPr="00BE7D67" w:rsidRDefault="00A8602F">
                  <w:pPr>
                    <w:jc w:val="right"/>
                    <w:rPr>
                      <w:rFonts w:eastAsia="Times New Roman" w:cs="Arial"/>
                      <w:color w:val="000000"/>
                      <w:sz w:val="14"/>
                      <w:szCs w:val="14"/>
                    </w:rPr>
                  </w:pPr>
                  <w:r w:rsidRPr="00BE7D67">
                    <w:rPr>
                      <w:rFonts w:eastAsia="Times New Roman" w:cs="Arial"/>
                      <w:color w:val="000000"/>
                      <w:sz w:val="14"/>
                      <w:szCs w:val="14"/>
                    </w:rPr>
                    <w:t> </w:t>
                  </w:r>
                </w:p>
              </w:tc>
            </w:tr>
            <w:tr w:rsidR="00A8602F" w:rsidRPr="00214834" w14:paraId="79BE5498" w14:textId="77777777" w:rsidTr="009F284E">
              <w:tc>
                <w:tcPr>
                  <w:tcW w:w="1557" w:type="dxa"/>
                </w:tcPr>
                <w:p w14:paraId="1A31AD20" w14:textId="77777777" w:rsidR="00A8602F" w:rsidRPr="00214834" w:rsidRDefault="00A8602F" w:rsidP="009F284E">
                  <w:pPr>
                    <w:rPr>
                      <w:sz w:val="14"/>
                      <w:szCs w:val="14"/>
                    </w:rPr>
                  </w:pPr>
                  <w:r w:rsidRPr="00214834">
                    <w:rPr>
                      <w:sz w:val="14"/>
                      <w:szCs w:val="14"/>
                    </w:rPr>
                    <w:t>EPS</w:t>
                  </w:r>
                </w:p>
              </w:tc>
              <w:tc>
                <w:tcPr>
                  <w:tcW w:w="947" w:type="dxa"/>
                  <w:vAlign w:val="bottom"/>
                </w:tcPr>
                <w:p w14:paraId="7ECB6330" w14:textId="77777777" w:rsidR="00A8602F" w:rsidRPr="00E35436" w:rsidRDefault="00A8602F" w:rsidP="009F284E">
                  <w:pPr>
                    <w:jc w:val="right"/>
                    <w:rPr>
                      <w:sz w:val="14"/>
                      <w:szCs w:val="14"/>
                    </w:rPr>
                  </w:pPr>
                  <w:r>
                    <w:rPr>
                      <w:sz w:val="14"/>
                      <w:szCs w:val="14"/>
                    </w:rPr>
                    <w:t>4.54</w:t>
                  </w:r>
                </w:p>
              </w:tc>
              <w:tc>
                <w:tcPr>
                  <w:tcW w:w="1051" w:type="dxa"/>
                  <w:vAlign w:val="bottom"/>
                </w:tcPr>
                <w:p w14:paraId="5BA91BFA" w14:textId="77777777" w:rsidR="00A8602F" w:rsidRPr="00E35436" w:rsidRDefault="00BE7D67" w:rsidP="009F284E">
                  <w:pPr>
                    <w:jc w:val="right"/>
                    <w:rPr>
                      <w:sz w:val="14"/>
                      <w:szCs w:val="14"/>
                    </w:rPr>
                  </w:pPr>
                  <w:r>
                    <w:rPr>
                      <w:sz w:val="14"/>
                      <w:szCs w:val="14"/>
                    </w:rPr>
                    <w:t>5.51</w:t>
                  </w:r>
                </w:p>
              </w:tc>
              <w:tc>
                <w:tcPr>
                  <w:tcW w:w="921" w:type="dxa"/>
                  <w:vAlign w:val="bottom"/>
                </w:tcPr>
                <w:p w14:paraId="01A32343" w14:textId="77777777" w:rsidR="00A8602F" w:rsidRPr="00E35436" w:rsidRDefault="00BE7D67" w:rsidP="009F284E">
                  <w:pPr>
                    <w:jc w:val="right"/>
                    <w:rPr>
                      <w:sz w:val="14"/>
                      <w:szCs w:val="14"/>
                    </w:rPr>
                  </w:pPr>
                  <w:r>
                    <w:rPr>
                      <w:sz w:val="14"/>
                      <w:szCs w:val="14"/>
                    </w:rPr>
                    <w:t>6.86</w:t>
                  </w:r>
                </w:p>
              </w:tc>
              <w:tc>
                <w:tcPr>
                  <w:tcW w:w="921" w:type="dxa"/>
                  <w:vAlign w:val="bottom"/>
                </w:tcPr>
                <w:p w14:paraId="6A8C61DB" w14:textId="77777777" w:rsidR="00A8602F" w:rsidRPr="00E35436" w:rsidRDefault="00BE7D67" w:rsidP="009F284E">
                  <w:pPr>
                    <w:jc w:val="right"/>
                    <w:rPr>
                      <w:sz w:val="14"/>
                      <w:szCs w:val="14"/>
                    </w:rPr>
                  </w:pPr>
                  <w:r>
                    <w:rPr>
                      <w:sz w:val="14"/>
                      <w:szCs w:val="14"/>
                    </w:rPr>
                    <w:t>6.90</w:t>
                  </w:r>
                </w:p>
              </w:tc>
              <w:tc>
                <w:tcPr>
                  <w:tcW w:w="921" w:type="dxa"/>
                  <w:vAlign w:val="bottom"/>
                </w:tcPr>
                <w:p w14:paraId="26930852" w14:textId="77777777" w:rsidR="00A8602F" w:rsidRPr="00BE7D67" w:rsidRDefault="00A8602F">
                  <w:pPr>
                    <w:jc w:val="right"/>
                    <w:rPr>
                      <w:rFonts w:eastAsia="Times New Roman" w:cs="Arial"/>
                      <w:color w:val="000000"/>
                      <w:sz w:val="14"/>
                      <w:szCs w:val="14"/>
                    </w:rPr>
                  </w:pPr>
                  <w:r w:rsidRPr="00BE7D67">
                    <w:rPr>
                      <w:rFonts w:eastAsia="Times New Roman" w:cs="Arial"/>
                      <w:color w:val="000000"/>
                      <w:sz w:val="14"/>
                      <w:szCs w:val="14"/>
                    </w:rPr>
                    <w:t>7.22</w:t>
                  </w:r>
                </w:p>
              </w:tc>
              <w:tc>
                <w:tcPr>
                  <w:tcW w:w="921" w:type="dxa"/>
                  <w:vAlign w:val="bottom"/>
                </w:tcPr>
                <w:p w14:paraId="71B2F718" w14:textId="77777777" w:rsidR="00A8602F" w:rsidRPr="00BE7D67" w:rsidRDefault="00A8602F">
                  <w:pPr>
                    <w:jc w:val="right"/>
                    <w:rPr>
                      <w:rFonts w:eastAsia="Times New Roman" w:cs="Arial"/>
                      <w:color w:val="000000"/>
                      <w:sz w:val="14"/>
                      <w:szCs w:val="14"/>
                    </w:rPr>
                  </w:pPr>
                  <w:r w:rsidRPr="00BE7D67">
                    <w:rPr>
                      <w:rFonts w:eastAsia="Times New Roman" w:cs="Arial"/>
                      <w:color w:val="000000"/>
                      <w:sz w:val="14"/>
                      <w:szCs w:val="14"/>
                    </w:rPr>
                    <w:t>7.34</w:t>
                  </w:r>
                </w:p>
              </w:tc>
            </w:tr>
            <w:tr w:rsidR="00A8602F" w:rsidRPr="00214834" w14:paraId="2CF1802F" w14:textId="77777777" w:rsidTr="009F284E">
              <w:tc>
                <w:tcPr>
                  <w:tcW w:w="1557" w:type="dxa"/>
                </w:tcPr>
                <w:p w14:paraId="15C0353F" w14:textId="77777777" w:rsidR="00A8602F" w:rsidRPr="00214834" w:rsidRDefault="00A8602F" w:rsidP="009F284E">
                  <w:pPr>
                    <w:rPr>
                      <w:sz w:val="14"/>
                      <w:szCs w:val="14"/>
                    </w:rPr>
                  </w:pPr>
                  <w:r w:rsidRPr="00214834">
                    <w:rPr>
                      <w:sz w:val="14"/>
                      <w:szCs w:val="14"/>
                    </w:rPr>
                    <w:t xml:space="preserve">PE Ratio </w:t>
                  </w:r>
                </w:p>
              </w:tc>
              <w:tc>
                <w:tcPr>
                  <w:tcW w:w="947" w:type="dxa"/>
                  <w:vAlign w:val="bottom"/>
                </w:tcPr>
                <w:p w14:paraId="09C76644" w14:textId="77777777" w:rsidR="00A8602F" w:rsidRPr="00E35436" w:rsidRDefault="00A8602F" w:rsidP="009F284E">
                  <w:pPr>
                    <w:jc w:val="right"/>
                    <w:rPr>
                      <w:sz w:val="14"/>
                      <w:szCs w:val="14"/>
                    </w:rPr>
                  </w:pPr>
                  <w:r>
                    <w:rPr>
                      <w:sz w:val="14"/>
                      <w:szCs w:val="14"/>
                    </w:rPr>
                    <w:t>19.12</w:t>
                  </w:r>
                </w:p>
              </w:tc>
              <w:tc>
                <w:tcPr>
                  <w:tcW w:w="1051" w:type="dxa"/>
                  <w:vAlign w:val="bottom"/>
                </w:tcPr>
                <w:p w14:paraId="41AAF0E8" w14:textId="77777777" w:rsidR="00A8602F" w:rsidRPr="00E35436" w:rsidRDefault="00BE7D67" w:rsidP="009F284E">
                  <w:pPr>
                    <w:jc w:val="right"/>
                    <w:rPr>
                      <w:sz w:val="14"/>
                      <w:szCs w:val="14"/>
                    </w:rPr>
                  </w:pPr>
                  <w:r>
                    <w:rPr>
                      <w:sz w:val="14"/>
                      <w:szCs w:val="14"/>
                    </w:rPr>
                    <w:t>26.74</w:t>
                  </w:r>
                </w:p>
              </w:tc>
              <w:tc>
                <w:tcPr>
                  <w:tcW w:w="921" w:type="dxa"/>
                  <w:vAlign w:val="bottom"/>
                </w:tcPr>
                <w:p w14:paraId="55E8C295" w14:textId="77777777" w:rsidR="00A8602F" w:rsidRPr="00E35436" w:rsidRDefault="00BE7D67" w:rsidP="009F284E">
                  <w:pPr>
                    <w:jc w:val="right"/>
                    <w:rPr>
                      <w:sz w:val="14"/>
                      <w:szCs w:val="14"/>
                    </w:rPr>
                  </w:pPr>
                  <w:r>
                    <w:rPr>
                      <w:sz w:val="14"/>
                      <w:szCs w:val="14"/>
                    </w:rPr>
                    <w:t>22.74</w:t>
                  </w:r>
                </w:p>
              </w:tc>
              <w:tc>
                <w:tcPr>
                  <w:tcW w:w="921" w:type="dxa"/>
                  <w:vAlign w:val="bottom"/>
                </w:tcPr>
                <w:p w14:paraId="5D7DA0D9" w14:textId="77777777" w:rsidR="00A8602F" w:rsidRPr="00E35436" w:rsidRDefault="00BE7D67" w:rsidP="009F284E">
                  <w:pPr>
                    <w:jc w:val="right"/>
                    <w:rPr>
                      <w:sz w:val="14"/>
                      <w:szCs w:val="14"/>
                    </w:rPr>
                  </w:pPr>
                  <w:r>
                    <w:rPr>
                      <w:sz w:val="14"/>
                      <w:szCs w:val="14"/>
                    </w:rPr>
                    <w:t>12.73</w:t>
                  </w:r>
                </w:p>
              </w:tc>
              <w:tc>
                <w:tcPr>
                  <w:tcW w:w="921" w:type="dxa"/>
                  <w:vAlign w:val="bottom"/>
                </w:tcPr>
                <w:p w14:paraId="3790930D" w14:textId="77777777" w:rsidR="00A8602F" w:rsidRPr="00BE7D67" w:rsidRDefault="00A8602F">
                  <w:pPr>
                    <w:jc w:val="right"/>
                    <w:rPr>
                      <w:rFonts w:eastAsia="Times New Roman" w:cs="Arial"/>
                      <w:color w:val="000000"/>
                      <w:sz w:val="14"/>
                      <w:szCs w:val="14"/>
                    </w:rPr>
                  </w:pPr>
                  <w:r w:rsidRPr="00BE7D67">
                    <w:rPr>
                      <w:rFonts w:eastAsia="Times New Roman" w:cs="Arial"/>
                      <w:color w:val="000000"/>
                      <w:sz w:val="14"/>
                      <w:szCs w:val="14"/>
                    </w:rPr>
                    <w:t>10.69</w:t>
                  </w:r>
                </w:p>
              </w:tc>
              <w:tc>
                <w:tcPr>
                  <w:tcW w:w="921" w:type="dxa"/>
                  <w:vAlign w:val="bottom"/>
                </w:tcPr>
                <w:p w14:paraId="40663AFB" w14:textId="77777777" w:rsidR="00A8602F" w:rsidRPr="00BE7D67" w:rsidRDefault="00A8602F">
                  <w:pPr>
                    <w:jc w:val="right"/>
                    <w:rPr>
                      <w:rFonts w:eastAsia="Times New Roman" w:cs="Arial"/>
                      <w:color w:val="000000"/>
                      <w:sz w:val="14"/>
                      <w:szCs w:val="14"/>
                    </w:rPr>
                  </w:pPr>
                  <w:r w:rsidRPr="00BE7D67">
                    <w:rPr>
                      <w:rFonts w:eastAsia="Times New Roman" w:cs="Arial"/>
                      <w:color w:val="000000"/>
                      <w:sz w:val="14"/>
                      <w:szCs w:val="14"/>
                    </w:rPr>
                    <w:t>9.61</w:t>
                  </w:r>
                </w:p>
              </w:tc>
            </w:tr>
            <w:tr w:rsidR="00A8602F" w:rsidRPr="00214834" w14:paraId="2D14C3CB" w14:textId="77777777" w:rsidTr="009F284E">
              <w:tc>
                <w:tcPr>
                  <w:tcW w:w="1557" w:type="dxa"/>
                </w:tcPr>
                <w:p w14:paraId="47CF4C1D" w14:textId="77777777" w:rsidR="00A8602F" w:rsidRPr="00214834" w:rsidRDefault="00A8602F" w:rsidP="009F284E">
                  <w:pPr>
                    <w:rPr>
                      <w:sz w:val="14"/>
                      <w:szCs w:val="14"/>
                    </w:rPr>
                  </w:pPr>
                  <w:r w:rsidRPr="00214834">
                    <w:rPr>
                      <w:sz w:val="14"/>
                      <w:szCs w:val="14"/>
                    </w:rPr>
                    <w:t>Current Ratio</w:t>
                  </w:r>
                </w:p>
              </w:tc>
              <w:tc>
                <w:tcPr>
                  <w:tcW w:w="947" w:type="dxa"/>
                  <w:vAlign w:val="bottom"/>
                </w:tcPr>
                <w:p w14:paraId="76A7C17C" w14:textId="77777777" w:rsidR="00A8602F" w:rsidRPr="00E35436" w:rsidRDefault="00A8602F" w:rsidP="009F284E">
                  <w:pPr>
                    <w:jc w:val="right"/>
                    <w:rPr>
                      <w:sz w:val="14"/>
                      <w:szCs w:val="14"/>
                    </w:rPr>
                  </w:pPr>
                  <w:r>
                    <w:rPr>
                      <w:sz w:val="14"/>
                      <w:szCs w:val="14"/>
                    </w:rPr>
                    <w:t>1.61</w:t>
                  </w:r>
                </w:p>
              </w:tc>
              <w:tc>
                <w:tcPr>
                  <w:tcW w:w="1051" w:type="dxa"/>
                  <w:vAlign w:val="bottom"/>
                </w:tcPr>
                <w:p w14:paraId="1CB6A0CB" w14:textId="77777777" w:rsidR="00A8602F" w:rsidRPr="00E35436" w:rsidRDefault="00BE7D67" w:rsidP="009F284E">
                  <w:pPr>
                    <w:jc w:val="right"/>
                    <w:rPr>
                      <w:sz w:val="14"/>
                      <w:szCs w:val="14"/>
                    </w:rPr>
                  </w:pPr>
                  <w:r>
                    <w:rPr>
                      <w:sz w:val="14"/>
                      <w:szCs w:val="14"/>
                    </w:rPr>
                    <w:t>1.16</w:t>
                  </w:r>
                </w:p>
              </w:tc>
              <w:tc>
                <w:tcPr>
                  <w:tcW w:w="921" w:type="dxa"/>
                  <w:vAlign w:val="bottom"/>
                </w:tcPr>
                <w:p w14:paraId="25435135" w14:textId="77777777" w:rsidR="00A8602F" w:rsidRPr="00E35436" w:rsidRDefault="00BE7D67" w:rsidP="009F284E">
                  <w:pPr>
                    <w:jc w:val="right"/>
                    <w:rPr>
                      <w:sz w:val="14"/>
                      <w:szCs w:val="14"/>
                    </w:rPr>
                  </w:pPr>
                  <w:r>
                    <w:rPr>
                      <w:sz w:val="14"/>
                      <w:szCs w:val="14"/>
                    </w:rPr>
                    <w:t>1.29</w:t>
                  </w:r>
                </w:p>
              </w:tc>
              <w:tc>
                <w:tcPr>
                  <w:tcW w:w="921" w:type="dxa"/>
                  <w:vAlign w:val="bottom"/>
                </w:tcPr>
                <w:p w14:paraId="228F2058" w14:textId="77777777" w:rsidR="00A8602F" w:rsidRPr="00E35436" w:rsidRDefault="00BE7D67" w:rsidP="009F284E">
                  <w:pPr>
                    <w:jc w:val="right"/>
                    <w:rPr>
                      <w:sz w:val="14"/>
                      <w:szCs w:val="14"/>
                    </w:rPr>
                  </w:pPr>
                  <w:r>
                    <w:rPr>
                      <w:sz w:val="14"/>
                      <w:szCs w:val="14"/>
                    </w:rPr>
                    <w:t>1.40</w:t>
                  </w:r>
                </w:p>
              </w:tc>
              <w:tc>
                <w:tcPr>
                  <w:tcW w:w="921" w:type="dxa"/>
                  <w:vAlign w:val="bottom"/>
                </w:tcPr>
                <w:p w14:paraId="67D88B63" w14:textId="77777777" w:rsidR="00A8602F" w:rsidRPr="00BE7D67" w:rsidRDefault="00A8602F">
                  <w:pPr>
                    <w:jc w:val="right"/>
                    <w:rPr>
                      <w:rFonts w:eastAsia="Times New Roman" w:cs="Arial"/>
                      <w:color w:val="000000"/>
                      <w:sz w:val="14"/>
                      <w:szCs w:val="14"/>
                    </w:rPr>
                  </w:pPr>
                  <w:r w:rsidRPr="00BE7D67">
                    <w:rPr>
                      <w:rFonts w:eastAsia="Times New Roman" w:cs="Arial"/>
                      <w:color w:val="000000"/>
                      <w:sz w:val="14"/>
                      <w:szCs w:val="14"/>
                    </w:rPr>
                    <w:t> </w:t>
                  </w:r>
                </w:p>
              </w:tc>
              <w:tc>
                <w:tcPr>
                  <w:tcW w:w="921" w:type="dxa"/>
                  <w:vAlign w:val="bottom"/>
                </w:tcPr>
                <w:p w14:paraId="79683060" w14:textId="77777777" w:rsidR="00A8602F" w:rsidRPr="00BE7D67" w:rsidRDefault="00A8602F">
                  <w:pPr>
                    <w:jc w:val="right"/>
                    <w:rPr>
                      <w:rFonts w:eastAsia="Times New Roman" w:cs="Arial"/>
                      <w:color w:val="000000"/>
                      <w:sz w:val="14"/>
                      <w:szCs w:val="14"/>
                    </w:rPr>
                  </w:pPr>
                  <w:r w:rsidRPr="00BE7D67">
                    <w:rPr>
                      <w:rFonts w:eastAsia="Times New Roman" w:cs="Arial"/>
                      <w:color w:val="000000"/>
                      <w:sz w:val="14"/>
                      <w:szCs w:val="14"/>
                    </w:rPr>
                    <w:t> </w:t>
                  </w:r>
                </w:p>
              </w:tc>
            </w:tr>
            <w:tr w:rsidR="00A8602F" w:rsidRPr="00214834" w14:paraId="0938F22C" w14:textId="77777777" w:rsidTr="009F284E">
              <w:tc>
                <w:tcPr>
                  <w:tcW w:w="1557" w:type="dxa"/>
                </w:tcPr>
                <w:p w14:paraId="10A81266" w14:textId="77777777" w:rsidR="00A8602F" w:rsidRPr="00214834" w:rsidRDefault="00A8602F" w:rsidP="009F284E">
                  <w:pPr>
                    <w:rPr>
                      <w:sz w:val="14"/>
                      <w:szCs w:val="14"/>
                    </w:rPr>
                  </w:pPr>
                  <w:r w:rsidRPr="00214834">
                    <w:rPr>
                      <w:sz w:val="14"/>
                      <w:szCs w:val="14"/>
                    </w:rPr>
                    <w:t>ROE</w:t>
                  </w:r>
                </w:p>
              </w:tc>
              <w:tc>
                <w:tcPr>
                  <w:tcW w:w="947" w:type="dxa"/>
                  <w:vAlign w:val="bottom"/>
                </w:tcPr>
                <w:p w14:paraId="1AD689C1" w14:textId="77777777" w:rsidR="00A8602F" w:rsidRPr="00E35436" w:rsidRDefault="00A8602F" w:rsidP="009F284E">
                  <w:pPr>
                    <w:jc w:val="right"/>
                    <w:rPr>
                      <w:sz w:val="14"/>
                      <w:szCs w:val="14"/>
                    </w:rPr>
                  </w:pPr>
                  <w:r>
                    <w:rPr>
                      <w:sz w:val="14"/>
                      <w:szCs w:val="14"/>
                    </w:rPr>
                    <w:t>52.46</w:t>
                  </w:r>
                </w:p>
              </w:tc>
              <w:tc>
                <w:tcPr>
                  <w:tcW w:w="1051" w:type="dxa"/>
                  <w:vAlign w:val="bottom"/>
                </w:tcPr>
                <w:p w14:paraId="336F7B85" w14:textId="77777777" w:rsidR="00A8602F" w:rsidRPr="00E35436" w:rsidRDefault="00BE7D67" w:rsidP="009F284E">
                  <w:pPr>
                    <w:jc w:val="right"/>
                    <w:rPr>
                      <w:sz w:val="14"/>
                      <w:szCs w:val="14"/>
                    </w:rPr>
                  </w:pPr>
                  <w:r>
                    <w:rPr>
                      <w:sz w:val="14"/>
                      <w:szCs w:val="14"/>
                    </w:rPr>
                    <w:t>61.12</w:t>
                  </w:r>
                </w:p>
              </w:tc>
              <w:tc>
                <w:tcPr>
                  <w:tcW w:w="921" w:type="dxa"/>
                  <w:vAlign w:val="bottom"/>
                </w:tcPr>
                <w:p w14:paraId="56E25EF4" w14:textId="77777777" w:rsidR="00A8602F" w:rsidRPr="00E35436" w:rsidRDefault="00BE7D67" w:rsidP="009F284E">
                  <w:pPr>
                    <w:jc w:val="right"/>
                    <w:rPr>
                      <w:sz w:val="14"/>
                      <w:szCs w:val="14"/>
                    </w:rPr>
                  </w:pPr>
                  <w:r>
                    <w:rPr>
                      <w:sz w:val="14"/>
                      <w:szCs w:val="14"/>
                    </w:rPr>
                    <w:t>64.00</w:t>
                  </w:r>
                </w:p>
              </w:tc>
              <w:tc>
                <w:tcPr>
                  <w:tcW w:w="921" w:type="dxa"/>
                  <w:vAlign w:val="bottom"/>
                </w:tcPr>
                <w:p w14:paraId="456194FA" w14:textId="77777777" w:rsidR="00A8602F" w:rsidRPr="00E35436" w:rsidRDefault="00BE7D67" w:rsidP="009F284E">
                  <w:pPr>
                    <w:jc w:val="right"/>
                    <w:rPr>
                      <w:sz w:val="14"/>
                      <w:szCs w:val="14"/>
                    </w:rPr>
                  </w:pPr>
                  <w:r>
                    <w:rPr>
                      <w:sz w:val="14"/>
                      <w:szCs w:val="14"/>
                    </w:rPr>
                    <w:t>48.81</w:t>
                  </w:r>
                </w:p>
              </w:tc>
              <w:tc>
                <w:tcPr>
                  <w:tcW w:w="921" w:type="dxa"/>
                  <w:vAlign w:val="bottom"/>
                </w:tcPr>
                <w:p w14:paraId="4B9D0898" w14:textId="77777777" w:rsidR="00A8602F" w:rsidRPr="00BE7D67" w:rsidRDefault="00A8602F">
                  <w:pPr>
                    <w:jc w:val="right"/>
                    <w:rPr>
                      <w:rFonts w:eastAsia="Times New Roman" w:cs="Arial"/>
                      <w:color w:val="000000"/>
                      <w:sz w:val="14"/>
                      <w:szCs w:val="14"/>
                    </w:rPr>
                  </w:pPr>
                  <w:r w:rsidRPr="00BE7D67">
                    <w:rPr>
                      <w:rFonts w:eastAsia="Times New Roman" w:cs="Arial"/>
                      <w:color w:val="000000"/>
                      <w:sz w:val="14"/>
                      <w:szCs w:val="14"/>
                    </w:rPr>
                    <w:t>39.63</w:t>
                  </w:r>
                </w:p>
              </w:tc>
              <w:tc>
                <w:tcPr>
                  <w:tcW w:w="921" w:type="dxa"/>
                  <w:vAlign w:val="bottom"/>
                </w:tcPr>
                <w:p w14:paraId="625F9DE3" w14:textId="77777777" w:rsidR="00A8602F" w:rsidRPr="00BE7D67" w:rsidRDefault="00A8602F">
                  <w:pPr>
                    <w:jc w:val="right"/>
                    <w:rPr>
                      <w:rFonts w:eastAsia="Times New Roman" w:cs="Arial"/>
                      <w:color w:val="000000"/>
                      <w:sz w:val="14"/>
                      <w:szCs w:val="14"/>
                    </w:rPr>
                  </w:pPr>
                  <w:r w:rsidRPr="00BE7D67">
                    <w:rPr>
                      <w:rFonts w:eastAsia="Times New Roman" w:cs="Arial"/>
                      <w:color w:val="000000"/>
                      <w:sz w:val="14"/>
                      <w:szCs w:val="14"/>
                    </w:rPr>
                    <w:t>36.03</w:t>
                  </w:r>
                </w:p>
              </w:tc>
            </w:tr>
            <w:tr w:rsidR="00A8602F" w:rsidRPr="00214834" w14:paraId="66BA3529" w14:textId="77777777" w:rsidTr="009F284E">
              <w:tc>
                <w:tcPr>
                  <w:tcW w:w="1557" w:type="dxa"/>
                </w:tcPr>
                <w:p w14:paraId="68AF3A41" w14:textId="77777777" w:rsidR="00A8602F" w:rsidRPr="00214834" w:rsidRDefault="00A8602F" w:rsidP="009F284E">
                  <w:pPr>
                    <w:rPr>
                      <w:sz w:val="14"/>
                      <w:szCs w:val="14"/>
                    </w:rPr>
                  </w:pPr>
                  <w:r w:rsidRPr="00214834">
                    <w:rPr>
                      <w:sz w:val="14"/>
                      <w:szCs w:val="14"/>
                    </w:rPr>
                    <w:t>ROA</w:t>
                  </w:r>
                </w:p>
              </w:tc>
              <w:tc>
                <w:tcPr>
                  <w:tcW w:w="947" w:type="dxa"/>
                  <w:vAlign w:val="bottom"/>
                </w:tcPr>
                <w:p w14:paraId="255AB944" w14:textId="77777777" w:rsidR="00A8602F" w:rsidRPr="00E35436" w:rsidRDefault="00A8602F" w:rsidP="009F284E">
                  <w:pPr>
                    <w:jc w:val="right"/>
                    <w:rPr>
                      <w:sz w:val="14"/>
                      <w:szCs w:val="14"/>
                    </w:rPr>
                  </w:pPr>
                  <w:r>
                    <w:rPr>
                      <w:sz w:val="14"/>
                      <w:szCs w:val="14"/>
                    </w:rPr>
                    <w:t>23.01</w:t>
                  </w:r>
                </w:p>
              </w:tc>
              <w:tc>
                <w:tcPr>
                  <w:tcW w:w="1051" w:type="dxa"/>
                  <w:vAlign w:val="bottom"/>
                </w:tcPr>
                <w:p w14:paraId="24821D87" w14:textId="77777777" w:rsidR="00A8602F" w:rsidRPr="00E35436" w:rsidRDefault="00BE7D67" w:rsidP="009F284E">
                  <w:pPr>
                    <w:jc w:val="right"/>
                    <w:rPr>
                      <w:sz w:val="14"/>
                      <w:szCs w:val="14"/>
                    </w:rPr>
                  </w:pPr>
                  <w:r>
                    <w:rPr>
                      <w:sz w:val="14"/>
                      <w:szCs w:val="14"/>
                    </w:rPr>
                    <w:t>23.79</w:t>
                  </w:r>
                </w:p>
              </w:tc>
              <w:tc>
                <w:tcPr>
                  <w:tcW w:w="921" w:type="dxa"/>
                  <w:vAlign w:val="bottom"/>
                </w:tcPr>
                <w:p w14:paraId="2EB383E2" w14:textId="77777777" w:rsidR="00A8602F" w:rsidRPr="00E35436" w:rsidRDefault="00BE7D67" w:rsidP="009F284E">
                  <w:pPr>
                    <w:jc w:val="right"/>
                    <w:rPr>
                      <w:sz w:val="14"/>
                      <w:szCs w:val="14"/>
                    </w:rPr>
                  </w:pPr>
                  <w:r>
                    <w:rPr>
                      <w:sz w:val="14"/>
                      <w:szCs w:val="14"/>
                    </w:rPr>
                    <w:t>24.15</w:t>
                  </w:r>
                </w:p>
              </w:tc>
              <w:tc>
                <w:tcPr>
                  <w:tcW w:w="921" w:type="dxa"/>
                  <w:vAlign w:val="bottom"/>
                </w:tcPr>
                <w:p w14:paraId="37D745A6" w14:textId="77777777" w:rsidR="00A8602F" w:rsidRPr="00E35436" w:rsidRDefault="00BE7D67" w:rsidP="009F284E">
                  <w:pPr>
                    <w:jc w:val="right"/>
                    <w:rPr>
                      <w:sz w:val="14"/>
                      <w:szCs w:val="14"/>
                    </w:rPr>
                  </w:pPr>
                  <w:r>
                    <w:rPr>
                      <w:sz w:val="14"/>
                      <w:szCs w:val="14"/>
                    </w:rPr>
                    <w:t>20.41</w:t>
                  </w:r>
                </w:p>
              </w:tc>
              <w:tc>
                <w:tcPr>
                  <w:tcW w:w="921" w:type="dxa"/>
                  <w:vAlign w:val="bottom"/>
                </w:tcPr>
                <w:p w14:paraId="5897D542" w14:textId="77777777" w:rsidR="00A8602F" w:rsidRPr="00BE7D67" w:rsidRDefault="00A8602F">
                  <w:pPr>
                    <w:jc w:val="right"/>
                    <w:rPr>
                      <w:rFonts w:eastAsia="Times New Roman" w:cs="Arial"/>
                      <w:color w:val="000000"/>
                      <w:sz w:val="14"/>
                      <w:szCs w:val="14"/>
                    </w:rPr>
                  </w:pPr>
                  <w:r w:rsidRPr="00BE7D67">
                    <w:rPr>
                      <w:rFonts w:eastAsia="Times New Roman" w:cs="Arial"/>
                      <w:color w:val="000000"/>
                      <w:sz w:val="14"/>
                      <w:szCs w:val="14"/>
                    </w:rPr>
                    <w:t>20.66</w:t>
                  </w:r>
                </w:p>
              </w:tc>
              <w:tc>
                <w:tcPr>
                  <w:tcW w:w="921" w:type="dxa"/>
                  <w:vAlign w:val="bottom"/>
                </w:tcPr>
                <w:p w14:paraId="53DD2AA7" w14:textId="77777777" w:rsidR="00A8602F" w:rsidRPr="00BE7D67" w:rsidRDefault="00A8602F">
                  <w:pPr>
                    <w:jc w:val="right"/>
                    <w:rPr>
                      <w:rFonts w:eastAsia="Times New Roman" w:cs="Arial"/>
                      <w:color w:val="000000"/>
                      <w:sz w:val="14"/>
                      <w:szCs w:val="14"/>
                    </w:rPr>
                  </w:pPr>
                  <w:r w:rsidRPr="00BE7D67">
                    <w:rPr>
                      <w:rFonts w:eastAsia="Times New Roman" w:cs="Arial"/>
                      <w:color w:val="000000"/>
                      <w:sz w:val="14"/>
                      <w:szCs w:val="14"/>
                    </w:rPr>
                    <w:t>18.09</w:t>
                  </w:r>
                </w:p>
              </w:tc>
            </w:tr>
            <w:tr w:rsidR="00A8602F" w:rsidRPr="00214834" w14:paraId="2B9F016E" w14:textId="77777777" w:rsidTr="009F284E">
              <w:tc>
                <w:tcPr>
                  <w:tcW w:w="1557" w:type="dxa"/>
                </w:tcPr>
                <w:p w14:paraId="109666B3" w14:textId="77777777" w:rsidR="00A8602F" w:rsidRPr="00214834" w:rsidRDefault="00A8602F" w:rsidP="009F284E">
                  <w:pPr>
                    <w:rPr>
                      <w:sz w:val="14"/>
                      <w:szCs w:val="14"/>
                    </w:rPr>
                  </w:pPr>
                  <w:r w:rsidRPr="00214834">
                    <w:rPr>
                      <w:sz w:val="14"/>
                      <w:szCs w:val="14"/>
                    </w:rPr>
                    <w:t xml:space="preserve">Dividend Per share </w:t>
                  </w:r>
                </w:p>
              </w:tc>
              <w:tc>
                <w:tcPr>
                  <w:tcW w:w="947" w:type="dxa"/>
                  <w:vAlign w:val="bottom"/>
                </w:tcPr>
                <w:p w14:paraId="74EE9DB7" w14:textId="77777777" w:rsidR="00A8602F" w:rsidRPr="00E35436" w:rsidRDefault="00A8602F" w:rsidP="009F284E">
                  <w:pPr>
                    <w:jc w:val="right"/>
                    <w:rPr>
                      <w:sz w:val="14"/>
                      <w:szCs w:val="14"/>
                    </w:rPr>
                  </w:pPr>
                  <w:r>
                    <w:rPr>
                      <w:sz w:val="14"/>
                      <w:szCs w:val="14"/>
                    </w:rPr>
                    <w:t>1.48</w:t>
                  </w:r>
                </w:p>
              </w:tc>
              <w:tc>
                <w:tcPr>
                  <w:tcW w:w="1051" w:type="dxa"/>
                  <w:vAlign w:val="bottom"/>
                </w:tcPr>
                <w:p w14:paraId="01257AA2" w14:textId="77777777" w:rsidR="00A8602F" w:rsidRPr="00E35436" w:rsidRDefault="00BE7D67" w:rsidP="009F284E">
                  <w:pPr>
                    <w:jc w:val="right"/>
                    <w:rPr>
                      <w:sz w:val="14"/>
                      <w:szCs w:val="14"/>
                    </w:rPr>
                  </w:pPr>
                  <w:r>
                    <w:rPr>
                      <w:sz w:val="14"/>
                      <w:szCs w:val="14"/>
                    </w:rPr>
                    <w:t>1.68</w:t>
                  </w:r>
                </w:p>
              </w:tc>
              <w:tc>
                <w:tcPr>
                  <w:tcW w:w="921" w:type="dxa"/>
                  <w:vAlign w:val="bottom"/>
                </w:tcPr>
                <w:p w14:paraId="15DE43CA" w14:textId="77777777" w:rsidR="00A8602F" w:rsidRPr="00E35436" w:rsidRDefault="00BE7D67" w:rsidP="009F284E">
                  <w:pPr>
                    <w:jc w:val="right"/>
                    <w:rPr>
                      <w:sz w:val="14"/>
                      <w:szCs w:val="14"/>
                    </w:rPr>
                  </w:pPr>
                  <w:r>
                    <w:rPr>
                      <w:sz w:val="14"/>
                      <w:szCs w:val="14"/>
                    </w:rPr>
                    <w:t>1.92</w:t>
                  </w:r>
                </w:p>
              </w:tc>
              <w:tc>
                <w:tcPr>
                  <w:tcW w:w="921" w:type="dxa"/>
                  <w:vAlign w:val="bottom"/>
                </w:tcPr>
                <w:p w14:paraId="0ADB52EF" w14:textId="77777777" w:rsidR="00A8602F" w:rsidRPr="00E35436" w:rsidRDefault="00BE7D67" w:rsidP="009F284E">
                  <w:pPr>
                    <w:jc w:val="right"/>
                    <w:rPr>
                      <w:sz w:val="14"/>
                      <w:szCs w:val="14"/>
                    </w:rPr>
                  </w:pPr>
                  <w:r>
                    <w:rPr>
                      <w:sz w:val="14"/>
                      <w:szCs w:val="14"/>
                    </w:rPr>
                    <w:t>2.12</w:t>
                  </w:r>
                </w:p>
              </w:tc>
              <w:tc>
                <w:tcPr>
                  <w:tcW w:w="921" w:type="dxa"/>
                  <w:vAlign w:val="bottom"/>
                </w:tcPr>
                <w:p w14:paraId="1B0962CC" w14:textId="77777777" w:rsidR="00A8602F" w:rsidRPr="00BE7D67" w:rsidRDefault="00A8602F">
                  <w:pPr>
                    <w:jc w:val="right"/>
                    <w:rPr>
                      <w:rFonts w:eastAsia="Times New Roman" w:cs="Arial"/>
                      <w:color w:val="000000"/>
                      <w:sz w:val="14"/>
                      <w:szCs w:val="14"/>
                    </w:rPr>
                  </w:pPr>
                  <w:r w:rsidRPr="00BE7D67">
                    <w:rPr>
                      <w:rFonts w:eastAsia="Times New Roman" w:cs="Arial"/>
                      <w:color w:val="000000"/>
                      <w:sz w:val="14"/>
                      <w:szCs w:val="14"/>
                    </w:rPr>
                    <w:t>2.23</w:t>
                  </w:r>
                </w:p>
              </w:tc>
              <w:tc>
                <w:tcPr>
                  <w:tcW w:w="921" w:type="dxa"/>
                  <w:vAlign w:val="bottom"/>
                </w:tcPr>
                <w:p w14:paraId="521FDE46" w14:textId="77777777" w:rsidR="00A8602F" w:rsidRPr="00BE7D67" w:rsidRDefault="00A8602F">
                  <w:pPr>
                    <w:jc w:val="right"/>
                    <w:rPr>
                      <w:rFonts w:eastAsia="Times New Roman" w:cs="Arial"/>
                      <w:color w:val="000000"/>
                      <w:sz w:val="14"/>
                      <w:szCs w:val="14"/>
                    </w:rPr>
                  </w:pPr>
                  <w:r w:rsidRPr="00BE7D67">
                    <w:rPr>
                      <w:rFonts w:eastAsia="Times New Roman" w:cs="Arial"/>
                      <w:color w:val="000000"/>
                      <w:sz w:val="14"/>
                      <w:szCs w:val="14"/>
                    </w:rPr>
                    <w:t>2.43</w:t>
                  </w:r>
                </w:p>
              </w:tc>
            </w:tr>
          </w:tbl>
          <w:p w14:paraId="0E069A9A" w14:textId="77777777" w:rsidR="009F284E" w:rsidRPr="00214834" w:rsidRDefault="009F284E" w:rsidP="009F284E">
            <w:pPr>
              <w:jc w:val="both"/>
              <w:rPr>
                <w:b/>
                <w:sz w:val="14"/>
                <w:szCs w:val="14"/>
              </w:rPr>
            </w:pPr>
          </w:p>
        </w:tc>
        <w:tc>
          <w:tcPr>
            <w:tcW w:w="4320" w:type="dxa"/>
          </w:tcPr>
          <w:p w14:paraId="2E65BDEB" w14:textId="77777777" w:rsidR="009F284E" w:rsidRPr="00214834" w:rsidRDefault="009F284E" w:rsidP="009F284E">
            <w:pPr>
              <w:jc w:val="both"/>
              <w:rPr>
                <w:b/>
                <w:sz w:val="14"/>
                <w:szCs w:val="14"/>
              </w:rPr>
            </w:pPr>
          </w:p>
          <w:tbl>
            <w:tblPr>
              <w:tblStyle w:val="TableGrid"/>
              <w:tblW w:w="0" w:type="auto"/>
              <w:tblLook w:val="04A0" w:firstRow="1" w:lastRow="0" w:firstColumn="1" w:lastColumn="0" w:noHBand="0" w:noVBand="1"/>
            </w:tblPr>
            <w:tblGrid>
              <w:gridCol w:w="1980"/>
              <w:gridCol w:w="1057"/>
              <w:gridCol w:w="1080"/>
            </w:tblGrid>
            <w:tr w:rsidR="009F284E" w:rsidRPr="00214834" w14:paraId="002D9E03" w14:textId="77777777" w:rsidTr="00FA01D4">
              <w:tc>
                <w:tcPr>
                  <w:tcW w:w="1980" w:type="dxa"/>
                  <w:shd w:val="clear" w:color="auto" w:fill="DBE5F1" w:themeFill="accent1" w:themeFillTint="33"/>
                </w:tcPr>
                <w:p w14:paraId="1033AE26" w14:textId="77777777" w:rsidR="009F284E" w:rsidRPr="00214834" w:rsidRDefault="009F284E" w:rsidP="009F284E">
                  <w:pPr>
                    <w:rPr>
                      <w:sz w:val="14"/>
                      <w:szCs w:val="14"/>
                    </w:rPr>
                  </w:pPr>
                </w:p>
              </w:tc>
              <w:tc>
                <w:tcPr>
                  <w:tcW w:w="1057" w:type="dxa"/>
                  <w:shd w:val="clear" w:color="auto" w:fill="DBE5F1" w:themeFill="accent1" w:themeFillTint="33"/>
                </w:tcPr>
                <w:p w14:paraId="29ACB01D" w14:textId="77777777" w:rsidR="009F284E" w:rsidRPr="00214834" w:rsidRDefault="009F284E" w:rsidP="009F284E">
                  <w:pPr>
                    <w:rPr>
                      <w:sz w:val="14"/>
                      <w:szCs w:val="14"/>
                    </w:rPr>
                  </w:pPr>
                  <w:r>
                    <w:rPr>
                      <w:sz w:val="14"/>
                      <w:szCs w:val="14"/>
                    </w:rPr>
                    <w:t>20</w:t>
                  </w:r>
                  <w:r w:rsidRPr="00214834">
                    <w:rPr>
                      <w:sz w:val="14"/>
                      <w:szCs w:val="14"/>
                    </w:rPr>
                    <w:t>1</w:t>
                  </w:r>
                  <w:r w:rsidR="00FA01D4">
                    <w:rPr>
                      <w:sz w:val="14"/>
                      <w:szCs w:val="14"/>
                    </w:rPr>
                    <w:t>5</w:t>
                  </w:r>
                </w:p>
              </w:tc>
              <w:tc>
                <w:tcPr>
                  <w:tcW w:w="1080" w:type="dxa"/>
                  <w:shd w:val="clear" w:color="auto" w:fill="DBE5F1" w:themeFill="accent1" w:themeFillTint="33"/>
                </w:tcPr>
                <w:p w14:paraId="60ED06E0" w14:textId="77777777" w:rsidR="009F284E" w:rsidRPr="00214834" w:rsidRDefault="00FA01D4" w:rsidP="00FA01D4">
                  <w:pPr>
                    <w:rPr>
                      <w:sz w:val="14"/>
                      <w:szCs w:val="14"/>
                    </w:rPr>
                  </w:pPr>
                  <w:r>
                    <w:rPr>
                      <w:sz w:val="14"/>
                      <w:szCs w:val="14"/>
                    </w:rPr>
                    <w:t>2016</w:t>
                  </w:r>
                </w:p>
              </w:tc>
            </w:tr>
            <w:tr w:rsidR="009F284E" w:rsidRPr="00214834" w14:paraId="32F42442" w14:textId="77777777" w:rsidTr="00FA01D4">
              <w:tc>
                <w:tcPr>
                  <w:tcW w:w="1980" w:type="dxa"/>
                </w:tcPr>
                <w:p w14:paraId="71139C5F" w14:textId="77777777" w:rsidR="009F284E" w:rsidRPr="00214834" w:rsidRDefault="00FA01D4" w:rsidP="009F284E">
                  <w:pPr>
                    <w:rPr>
                      <w:sz w:val="14"/>
                      <w:szCs w:val="14"/>
                    </w:rPr>
                  </w:pPr>
                  <w:r>
                    <w:rPr>
                      <w:sz w:val="14"/>
                      <w:szCs w:val="14"/>
                    </w:rPr>
                    <w:t>3 Year Avg.</w:t>
                  </w:r>
                  <w:r w:rsidR="009F284E" w:rsidRPr="00214834">
                    <w:rPr>
                      <w:sz w:val="14"/>
                      <w:szCs w:val="14"/>
                    </w:rPr>
                    <w:t xml:space="preserve"> Revenue Growth </w:t>
                  </w:r>
                </w:p>
              </w:tc>
              <w:tc>
                <w:tcPr>
                  <w:tcW w:w="1057" w:type="dxa"/>
                  <w:vAlign w:val="bottom"/>
                </w:tcPr>
                <w:p w14:paraId="1862ED10" w14:textId="77777777" w:rsidR="009F284E" w:rsidRPr="00E35436" w:rsidRDefault="00FA01D4" w:rsidP="009F284E">
                  <w:pPr>
                    <w:rPr>
                      <w:sz w:val="14"/>
                      <w:szCs w:val="14"/>
                    </w:rPr>
                  </w:pPr>
                  <w:r>
                    <w:rPr>
                      <w:rFonts w:eastAsia="Times New Roman" w:cs="Times New Roman"/>
                      <w:color w:val="000000"/>
                      <w:sz w:val="14"/>
                      <w:szCs w:val="14"/>
                    </w:rPr>
                    <w:t>13.87%</w:t>
                  </w:r>
                </w:p>
              </w:tc>
              <w:tc>
                <w:tcPr>
                  <w:tcW w:w="1080" w:type="dxa"/>
                </w:tcPr>
                <w:p w14:paraId="262D4D1D" w14:textId="77777777" w:rsidR="009F284E" w:rsidRPr="00214834" w:rsidRDefault="00FA01D4" w:rsidP="009F284E">
                  <w:pPr>
                    <w:rPr>
                      <w:sz w:val="14"/>
                      <w:szCs w:val="14"/>
                    </w:rPr>
                  </w:pPr>
                  <w:r>
                    <w:rPr>
                      <w:sz w:val="14"/>
                      <w:szCs w:val="14"/>
                    </w:rPr>
                    <w:t>8.23%</w:t>
                  </w:r>
                </w:p>
              </w:tc>
            </w:tr>
            <w:tr w:rsidR="009F284E" w:rsidRPr="00214834" w14:paraId="1D6F6C18" w14:textId="77777777" w:rsidTr="00FA01D4">
              <w:tc>
                <w:tcPr>
                  <w:tcW w:w="1980" w:type="dxa"/>
                </w:tcPr>
                <w:p w14:paraId="5B1FBFD5" w14:textId="77777777" w:rsidR="009F284E" w:rsidRPr="00214834" w:rsidRDefault="009F284E" w:rsidP="009F284E">
                  <w:pPr>
                    <w:rPr>
                      <w:sz w:val="14"/>
                      <w:szCs w:val="14"/>
                    </w:rPr>
                  </w:pPr>
                  <w:r w:rsidRPr="00214834">
                    <w:rPr>
                      <w:sz w:val="14"/>
                      <w:szCs w:val="14"/>
                    </w:rPr>
                    <w:t xml:space="preserve">Avg.  EBITDA Margin </w:t>
                  </w:r>
                </w:p>
              </w:tc>
              <w:tc>
                <w:tcPr>
                  <w:tcW w:w="1057" w:type="dxa"/>
                  <w:vAlign w:val="bottom"/>
                </w:tcPr>
                <w:p w14:paraId="6C0F2FA2" w14:textId="77777777" w:rsidR="009F284E" w:rsidRPr="00E35436" w:rsidRDefault="00ED20FF" w:rsidP="009F284E">
                  <w:pPr>
                    <w:rPr>
                      <w:sz w:val="14"/>
                      <w:szCs w:val="14"/>
                    </w:rPr>
                  </w:pPr>
                  <w:r>
                    <w:rPr>
                      <w:rFonts w:eastAsia="Times New Roman" w:cs="Times New Roman"/>
                      <w:color w:val="000000"/>
                      <w:sz w:val="14"/>
                      <w:szCs w:val="14"/>
                    </w:rPr>
                    <w:t>18.31%</w:t>
                  </w:r>
                </w:p>
              </w:tc>
              <w:tc>
                <w:tcPr>
                  <w:tcW w:w="1080" w:type="dxa"/>
                </w:tcPr>
                <w:p w14:paraId="1DA35137" w14:textId="77777777" w:rsidR="009F284E" w:rsidRPr="00214834" w:rsidRDefault="00ED20FF" w:rsidP="009F284E">
                  <w:pPr>
                    <w:rPr>
                      <w:sz w:val="14"/>
                      <w:szCs w:val="14"/>
                    </w:rPr>
                  </w:pPr>
                  <w:r>
                    <w:rPr>
                      <w:sz w:val="14"/>
                      <w:szCs w:val="14"/>
                    </w:rPr>
                    <w:t>18.48</w:t>
                  </w:r>
                  <w:r w:rsidR="009F284E">
                    <w:rPr>
                      <w:sz w:val="14"/>
                      <w:szCs w:val="14"/>
                    </w:rPr>
                    <w:t>%</w:t>
                  </w:r>
                </w:p>
              </w:tc>
            </w:tr>
            <w:tr w:rsidR="009F284E" w:rsidRPr="00214834" w14:paraId="2EBA9C60" w14:textId="77777777" w:rsidTr="00FA01D4">
              <w:tc>
                <w:tcPr>
                  <w:tcW w:w="1980" w:type="dxa"/>
                </w:tcPr>
                <w:p w14:paraId="5692A8A3" w14:textId="77777777" w:rsidR="009F284E" w:rsidRPr="00214834" w:rsidRDefault="009F284E" w:rsidP="009F284E">
                  <w:pPr>
                    <w:rPr>
                      <w:sz w:val="14"/>
                      <w:szCs w:val="14"/>
                    </w:rPr>
                  </w:pPr>
                  <w:r w:rsidRPr="00214834">
                    <w:rPr>
                      <w:sz w:val="14"/>
                      <w:szCs w:val="14"/>
                    </w:rPr>
                    <w:t>NOPAT Margin</w:t>
                  </w:r>
                </w:p>
              </w:tc>
              <w:tc>
                <w:tcPr>
                  <w:tcW w:w="1057" w:type="dxa"/>
                  <w:vAlign w:val="bottom"/>
                </w:tcPr>
                <w:p w14:paraId="535C5FD6" w14:textId="77777777" w:rsidR="009F284E" w:rsidRPr="00E35436" w:rsidRDefault="00ED20FF" w:rsidP="009F284E">
                  <w:pPr>
                    <w:rPr>
                      <w:sz w:val="14"/>
                      <w:szCs w:val="14"/>
                    </w:rPr>
                  </w:pPr>
                  <w:r>
                    <w:rPr>
                      <w:rFonts w:eastAsia="Times New Roman" w:cs="Times New Roman"/>
                      <w:color w:val="000000"/>
                      <w:sz w:val="14"/>
                      <w:szCs w:val="14"/>
                    </w:rPr>
                    <w:t>10.08%</w:t>
                  </w:r>
                </w:p>
              </w:tc>
              <w:tc>
                <w:tcPr>
                  <w:tcW w:w="1080" w:type="dxa"/>
                </w:tcPr>
                <w:p w14:paraId="19D580CB" w14:textId="77777777" w:rsidR="009F284E" w:rsidRPr="00214834" w:rsidRDefault="00ED20FF" w:rsidP="009F284E">
                  <w:pPr>
                    <w:rPr>
                      <w:sz w:val="14"/>
                      <w:szCs w:val="14"/>
                    </w:rPr>
                  </w:pPr>
                  <w:r>
                    <w:rPr>
                      <w:sz w:val="14"/>
                      <w:szCs w:val="14"/>
                    </w:rPr>
                    <w:t>10.08</w:t>
                  </w:r>
                  <w:r w:rsidR="009F284E">
                    <w:rPr>
                      <w:sz w:val="14"/>
                      <w:szCs w:val="14"/>
                    </w:rPr>
                    <w:t>%</w:t>
                  </w:r>
                </w:p>
              </w:tc>
            </w:tr>
            <w:tr w:rsidR="009F284E" w:rsidRPr="00214834" w14:paraId="76DDF801" w14:textId="77777777" w:rsidTr="009F284E">
              <w:tc>
                <w:tcPr>
                  <w:tcW w:w="3037" w:type="dxa"/>
                  <w:gridSpan w:val="2"/>
                </w:tcPr>
                <w:p w14:paraId="480DE44B" w14:textId="77777777" w:rsidR="009F284E" w:rsidRPr="00214834" w:rsidRDefault="009F284E" w:rsidP="009F284E">
                  <w:pPr>
                    <w:rPr>
                      <w:sz w:val="14"/>
                      <w:szCs w:val="14"/>
                    </w:rPr>
                  </w:pPr>
                  <w:r w:rsidRPr="00214834">
                    <w:rPr>
                      <w:sz w:val="14"/>
                      <w:szCs w:val="14"/>
                    </w:rPr>
                    <w:t>Cost of Debt</w:t>
                  </w:r>
                </w:p>
              </w:tc>
              <w:tc>
                <w:tcPr>
                  <w:tcW w:w="1080" w:type="dxa"/>
                  <w:vAlign w:val="bottom"/>
                </w:tcPr>
                <w:p w14:paraId="57FBEDC8" w14:textId="77777777" w:rsidR="009F284E" w:rsidRPr="00AD78AE" w:rsidRDefault="009F284E" w:rsidP="009F284E">
                  <w:pPr>
                    <w:rPr>
                      <w:sz w:val="14"/>
                      <w:szCs w:val="14"/>
                    </w:rPr>
                  </w:pPr>
                  <w:r w:rsidRPr="00AD78AE">
                    <w:rPr>
                      <w:rFonts w:eastAsia="Times New Roman" w:cs="Times New Roman"/>
                      <w:color w:val="000000"/>
                      <w:sz w:val="14"/>
                      <w:szCs w:val="14"/>
                    </w:rPr>
                    <w:t>1.</w:t>
                  </w:r>
                  <w:r w:rsidR="00FA01D4">
                    <w:rPr>
                      <w:rFonts w:eastAsia="Times New Roman" w:cs="Times New Roman"/>
                      <w:color w:val="000000"/>
                      <w:sz w:val="14"/>
                      <w:szCs w:val="14"/>
                    </w:rPr>
                    <w:t>81</w:t>
                  </w:r>
                </w:p>
              </w:tc>
            </w:tr>
            <w:tr w:rsidR="009F284E" w:rsidRPr="00214834" w14:paraId="3CF63ED0" w14:textId="77777777" w:rsidTr="009F284E">
              <w:tc>
                <w:tcPr>
                  <w:tcW w:w="3037" w:type="dxa"/>
                  <w:gridSpan w:val="2"/>
                </w:tcPr>
                <w:p w14:paraId="3C804336" w14:textId="77777777" w:rsidR="009F284E" w:rsidRPr="00214834" w:rsidRDefault="009F284E" w:rsidP="009F284E">
                  <w:pPr>
                    <w:rPr>
                      <w:sz w:val="14"/>
                      <w:szCs w:val="14"/>
                    </w:rPr>
                  </w:pPr>
                  <w:r w:rsidRPr="00214834">
                    <w:rPr>
                      <w:sz w:val="14"/>
                      <w:szCs w:val="14"/>
                    </w:rPr>
                    <w:t>Tax Rate</w:t>
                  </w:r>
                </w:p>
              </w:tc>
              <w:tc>
                <w:tcPr>
                  <w:tcW w:w="1080" w:type="dxa"/>
                  <w:vAlign w:val="bottom"/>
                </w:tcPr>
                <w:p w14:paraId="1F9F4A68" w14:textId="77777777" w:rsidR="009F284E" w:rsidRPr="00AD78AE" w:rsidRDefault="00FA01D4" w:rsidP="009F284E">
                  <w:pPr>
                    <w:rPr>
                      <w:sz w:val="14"/>
                      <w:szCs w:val="14"/>
                    </w:rPr>
                  </w:pPr>
                  <w:r>
                    <w:rPr>
                      <w:rFonts w:eastAsia="Times New Roman" w:cs="Times New Roman"/>
                      <w:color w:val="000000"/>
                      <w:sz w:val="14"/>
                      <w:szCs w:val="14"/>
                    </w:rPr>
                    <w:t>26.75</w:t>
                  </w:r>
                </w:p>
              </w:tc>
            </w:tr>
            <w:tr w:rsidR="009F284E" w:rsidRPr="00214834" w14:paraId="74FB68CF" w14:textId="77777777" w:rsidTr="009F284E">
              <w:tc>
                <w:tcPr>
                  <w:tcW w:w="3037" w:type="dxa"/>
                  <w:gridSpan w:val="2"/>
                </w:tcPr>
                <w:p w14:paraId="4DD492E5" w14:textId="77777777" w:rsidR="009F284E" w:rsidRPr="00214834" w:rsidRDefault="009F284E" w:rsidP="009F284E">
                  <w:pPr>
                    <w:rPr>
                      <w:sz w:val="14"/>
                      <w:szCs w:val="14"/>
                    </w:rPr>
                  </w:pPr>
                  <w:r w:rsidRPr="00214834">
                    <w:rPr>
                      <w:sz w:val="14"/>
                      <w:szCs w:val="14"/>
                    </w:rPr>
                    <w:t xml:space="preserve">Cost of Equity </w:t>
                  </w:r>
                </w:p>
              </w:tc>
              <w:tc>
                <w:tcPr>
                  <w:tcW w:w="1080" w:type="dxa"/>
                  <w:vAlign w:val="bottom"/>
                </w:tcPr>
                <w:p w14:paraId="6F143328" w14:textId="77777777" w:rsidR="009F284E" w:rsidRPr="00AD78AE" w:rsidRDefault="00FA01D4" w:rsidP="009F284E">
                  <w:pPr>
                    <w:rPr>
                      <w:sz w:val="14"/>
                      <w:szCs w:val="14"/>
                    </w:rPr>
                  </w:pPr>
                  <w:r>
                    <w:rPr>
                      <w:rFonts w:eastAsia="Times New Roman" w:cs="Times New Roman"/>
                      <w:color w:val="000000"/>
                      <w:sz w:val="14"/>
                      <w:szCs w:val="14"/>
                    </w:rPr>
                    <w:t>9.26</w:t>
                  </w:r>
                </w:p>
              </w:tc>
            </w:tr>
            <w:tr w:rsidR="009F284E" w:rsidRPr="00214834" w14:paraId="1EBE13D8" w14:textId="77777777" w:rsidTr="009F284E">
              <w:tc>
                <w:tcPr>
                  <w:tcW w:w="3037" w:type="dxa"/>
                  <w:gridSpan w:val="2"/>
                </w:tcPr>
                <w:p w14:paraId="6BF0C0F6" w14:textId="77777777" w:rsidR="009F284E" w:rsidRPr="00214834" w:rsidRDefault="009F284E" w:rsidP="009F284E">
                  <w:pPr>
                    <w:rPr>
                      <w:sz w:val="14"/>
                      <w:szCs w:val="14"/>
                    </w:rPr>
                  </w:pPr>
                  <w:r w:rsidRPr="00214834">
                    <w:rPr>
                      <w:sz w:val="14"/>
                      <w:szCs w:val="14"/>
                    </w:rPr>
                    <w:t>WACC</w:t>
                  </w:r>
                </w:p>
              </w:tc>
              <w:tc>
                <w:tcPr>
                  <w:tcW w:w="1080" w:type="dxa"/>
                  <w:vAlign w:val="bottom"/>
                </w:tcPr>
                <w:p w14:paraId="0E278FA3" w14:textId="77777777" w:rsidR="009F284E" w:rsidRPr="00AD78AE" w:rsidRDefault="00FA01D4" w:rsidP="009F284E">
                  <w:pPr>
                    <w:rPr>
                      <w:sz w:val="14"/>
                      <w:szCs w:val="14"/>
                    </w:rPr>
                  </w:pPr>
                  <w:r>
                    <w:rPr>
                      <w:rFonts w:eastAsia="Times New Roman" w:cs="Times New Roman"/>
                      <w:color w:val="000000"/>
                      <w:sz w:val="14"/>
                      <w:szCs w:val="14"/>
                    </w:rPr>
                    <w:t>8.7%</w:t>
                  </w:r>
                </w:p>
              </w:tc>
            </w:tr>
            <w:tr w:rsidR="009F284E" w:rsidRPr="00214834" w14:paraId="7CC18689" w14:textId="77777777" w:rsidTr="009F284E">
              <w:trPr>
                <w:trHeight w:val="197"/>
              </w:trPr>
              <w:tc>
                <w:tcPr>
                  <w:tcW w:w="3037" w:type="dxa"/>
                  <w:gridSpan w:val="2"/>
                </w:tcPr>
                <w:p w14:paraId="7D0BFEB6" w14:textId="77777777" w:rsidR="009F284E" w:rsidRPr="00214834" w:rsidRDefault="009F284E" w:rsidP="009F284E">
                  <w:pPr>
                    <w:rPr>
                      <w:sz w:val="14"/>
                      <w:szCs w:val="14"/>
                    </w:rPr>
                  </w:pPr>
                  <w:r w:rsidRPr="00214834">
                    <w:rPr>
                      <w:sz w:val="14"/>
                      <w:szCs w:val="14"/>
                    </w:rPr>
                    <w:t>Perpetuity Growth Rate (Terminal)</w:t>
                  </w:r>
                </w:p>
              </w:tc>
              <w:tc>
                <w:tcPr>
                  <w:tcW w:w="1080" w:type="dxa"/>
                  <w:vAlign w:val="bottom"/>
                </w:tcPr>
                <w:p w14:paraId="503783A1" w14:textId="77777777" w:rsidR="009F284E" w:rsidRPr="00AD78AE" w:rsidRDefault="00FA01D4" w:rsidP="009F284E">
                  <w:pPr>
                    <w:rPr>
                      <w:sz w:val="14"/>
                      <w:szCs w:val="14"/>
                    </w:rPr>
                  </w:pPr>
                  <w:r>
                    <w:rPr>
                      <w:sz w:val="14"/>
                      <w:szCs w:val="14"/>
                    </w:rPr>
                    <w:t>4.4</w:t>
                  </w:r>
                  <w:r w:rsidR="009F284E">
                    <w:rPr>
                      <w:sz w:val="14"/>
                      <w:szCs w:val="14"/>
                    </w:rPr>
                    <w:t>%</w:t>
                  </w:r>
                </w:p>
              </w:tc>
            </w:tr>
          </w:tbl>
          <w:p w14:paraId="275327D0" w14:textId="77777777" w:rsidR="009F284E" w:rsidRPr="00214834" w:rsidRDefault="009F284E" w:rsidP="009F284E">
            <w:pPr>
              <w:jc w:val="both"/>
              <w:rPr>
                <w:b/>
                <w:sz w:val="14"/>
                <w:szCs w:val="14"/>
              </w:rPr>
            </w:pPr>
            <w:r w:rsidRPr="00214834">
              <w:rPr>
                <w:b/>
                <w:sz w:val="14"/>
                <w:szCs w:val="14"/>
              </w:rPr>
              <w:t xml:space="preserve">Analyst Opinion </w:t>
            </w:r>
          </w:p>
          <w:tbl>
            <w:tblPr>
              <w:tblStyle w:val="TableGrid"/>
              <w:tblW w:w="0" w:type="auto"/>
              <w:tblLook w:val="04A0" w:firstRow="1" w:lastRow="0" w:firstColumn="1" w:lastColumn="0" w:noHBand="0" w:noVBand="1"/>
            </w:tblPr>
            <w:tblGrid>
              <w:gridCol w:w="1363"/>
              <w:gridCol w:w="1363"/>
              <w:gridCol w:w="1363"/>
            </w:tblGrid>
            <w:tr w:rsidR="009F284E" w:rsidRPr="00214834" w14:paraId="6B742DA5" w14:textId="77777777" w:rsidTr="009F284E">
              <w:tc>
                <w:tcPr>
                  <w:tcW w:w="1363" w:type="dxa"/>
                  <w:shd w:val="clear" w:color="auto" w:fill="DBE5F1" w:themeFill="accent1" w:themeFillTint="33"/>
                </w:tcPr>
                <w:p w14:paraId="3C2B1BB9" w14:textId="5370BC69" w:rsidR="009F284E" w:rsidRPr="00214834" w:rsidRDefault="009F284E" w:rsidP="009F284E">
                  <w:pPr>
                    <w:jc w:val="both"/>
                    <w:rPr>
                      <w:sz w:val="14"/>
                      <w:szCs w:val="14"/>
                    </w:rPr>
                  </w:pPr>
                  <w:r w:rsidRPr="00214834">
                    <w:rPr>
                      <w:sz w:val="14"/>
                      <w:szCs w:val="14"/>
                    </w:rPr>
                    <w:t xml:space="preserve">Buy: </w:t>
                  </w:r>
                  <w:r w:rsidR="005616D5">
                    <w:rPr>
                      <w:sz w:val="14"/>
                      <w:szCs w:val="14"/>
                    </w:rPr>
                    <w:t>11</w:t>
                  </w:r>
                </w:p>
              </w:tc>
              <w:tc>
                <w:tcPr>
                  <w:tcW w:w="1363" w:type="dxa"/>
                  <w:shd w:val="clear" w:color="auto" w:fill="DBE5F1" w:themeFill="accent1" w:themeFillTint="33"/>
                </w:tcPr>
                <w:p w14:paraId="5CD354C8" w14:textId="359D8B3C" w:rsidR="009F284E" w:rsidRPr="00214834" w:rsidRDefault="009F284E" w:rsidP="009F284E">
                  <w:pPr>
                    <w:jc w:val="both"/>
                    <w:rPr>
                      <w:sz w:val="14"/>
                      <w:szCs w:val="14"/>
                    </w:rPr>
                  </w:pPr>
                  <w:r w:rsidRPr="00214834">
                    <w:rPr>
                      <w:sz w:val="14"/>
                      <w:szCs w:val="14"/>
                    </w:rPr>
                    <w:t xml:space="preserve">Hold: </w:t>
                  </w:r>
                  <w:r>
                    <w:rPr>
                      <w:sz w:val="14"/>
                      <w:szCs w:val="14"/>
                    </w:rPr>
                    <w:t xml:space="preserve"> </w:t>
                  </w:r>
                  <w:r w:rsidR="005616D5">
                    <w:rPr>
                      <w:sz w:val="14"/>
                      <w:szCs w:val="14"/>
                    </w:rPr>
                    <w:t>8</w:t>
                  </w:r>
                </w:p>
              </w:tc>
              <w:tc>
                <w:tcPr>
                  <w:tcW w:w="1363" w:type="dxa"/>
                  <w:shd w:val="clear" w:color="auto" w:fill="DBE5F1" w:themeFill="accent1" w:themeFillTint="33"/>
                </w:tcPr>
                <w:p w14:paraId="32686EEC" w14:textId="34B3ABBB" w:rsidR="009F284E" w:rsidRPr="00214834" w:rsidRDefault="009F284E" w:rsidP="009F284E">
                  <w:pPr>
                    <w:jc w:val="both"/>
                    <w:rPr>
                      <w:sz w:val="14"/>
                      <w:szCs w:val="14"/>
                    </w:rPr>
                  </w:pPr>
                  <w:r w:rsidRPr="00214834">
                    <w:rPr>
                      <w:sz w:val="14"/>
                      <w:szCs w:val="14"/>
                    </w:rPr>
                    <w:t xml:space="preserve">Sell: </w:t>
                  </w:r>
                  <w:r w:rsidR="005616D5">
                    <w:rPr>
                      <w:sz w:val="14"/>
                      <w:szCs w:val="14"/>
                    </w:rPr>
                    <w:t>0</w:t>
                  </w:r>
                </w:p>
              </w:tc>
            </w:tr>
          </w:tbl>
          <w:p w14:paraId="630811F1" w14:textId="77777777" w:rsidR="009F284E" w:rsidRPr="00214834" w:rsidRDefault="009F284E" w:rsidP="009F284E">
            <w:pPr>
              <w:jc w:val="both"/>
              <w:rPr>
                <w:b/>
                <w:sz w:val="14"/>
                <w:szCs w:val="14"/>
              </w:rPr>
            </w:pPr>
          </w:p>
          <w:tbl>
            <w:tblPr>
              <w:tblStyle w:val="TableGrid"/>
              <w:tblW w:w="4117" w:type="dxa"/>
              <w:tblLook w:val="04A0" w:firstRow="1" w:lastRow="0" w:firstColumn="1" w:lastColumn="0" w:noHBand="0" w:noVBand="1"/>
            </w:tblPr>
            <w:tblGrid>
              <w:gridCol w:w="1507"/>
              <w:gridCol w:w="1221"/>
              <w:gridCol w:w="1389"/>
            </w:tblGrid>
            <w:tr w:rsidR="009F284E" w:rsidRPr="00214834" w14:paraId="41FEAD34" w14:textId="77777777" w:rsidTr="009F284E">
              <w:tc>
                <w:tcPr>
                  <w:tcW w:w="1507" w:type="dxa"/>
                  <w:shd w:val="clear" w:color="auto" w:fill="DBE5F1" w:themeFill="accent1" w:themeFillTint="33"/>
                </w:tcPr>
                <w:p w14:paraId="47A54642" w14:textId="77777777" w:rsidR="009F284E" w:rsidRPr="00214834" w:rsidRDefault="009F284E" w:rsidP="009F284E">
                  <w:pPr>
                    <w:jc w:val="both"/>
                    <w:rPr>
                      <w:sz w:val="14"/>
                      <w:szCs w:val="14"/>
                    </w:rPr>
                  </w:pPr>
                </w:p>
              </w:tc>
              <w:tc>
                <w:tcPr>
                  <w:tcW w:w="1221" w:type="dxa"/>
                  <w:shd w:val="clear" w:color="auto" w:fill="DBE5F1" w:themeFill="accent1" w:themeFillTint="33"/>
                </w:tcPr>
                <w:p w14:paraId="2A85278C" w14:textId="77777777" w:rsidR="009F284E" w:rsidRPr="00214834" w:rsidRDefault="009F284E" w:rsidP="009F284E">
                  <w:pPr>
                    <w:jc w:val="both"/>
                    <w:rPr>
                      <w:sz w:val="14"/>
                      <w:szCs w:val="14"/>
                    </w:rPr>
                  </w:pPr>
                  <w:r w:rsidRPr="00214834">
                    <w:rPr>
                      <w:sz w:val="14"/>
                      <w:szCs w:val="14"/>
                    </w:rPr>
                    <w:t xml:space="preserve">Rating </w:t>
                  </w:r>
                </w:p>
              </w:tc>
              <w:tc>
                <w:tcPr>
                  <w:tcW w:w="1389" w:type="dxa"/>
                  <w:shd w:val="clear" w:color="auto" w:fill="DBE5F1" w:themeFill="accent1" w:themeFillTint="33"/>
                </w:tcPr>
                <w:p w14:paraId="514AE9F8" w14:textId="77777777" w:rsidR="009F284E" w:rsidRPr="00214834" w:rsidRDefault="009F284E" w:rsidP="009F284E">
                  <w:pPr>
                    <w:jc w:val="both"/>
                    <w:rPr>
                      <w:sz w:val="14"/>
                      <w:szCs w:val="14"/>
                    </w:rPr>
                  </w:pPr>
                  <w:r w:rsidRPr="00214834">
                    <w:rPr>
                      <w:sz w:val="14"/>
                      <w:szCs w:val="14"/>
                    </w:rPr>
                    <w:t>Target</w:t>
                  </w:r>
                </w:p>
              </w:tc>
            </w:tr>
            <w:tr w:rsidR="009F284E" w:rsidRPr="00214834" w14:paraId="6E6456ED" w14:textId="77777777" w:rsidTr="009F284E">
              <w:tc>
                <w:tcPr>
                  <w:tcW w:w="1507" w:type="dxa"/>
                </w:tcPr>
                <w:p w14:paraId="6247831F" w14:textId="77777777" w:rsidR="009F284E" w:rsidRPr="00214834" w:rsidRDefault="009F284E" w:rsidP="009F284E">
                  <w:pPr>
                    <w:jc w:val="both"/>
                    <w:rPr>
                      <w:sz w:val="14"/>
                      <w:szCs w:val="14"/>
                    </w:rPr>
                  </w:pPr>
                  <w:r>
                    <w:rPr>
                      <w:sz w:val="14"/>
                      <w:szCs w:val="14"/>
                    </w:rPr>
                    <w:t>Morningstar</w:t>
                  </w:r>
                </w:p>
              </w:tc>
              <w:tc>
                <w:tcPr>
                  <w:tcW w:w="1221" w:type="dxa"/>
                </w:tcPr>
                <w:p w14:paraId="6C7E374B" w14:textId="77777777" w:rsidR="009F284E" w:rsidRPr="00214834" w:rsidRDefault="009F284E" w:rsidP="009F284E">
                  <w:pPr>
                    <w:jc w:val="both"/>
                    <w:rPr>
                      <w:sz w:val="14"/>
                      <w:szCs w:val="14"/>
                    </w:rPr>
                  </w:pPr>
                  <w:r>
                    <w:rPr>
                      <w:sz w:val="14"/>
                      <w:szCs w:val="14"/>
                    </w:rPr>
                    <w:t>5/5 Stars</w:t>
                  </w:r>
                </w:p>
              </w:tc>
              <w:tc>
                <w:tcPr>
                  <w:tcW w:w="1389" w:type="dxa"/>
                </w:tcPr>
                <w:p w14:paraId="411C1BD3" w14:textId="77777777" w:rsidR="009F284E" w:rsidRPr="00214834" w:rsidRDefault="009F284E" w:rsidP="009F284E">
                  <w:pPr>
                    <w:jc w:val="both"/>
                    <w:rPr>
                      <w:sz w:val="14"/>
                      <w:szCs w:val="14"/>
                    </w:rPr>
                  </w:pPr>
                </w:p>
              </w:tc>
            </w:tr>
            <w:tr w:rsidR="009F284E" w:rsidRPr="00214834" w14:paraId="6D23AC93" w14:textId="77777777" w:rsidTr="009F284E">
              <w:trPr>
                <w:trHeight w:val="215"/>
              </w:trPr>
              <w:tc>
                <w:tcPr>
                  <w:tcW w:w="1507" w:type="dxa"/>
                </w:tcPr>
                <w:p w14:paraId="1A67A3CF" w14:textId="77777777" w:rsidR="009F284E" w:rsidRPr="00214834" w:rsidRDefault="009F284E" w:rsidP="009F284E">
                  <w:pPr>
                    <w:jc w:val="both"/>
                    <w:rPr>
                      <w:sz w:val="14"/>
                      <w:szCs w:val="14"/>
                    </w:rPr>
                  </w:pPr>
                  <w:r>
                    <w:rPr>
                      <w:sz w:val="14"/>
                      <w:szCs w:val="14"/>
                    </w:rPr>
                    <w:t xml:space="preserve">S&amp;P </w:t>
                  </w:r>
                  <w:proofErr w:type="spellStart"/>
                  <w:r>
                    <w:rPr>
                      <w:sz w:val="14"/>
                      <w:szCs w:val="14"/>
                    </w:rPr>
                    <w:t>NetAdvantage</w:t>
                  </w:r>
                  <w:proofErr w:type="spellEnd"/>
                </w:p>
              </w:tc>
              <w:tc>
                <w:tcPr>
                  <w:tcW w:w="1221" w:type="dxa"/>
                </w:tcPr>
                <w:p w14:paraId="1503EA48" w14:textId="1242A23D" w:rsidR="009F284E" w:rsidRPr="00214834" w:rsidRDefault="00EB782D" w:rsidP="009F284E">
                  <w:pPr>
                    <w:jc w:val="both"/>
                    <w:rPr>
                      <w:sz w:val="14"/>
                      <w:szCs w:val="14"/>
                    </w:rPr>
                  </w:pPr>
                  <w:r>
                    <w:rPr>
                      <w:sz w:val="14"/>
                      <w:szCs w:val="14"/>
                    </w:rPr>
                    <w:t>A, Strong Buy</w:t>
                  </w:r>
                </w:p>
              </w:tc>
              <w:tc>
                <w:tcPr>
                  <w:tcW w:w="1389" w:type="dxa"/>
                </w:tcPr>
                <w:p w14:paraId="523F9AD5" w14:textId="57DE9F82" w:rsidR="009F284E" w:rsidRPr="00214834" w:rsidRDefault="009F284E" w:rsidP="009F284E">
                  <w:pPr>
                    <w:jc w:val="both"/>
                    <w:rPr>
                      <w:sz w:val="14"/>
                      <w:szCs w:val="14"/>
                    </w:rPr>
                  </w:pPr>
                </w:p>
              </w:tc>
            </w:tr>
            <w:tr w:rsidR="009F284E" w:rsidRPr="00214834" w14:paraId="2EFCF505" w14:textId="77777777" w:rsidTr="009F284E">
              <w:trPr>
                <w:trHeight w:val="215"/>
              </w:trPr>
              <w:tc>
                <w:tcPr>
                  <w:tcW w:w="1507" w:type="dxa"/>
                </w:tcPr>
                <w:p w14:paraId="0CA08362" w14:textId="77777777" w:rsidR="009F284E" w:rsidRPr="00214834" w:rsidRDefault="009F284E" w:rsidP="009F284E">
                  <w:pPr>
                    <w:jc w:val="both"/>
                    <w:rPr>
                      <w:sz w:val="14"/>
                      <w:szCs w:val="14"/>
                    </w:rPr>
                  </w:pPr>
                  <w:proofErr w:type="spellStart"/>
                  <w:r>
                    <w:rPr>
                      <w:sz w:val="14"/>
                      <w:szCs w:val="14"/>
                    </w:rPr>
                    <w:t>Valueline</w:t>
                  </w:r>
                  <w:proofErr w:type="spellEnd"/>
                </w:p>
              </w:tc>
              <w:tc>
                <w:tcPr>
                  <w:tcW w:w="1221" w:type="dxa"/>
                </w:tcPr>
                <w:p w14:paraId="04DD035F" w14:textId="36D7517C" w:rsidR="009F284E" w:rsidRPr="00214834" w:rsidRDefault="00EB782D" w:rsidP="009F284E">
                  <w:pPr>
                    <w:jc w:val="both"/>
                    <w:rPr>
                      <w:sz w:val="14"/>
                      <w:szCs w:val="14"/>
                    </w:rPr>
                  </w:pPr>
                  <w:r>
                    <w:rPr>
                      <w:sz w:val="14"/>
                      <w:szCs w:val="14"/>
                    </w:rPr>
                    <w:t>A</w:t>
                  </w:r>
                </w:p>
              </w:tc>
              <w:tc>
                <w:tcPr>
                  <w:tcW w:w="1389" w:type="dxa"/>
                </w:tcPr>
                <w:p w14:paraId="2DD712E7" w14:textId="3C9735FA" w:rsidR="009F284E" w:rsidRPr="00214834" w:rsidRDefault="009F284E" w:rsidP="005616D5">
                  <w:pPr>
                    <w:jc w:val="both"/>
                    <w:rPr>
                      <w:sz w:val="14"/>
                      <w:szCs w:val="14"/>
                    </w:rPr>
                  </w:pPr>
                </w:p>
              </w:tc>
            </w:tr>
          </w:tbl>
          <w:p w14:paraId="39509722" w14:textId="77777777" w:rsidR="009F284E" w:rsidRPr="00214834" w:rsidRDefault="009F284E" w:rsidP="009F284E">
            <w:pPr>
              <w:jc w:val="both"/>
              <w:rPr>
                <w:b/>
                <w:sz w:val="14"/>
                <w:szCs w:val="14"/>
              </w:rPr>
            </w:pPr>
          </w:p>
        </w:tc>
      </w:tr>
    </w:tbl>
    <w:p w14:paraId="44B691EB" w14:textId="77777777" w:rsidR="009F284E" w:rsidRPr="00214834" w:rsidRDefault="009F284E" w:rsidP="009F284E">
      <w:pPr>
        <w:ind w:left="-1440"/>
        <w:jc w:val="both"/>
        <w:rPr>
          <w:b/>
          <w:sz w:val="14"/>
          <w:szCs w:val="14"/>
        </w:rPr>
      </w:pPr>
    </w:p>
    <w:tbl>
      <w:tblPr>
        <w:tblStyle w:val="TableGrid"/>
        <w:tblW w:w="11808" w:type="dxa"/>
        <w:tblInd w:w="-1440" w:type="dxa"/>
        <w:tblLook w:val="04A0" w:firstRow="1" w:lastRow="0" w:firstColumn="1" w:lastColumn="0" w:noHBand="0" w:noVBand="1"/>
      </w:tblPr>
      <w:tblGrid>
        <w:gridCol w:w="7416"/>
        <w:gridCol w:w="4392"/>
      </w:tblGrid>
      <w:tr w:rsidR="009F284E" w:rsidRPr="00214834" w14:paraId="19F839F0" w14:textId="77777777" w:rsidTr="009F284E">
        <w:tc>
          <w:tcPr>
            <w:tcW w:w="7488" w:type="dxa"/>
            <w:shd w:val="clear" w:color="auto" w:fill="365F91" w:themeFill="accent1" w:themeFillShade="BF"/>
          </w:tcPr>
          <w:p w14:paraId="2B08C75A" w14:textId="77777777" w:rsidR="009F284E" w:rsidRPr="00214834" w:rsidRDefault="009F284E" w:rsidP="009F284E">
            <w:pPr>
              <w:rPr>
                <w:b/>
                <w:color w:val="FFFFFF" w:themeColor="background1"/>
                <w:sz w:val="14"/>
                <w:szCs w:val="14"/>
              </w:rPr>
            </w:pPr>
            <w:r w:rsidRPr="00214834">
              <w:rPr>
                <w:b/>
                <w:color w:val="FFFFFF" w:themeColor="background1"/>
                <w:sz w:val="14"/>
                <w:szCs w:val="14"/>
              </w:rPr>
              <w:t>Relative Valuation</w:t>
            </w:r>
          </w:p>
        </w:tc>
        <w:tc>
          <w:tcPr>
            <w:tcW w:w="4320" w:type="dxa"/>
            <w:shd w:val="clear" w:color="auto" w:fill="365F91" w:themeFill="accent1" w:themeFillShade="BF"/>
          </w:tcPr>
          <w:p w14:paraId="0AD49F84" w14:textId="77777777" w:rsidR="009F284E" w:rsidRPr="00214834" w:rsidRDefault="009F284E" w:rsidP="009F284E">
            <w:pPr>
              <w:jc w:val="both"/>
              <w:rPr>
                <w:b/>
                <w:color w:val="FFFFFF" w:themeColor="background1"/>
                <w:sz w:val="14"/>
                <w:szCs w:val="14"/>
              </w:rPr>
            </w:pPr>
            <w:r w:rsidRPr="00214834">
              <w:rPr>
                <w:b/>
                <w:color w:val="FFFFFF" w:themeColor="background1"/>
                <w:sz w:val="14"/>
                <w:szCs w:val="14"/>
              </w:rPr>
              <w:t>Total Return</w:t>
            </w:r>
          </w:p>
        </w:tc>
      </w:tr>
      <w:tr w:rsidR="009F284E" w:rsidRPr="00214834" w14:paraId="55DC2F4C" w14:textId="77777777" w:rsidTr="009F284E">
        <w:tc>
          <w:tcPr>
            <w:tcW w:w="7488" w:type="dxa"/>
          </w:tcPr>
          <w:p w14:paraId="62D35B64" w14:textId="77777777" w:rsidR="009F284E" w:rsidRPr="00214834" w:rsidRDefault="009F284E" w:rsidP="009F284E">
            <w:pPr>
              <w:jc w:val="both"/>
              <w:rPr>
                <w:b/>
                <w:sz w:val="14"/>
                <w:szCs w:val="14"/>
              </w:rPr>
            </w:pPr>
          </w:p>
          <w:tbl>
            <w:tblPr>
              <w:tblStyle w:val="TableGrid"/>
              <w:tblW w:w="6304" w:type="dxa"/>
              <w:tblLook w:val="04A0" w:firstRow="1" w:lastRow="0" w:firstColumn="1" w:lastColumn="0" w:noHBand="0" w:noVBand="1"/>
            </w:tblPr>
            <w:tblGrid>
              <w:gridCol w:w="1677"/>
              <w:gridCol w:w="815"/>
              <w:gridCol w:w="804"/>
              <w:gridCol w:w="885"/>
              <w:gridCol w:w="981"/>
              <w:gridCol w:w="1142"/>
            </w:tblGrid>
            <w:tr w:rsidR="00FA01D4" w:rsidRPr="00214834" w14:paraId="64DBCF83" w14:textId="77777777" w:rsidTr="00FA01D4">
              <w:tc>
                <w:tcPr>
                  <w:tcW w:w="1677" w:type="dxa"/>
                  <w:shd w:val="clear" w:color="auto" w:fill="DBE5F1" w:themeFill="accent1" w:themeFillTint="33"/>
                </w:tcPr>
                <w:p w14:paraId="6165F5CD" w14:textId="77777777" w:rsidR="00FA01D4" w:rsidRPr="00214834" w:rsidRDefault="00FA01D4" w:rsidP="009F284E">
                  <w:pPr>
                    <w:rPr>
                      <w:sz w:val="14"/>
                      <w:szCs w:val="14"/>
                    </w:rPr>
                  </w:pPr>
                </w:p>
              </w:tc>
              <w:tc>
                <w:tcPr>
                  <w:tcW w:w="815" w:type="dxa"/>
                  <w:shd w:val="clear" w:color="auto" w:fill="DBE5F1" w:themeFill="accent1" w:themeFillTint="33"/>
                </w:tcPr>
                <w:p w14:paraId="1F939796" w14:textId="77777777" w:rsidR="00FA01D4" w:rsidRPr="00214834" w:rsidRDefault="00FA01D4" w:rsidP="009F284E">
                  <w:pPr>
                    <w:rPr>
                      <w:sz w:val="14"/>
                      <w:szCs w:val="14"/>
                    </w:rPr>
                  </w:pPr>
                  <w:r>
                    <w:rPr>
                      <w:sz w:val="14"/>
                      <w:szCs w:val="14"/>
                    </w:rPr>
                    <w:t>THO</w:t>
                  </w:r>
                  <w:r w:rsidRPr="00214834">
                    <w:rPr>
                      <w:sz w:val="14"/>
                      <w:szCs w:val="14"/>
                    </w:rPr>
                    <w:t xml:space="preserve"> US</w:t>
                  </w:r>
                </w:p>
              </w:tc>
              <w:tc>
                <w:tcPr>
                  <w:tcW w:w="804" w:type="dxa"/>
                  <w:shd w:val="clear" w:color="auto" w:fill="DBE5F1" w:themeFill="accent1" w:themeFillTint="33"/>
                </w:tcPr>
                <w:p w14:paraId="7C2B0E5C" w14:textId="77777777" w:rsidR="00FA01D4" w:rsidRPr="00214834" w:rsidRDefault="00FA01D4" w:rsidP="009F284E">
                  <w:pPr>
                    <w:rPr>
                      <w:sz w:val="14"/>
                      <w:szCs w:val="14"/>
                    </w:rPr>
                  </w:pPr>
                  <w:r>
                    <w:rPr>
                      <w:sz w:val="14"/>
                      <w:szCs w:val="14"/>
                    </w:rPr>
                    <w:t>DW</w:t>
                  </w:r>
                  <w:r w:rsidRPr="00214834">
                    <w:rPr>
                      <w:sz w:val="14"/>
                      <w:szCs w:val="14"/>
                    </w:rPr>
                    <w:t xml:space="preserve"> </w:t>
                  </w:r>
                  <w:r>
                    <w:rPr>
                      <w:sz w:val="14"/>
                      <w:szCs w:val="14"/>
                    </w:rPr>
                    <w:t>US</w:t>
                  </w:r>
                  <w:r w:rsidRPr="00214834">
                    <w:rPr>
                      <w:sz w:val="14"/>
                      <w:szCs w:val="14"/>
                    </w:rPr>
                    <w:t xml:space="preserve"> </w:t>
                  </w:r>
                </w:p>
              </w:tc>
              <w:tc>
                <w:tcPr>
                  <w:tcW w:w="885" w:type="dxa"/>
                  <w:shd w:val="clear" w:color="auto" w:fill="DBE5F1" w:themeFill="accent1" w:themeFillTint="33"/>
                </w:tcPr>
                <w:p w14:paraId="1AD2DA75" w14:textId="77777777" w:rsidR="00FA01D4" w:rsidRPr="00214834" w:rsidRDefault="00FA01D4" w:rsidP="009F284E">
                  <w:pPr>
                    <w:rPr>
                      <w:sz w:val="14"/>
                      <w:szCs w:val="14"/>
                    </w:rPr>
                  </w:pPr>
                  <w:r>
                    <w:rPr>
                      <w:sz w:val="14"/>
                      <w:szCs w:val="14"/>
                    </w:rPr>
                    <w:t>BC</w:t>
                  </w:r>
                  <w:r w:rsidRPr="00214834">
                    <w:rPr>
                      <w:sz w:val="14"/>
                      <w:szCs w:val="14"/>
                    </w:rPr>
                    <w:t xml:space="preserve"> US</w:t>
                  </w:r>
                </w:p>
              </w:tc>
              <w:tc>
                <w:tcPr>
                  <w:tcW w:w="981" w:type="dxa"/>
                  <w:shd w:val="clear" w:color="auto" w:fill="DBE5F1" w:themeFill="accent1" w:themeFillTint="33"/>
                </w:tcPr>
                <w:p w14:paraId="261377DF" w14:textId="77777777" w:rsidR="00FA01D4" w:rsidRPr="00214834" w:rsidRDefault="00FA01D4" w:rsidP="009F284E">
                  <w:pPr>
                    <w:rPr>
                      <w:sz w:val="14"/>
                      <w:szCs w:val="14"/>
                    </w:rPr>
                  </w:pPr>
                  <w:r w:rsidRPr="00214834">
                    <w:rPr>
                      <w:sz w:val="14"/>
                      <w:szCs w:val="14"/>
                    </w:rPr>
                    <w:t xml:space="preserve">Ind. Average </w:t>
                  </w:r>
                </w:p>
              </w:tc>
              <w:tc>
                <w:tcPr>
                  <w:tcW w:w="1142" w:type="dxa"/>
                  <w:shd w:val="clear" w:color="auto" w:fill="DBE5F1" w:themeFill="accent1" w:themeFillTint="33"/>
                </w:tcPr>
                <w:p w14:paraId="53EA76C9" w14:textId="77777777" w:rsidR="00FA01D4" w:rsidRPr="00214834" w:rsidRDefault="00FA01D4" w:rsidP="009F284E">
                  <w:pPr>
                    <w:rPr>
                      <w:b/>
                      <w:sz w:val="14"/>
                      <w:szCs w:val="14"/>
                    </w:rPr>
                  </w:pPr>
                  <w:r>
                    <w:rPr>
                      <w:b/>
                      <w:sz w:val="14"/>
                      <w:szCs w:val="14"/>
                    </w:rPr>
                    <w:t>PII</w:t>
                  </w:r>
                  <w:r w:rsidRPr="00214834">
                    <w:rPr>
                      <w:b/>
                      <w:sz w:val="14"/>
                      <w:szCs w:val="14"/>
                    </w:rPr>
                    <w:t xml:space="preserve"> US </w:t>
                  </w:r>
                </w:p>
              </w:tc>
            </w:tr>
            <w:tr w:rsidR="00FA01D4" w:rsidRPr="00214834" w14:paraId="65467EFD" w14:textId="77777777" w:rsidTr="00FA01D4">
              <w:tc>
                <w:tcPr>
                  <w:tcW w:w="1677" w:type="dxa"/>
                </w:tcPr>
                <w:p w14:paraId="5FB4D444" w14:textId="77777777" w:rsidR="00FA01D4" w:rsidRPr="00214834" w:rsidRDefault="00FA01D4" w:rsidP="009F284E">
                  <w:pPr>
                    <w:rPr>
                      <w:sz w:val="14"/>
                      <w:szCs w:val="14"/>
                    </w:rPr>
                  </w:pPr>
                  <w:r w:rsidRPr="00214834">
                    <w:rPr>
                      <w:sz w:val="14"/>
                      <w:szCs w:val="14"/>
                    </w:rPr>
                    <w:t>P/E</w:t>
                  </w:r>
                </w:p>
              </w:tc>
              <w:tc>
                <w:tcPr>
                  <w:tcW w:w="815" w:type="dxa"/>
                  <w:vAlign w:val="bottom"/>
                </w:tcPr>
                <w:p w14:paraId="37402253" w14:textId="77777777" w:rsidR="00FA01D4" w:rsidRPr="00AD78AE" w:rsidRDefault="00FA01D4" w:rsidP="009F284E">
                  <w:pPr>
                    <w:jc w:val="right"/>
                    <w:rPr>
                      <w:sz w:val="14"/>
                      <w:szCs w:val="14"/>
                    </w:rPr>
                  </w:pPr>
                  <w:r>
                    <w:rPr>
                      <w:rFonts w:eastAsia="Times New Roman" w:cs="Times New Roman"/>
                      <w:bCs/>
                      <w:color w:val="000000"/>
                      <w:sz w:val="14"/>
                      <w:szCs w:val="14"/>
                    </w:rPr>
                    <w:t>12.64</w:t>
                  </w:r>
                </w:p>
              </w:tc>
              <w:tc>
                <w:tcPr>
                  <w:tcW w:w="804" w:type="dxa"/>
                  <w:vAlign w:val="bottom"/>
                </w:tcPr>
                <w:p w14:paraId="32719A07" w14:textId="77777777" w:rsidR="00FA01D4" w:rsidRPr="00AD78AE" w:rsidRDefault="00FA01D4" w:rsidP="009F284E">
                  <w:pPr>
                    <w:jc w:val="right"/>
                    <w:rPr>
                      <w:sz w:val="14"/>
                      <w:szCs w:val="14"/>
                    </w:rPr>
                  </w:pPr>
                  <w:r>
                    <w:rPr>
                      <w:rFonts w:eastAsia="Times New Roman" w:cs="Times New Roman"/>
                      <w:bCs/>
                      <w:color w:val="000000"/>
                      <w:sz w:val="14"/>
                      <w:szCs w:val="14"/>
                    </w:rPr>
                    <w:t>19.14</w:t>
                  </w:r>
                </w:p>
              </w:tc>
              <w:tc>
                <w:tcPr>
                  <w:tcW w:w="885" w:type="dxa"/>
                  <w:vAlign w:val="bottom"/>
                </w:tcPr>
                <w:p w14:paraId="4B2ECA25" w14:textId="77777777" w:rsidR="00FA01D4" w:rsidRPr="00AD78AE" w:rsidRDefault="00FA01D4" w:rsidP="009F284E">
                  <w:pPr>
                    <w:jc w:val="right"/>
                    <w:rPr>
                      <w:sz w:val="14"/>
                      <w:szCs w:val="14"/>
                    </w:rPr>
                  </w:pPr>
                  <w:r>
                    <w:rPr>
                      <w:rFonts w:eastAsia="Times New Roman" w:cs="Times New Roman"/>
                      <w:bCs/>
                      <w:color w:val="000000"/>
                      <w:sz w:val="14"/>
                      <w:szCs w:val="14"/>
                    </w:rPr>
                    <w:t>12.95</w:t>
                  </w:r>
                </w:p>
              </w:tc>
              <w:tc>
                <w:tcPr>
                  <w:tcW w:w="981" w:type="dxa"/>
                </w:tcPr>
                <w:p w14:paraId="5D0DD1D8" w14:textId="77777777" w:rsidR="00FA01D4" w:rsidRPr="00214834" w:rsidRDefault="00FA01D4" w:rsidP="009F284E">
                  <w:pPr>
                    <w:jc w:val="right"/>
                    <w:rPr>
                      <w:sz w:val="14"/>
                      <w:szCs w:val="14"/>
                    </w:rPr>
                  </w:pPr>
                  <w:r>
                    <w:rPr>
                      <w:sz w:val="14"/>
                      <w:szCs w:val="14"/>
                    </w:rPr>
                    <w:t>92.71</w:t>
                  </w:r>
                </w:p>
              </w:tc>
              <w:tc>
                <w:tcPr>
                  <w:tcW w:w="1142" w:type="dxa"/>
                  <w:vAlign w:val="bottom"/>
                </w:tcPr>
                <w:p w14:paraId="76383497" w14:textId="77777777" w:rsidR="00FA01D4" w:rsidRPr="00AD78AE" w:rsidRDefault="00FA01D4" w:rsidP="009F284E">
                  <w:pPr>
                    <w:jc w:val="right"/>
                    <w:rPr>
                      <w:b/>
                      <w:sz w:val="14"/>
                      <w:szCs w:val="14"/>
                    </w:rPr>
                  </w:pPr>
                  <w:r>
                    <w:rPr>
                      <w:rFonts w:eastAsia="Times New Roman" w:cs="Times New Roman"/>
                      <w:b/>
                      <w:bCs/>
                      <w:color w:val="000000"/>
                      <w:sz w:val="14"/>
                      <w:szCs w:val="14"/>
                    </w:rPr>
                    <w:t>10.20</w:t>
                  </w:r>
                </w:p>
              </w:tc>
            </w:tr>
            <w:tr w:rsidR="00FA01D4" w:rsidRPr="00214834" w14:paraId="107C822D" w14:textId="77777777" w:rsidTr="00FA01D4">
              <w:tc>
                <w:tcPr>
                  <w:tcW w:w="1677" w:type="dxa"/>
                </w:tcPr>
                <w:p w14:paraId="5C828CBF" w14:textId="77777777" w:rsidR="00FA01D4" w:rsidRPr="00214834" w:rsidRDefault="00FA01D4" w:rsidP="009F284E">
                  <w:pPr>
                    <w:rPr>
                      <w:sz w:val="14"/>
                      <w:szCs w:val="14"/>
                    </w:rPr>
                  </w:pPr>
                  <w:r w:rsidRPr="00214834">
                    <w:rPr>
                      <w:sz w:val="14"/>
                      <w:szCs w:val="14"/>
                    </w:rPr>
                    <w:t>P/B</w:t>
                  </w:r>
                </w:p>
              </w:tc>
              <w:tc>
                <w:tcPr>
                  <w:tcW w:w="815" w:type="dxa"/>
                  <w:vAlign w:val="bottom"/>
                </w:tcPr>
                <w:p w14:paraId="175E5740" w14:textId="77777777" w:rsidR="00FA01D4" w:rsidRPr="00AD78AE" w:rsidRDefault="00FA01D4" w:rsidP="009F284E">
                  <w:pPr>
                    <w:jc w:val="right"/>
                    <w:rPr>
                      <w:sz w:val="14"/>
                      <w:szCs w:val="14"/>
                    </w:rPr>
                  </w:pPr>
                  <w:r w:rsidRPr="00AD78AE">
                    <w:rPr>
                      <w:rFonts w:eastAsia="Times New Roman" w:cs="Times New Roman"/>
                      <w:bCs/>
                      <w:color w:val="000000"/>
                      <w:sz w:val="14"/>
                      <w:szCs w:val="14"/>
                    </w:rPr>
                    <w:t>2.</w:t>
                  </w:r>
                  <w:r>
                    <w:rPr>
                      <w:rFonts w:eastAsia="Times New Roman" w:cs="Times New Roman"/>
                      <w:bCs/>
                      <w:color w:val="000000"/>
                      <w:sz w:val="14"/>
                      <w:szCs w:val="14"/>
                    </w:rPr>
                    <w:t>44</w:t>
                  </w:r>
                </w:p>
              </w:tc>
              <w:tc>
                <w:tcPr>
                  <w:tcW w:w="804" w:type="dxa"/>
                  <w:vAlign w:val="bottom"/>
                </w:tcPr>
                <w:p w14:paraId="19460041" w14:textId="77777777" w:rsidR="00FA01D4" w:rsidRPr="00AD78AE" w:rsidRDefault="00FA01D4" w:rsidP="009F284E">
                  <w:pPr>
                    <w:jc w:val="right"/>
                    <w:rPr>
                      <w:sz w:val="14"/>
                      <w:szCs w:val="14"/>
                    </w:rPr>
                  </w:pPr>
                  <w:r>
                    <w:rPr>
                      <w:rFonts w:eastAsia="Times New Roman" w:cs="Times New Roman"/>
                      <w:bCs/>
                      <w:color w:val="000000"/>
                      <w:sz w:val="14"/>
                      <w:szCs w:val="14"/>
                    </w:rPr>
                    <w:t>3.16</w:t>
                  </w:r>
                </w:p>
              </w:tc>
              <w:tc>
                <w:tcPr>
                  <w:tcW w:w="885" w:type="dxa"/>
                  <w:vAlign w:val="bottom"/>
                </w:tcPr>
                <w:p w14:paraId="2D847476" w14:textId="77777777" w:rsidR="00FA01D4" w:rsidRPr="00AD78AE" w:rsidRDefault="00FA01D4" w:rsidP="009F284E">
                  <w:pPr>
                    <w:jc w:val="right"/>
                    <w:rPr>
                      <w:sz w:val="14"/>
                      <w:szCs w:val="14"/>
                    </w:rPr>
                  </w:pPr>
                  <w:r>
                    <w:rPr>
                      <w:rFonts w:eastAsia="Times New Roman" w:cs="Times New Roman"/>
                      <w:bCs/>
                      <w:color w:val="000000"/>
                      <w:sz w:val="14"/>
                      <w:szCs w:val="14"/>
                    </w:rPr>
                    <w:t>2.76</w:t>
                  </w:r>
                </w:p>
              </w:tc>
              <w:tc>
                <w:tcPr>
                  <w:tcW w:w="981" w:type="dxa"/>
                </w:tcPr>
                <w:p w14:paraId="4D74AB35" w14:textId="77777777" w:rsidR="00FA01D4" w:rsidRPr="00214834" w:rsidRDefault="00FA01D4" w:rsidP="009F284E">
                  <w:pPr>
                    <w:jc w:val="right"/>
                    <w:rPr>
                      <w:sz w:val="14"/>
                      <w:szCs w:val="14"/>
                    </w:rPr>
                  </w:pPr>
                  <w:r>
                    <w:rPr>
                      <w:sz w:val="14"/>
                      <w:szCs w:val="14"/>
                    </w:rPr>
                    <w:t>27.80</w:t>
                  </w:r>
                </w:p>
              </w:tc>
              <w:tc>
                <w:tcPr>
                  <w:tcW w:w="1142" w:type="dxa"/>
                  <w:vAlign w:val="bottom"/>
                </w:tcPr>
                <w:p w14:paraId="0FD8F004" w14:textId="77777777" w:rsidR="00FA01D4" w:rsidRPr="00AD78AE" w:rsidRDefault="00FA01D4" w:rsidP="009F284E">
                  <w:pPr>
                    <w:jc w:val="right"/>
                    <w:rPr>
                      <w:b/>
                      <w:sz w:val="14"/>
                      <w:szCs w:val="14"/>
                    </w:rPr>
                  </w:pPr>
                  <w:r>
                    <w:rPr>
                      <w:rFonts w:eastAsia="Times New Roman" w:cs="Times New Roman"/>
                      <w:b/>
                      <w:bCs/>
                      <w:color w:val="000000"/>
                      <w:sz w:val="14"/>
                      <w:szCs w:val="14"/>
                    </w:rPr>
                    <w:t>4.56</w:t>
                  </w:r>
                </w:p>
              </w:tc>
            </w:tr>
            <w:tr w:rsidR="00FA01D4" w:rsidRPr="00214834" w14:paraId="28439170" w14:textId="77777777" w:rsidTr="00FA01D4">
              <w:tc>
                <w:tcPr>
                  <w:tcW w:w="1677" w:type="dxa"/>
                </w:tcPr>
                <w:p w14:paraId="139ABF15" w14:textId="77777777" w:rsidR="00FA01D4" w:rsidRPr="00214834" w:rsidRDefault="00FA01D4" w:rsidP="009F284E">
                  <w:pPr>
                    <w:rPr>
                      <w:sz w:val="14"/>
                      <w:szCs w:val="14"/>
                    </w:rPr>
                  </w:pPr>
                  <w:r w:rsidRPr="00214834">
                    <w:rPr>
                      <w:sz w:val="14"/>
                      <w:szCs w:val="14"/>
                    </w:rPr>
                    <w:t xml:space="preserve">Dividend Yield </w:t>
                  </w:r>
                </w:p>
              </w:tc>
              <w:tc>
                <w:tcPr>
                  <w:tcW w:w="815" w:type="dxa"/>
                  <w:vAlign w:val="bottom"/>
                </w:tcPr>
                <w:p w14:paraId="32A14E17" w14:textId="77777777" w:rsidR="00FA01D4" w:rsidRPr="00AD78AE" w:rsidRDefault="00FA01D4" w:rsidP="009F284E">
                  <w:pPr>
                    <w:jc w:val="right"/>
                    <w:rPr>
                      <w:sz w:val="14"/>
                      <w:szCs w:val="14"/>
                    </w:rPr>
                  </w:pPr>
                  <w:r w:rsidRPr="00AD78AE">
                    <w:rPr>
                      <w:rFonts w:eastAsia="Times New Roman" w:cs="Times New Roman"/>
                      <w:bCs/>
                      <w:color w:val="000000"/>
                      <w:sz w:val="14"/>
                      <w:szCs w:val="14"/>
                    </w:rPr>
                    <w:t>2.</w:t>
                  </w:r>
                  <w:r>
                    <w:rPr>
                      <w:rFonts w:eastAsia="Times New Roman" w:cs="Times New Roman"/>
                      <w:bCs/>
                      <w:color w:val="000000"/>
                      <w:sz w:val="14"/>
                      <w:szCs w:val="14"/>
                    </w:rPr>
                    <w:t>17%</w:t>
                  </w:r>
                </w:p>
              </w:tc>
              <w:tc>
                <w:tcPr>
                  <w:tcW w:w="804" w:type="dxa"/>
                  <w:vAlign w:val="bottom"/>
                </w:tcPr>
                <w:p w14:paraId="713D8A71" w14:textId="77777777" w:rsidR="00FA01D4" w:rsidRPr="00AD78AE" w:rsidRDefault="00FA01D4" w:rsidP="009F284E">
                  <w:pPr>
                    <w:jc w:val="right"/>
                    <w:rPr>
                      <w:sz w:val="14"/>
                      <w:szCs w:val="14"/>
                    </w:rPr>
                  </w:pPr>
                  <w:r>
                    <w:rPr>
                      <w:rFonts w:eastAsia="Times New Roman" w:cs="Times New Roman"/>
                      <w:bCs/>
                      <w:color w:val="000000"/>
                      <w:sz w:val="14"/>
                      <w:szCs w:val="14"/>
                    </w:rPr>
                    <w:t>7.31%</w:t>
                  </w:r>
                </w:p>
              </w:tc>
              <w:tc>
                <w:tcPr>
                  <w:tcW w:w="885" w:type="dxa"/>
                  <w:vAlign w:val="bottom"/>
                </w:tcPr>
                <w:p w14:paraId="60F4F2D5" w14:textId="77777777" w:rsidR="00FA01D4" w:rsidRPr="00AD78AE" w:rsidRDefault="00FA01D4" w:rsidP="009F284E">
                  <w:pPr>
                    <w:jc w:val="right"/>
                    <w:rPr>
                      <w:sz w:val="14"/>
                      <w:szCs w:val="14"/>
                    </w:rPr>
                  </w:pPr>
                  <w:r>
                    <w:rPr>
                      <w:rFonts w:eastAsia="Times New Roman" w:cs="Times New Roman"/>
                      <w:bCs/>
                      <w:color w:val="000000"/>
                      <w:sz w:val="14"/>
                      <w:szCs w:val="14"/>
                    </w:rPr>
                    <w:t>1.28%</w:t>
                  </w:r>
                </w:p>
              </w:tc>
              <w:tc>
                <w:tcPr>
                  <w:tcW w:w="981" w:type="dxa"/>
                </w:tcPr>
                <w:p w14:paraId="3014B0DE" w14:textId="77777777" w:rsidR="00FA01D4" w:rsidRPr="00214834" w:rsidRDefault="00FA01D4" w:rsidP="009F284E">
                  <w:pPr>
                    <w:jc w:val="right"/>
                    <w:rPr>
                      <w:sz w:val="14"/>
                      <w:szCs w:val="14"/>
                    </w:rPr>
                  </w:pPr>
                  <w:r>
                    <w:rPr>
                      <w:sz w:val="14"/>
                      <w:szCs w:val="14"/>
                    </w:rPr>
                    <w:t>2.51%</w:t>
                  </w:r>
                </w:p>
              </w:tc>
              <w:tc>
                <w:tcPr>
                  <w:tcW w:w="1142" w:type="dxa"/>
                  <w:vAlign w:val="bottom"/>
                </w:tcPr>
                <w:p w14:paraId="24D2062C" w14:textId="77777777" w:rsidR="00FA01D4" w:rsidRPr="00AD78AE" w:rsidRDefault="00FA01D4" w:rsidP="009F284E">
                  <w:pPr>
                    <w:jc w:val="right"/>
                    <w:rPr>
                      <w:b/>
                      <w:sz w:val="14"/>
                      <w:szCs w:val="14"/>
                    </w:rPr>
                  </w:pPr>
                  <w:r>
                    <w:rPr>
                      <w:rFonts w:eastAsia="Times New Roman" w:cs="Times New Roman"/>
                      <w:b/>
                      <w:bCs/>
                      <w:color w:val="000000"/>
                      <w:sz w:val="14"/>
                      <w:szCs w:val="14"/>
                    </w:rPr>
                    <w:t>3.08%</w:t>
                  </w:r>
                </w:p>
              </w:tc>
            </w:tr>
            <w:tr w:rsidR="00FA01D4" w:rsidRPr="00214834" w14:paraId="6E8CB57A" w14:textId="77777777" w:rsidTr="00FA01D4">
              <w:tc>
                <w:tcPr>
                  <w:tcW w:w="1677" w:type="dxa"/>
                </w:tcPr>
                <w:p w14:paraId="432F4C28" w14:textId="77777777" w:rsidR="00FA01D4" w:rsidRPr="00214834" w:rsidRDefault="00FA01D4" w:rsidP="009F284E">
                  <w:pPr>
                    <w:rPr>
                      <w:sz w:val="14"/>
                      <w:szCs w:val="14"/>
                    </w:rPr>
                  </w:pPr>
                  <w:proofErr w:type="spellStart"/>
                  <w:r>
                    <w:rPr>
                      <w:sz w:val="14"/>
                      <w:szCs w:val="14"/>
                    </w:rPr>
                    <w:t>BEst</w:t>
                  </w:r>
                  <w:proofErr w:type="spellEnd"/>
                  <w:r>
                    <w:rPr>
                      <w:sz w:val="14"/>
                      <w:szCs w:val="14"/>
                    </w:rPr>
                    <w:t xml:space="preserve"> </w:t>
                  </w:r>
                  <w:r w:rsidRPr="00214834">
                    <w:rPr>
                      <w:sz w:val="14"/>
                      <w:szCs w:val="14"/>
                    </w:rPr>
                    <w:t xml:space="preserve">PEG Ratio </w:t>
                  </w:r>
                </w:p>
              </w:tc>
              <w:tc>
                <w:tcPr>
                  <w:tcW w:w="815" w:type="dxa"/>
                  <w:vAlign w:val="bottom"/>
                </w:tcPr>
                <w:p w14:paraId="0889658A" w14:textId="77777777" w:rsidR="00FA01D4" w:rsidRPr="00AD78AE" w:rsidRDefault="00FA01D4" w:rsidP="009F284E">
                  <w:pPr>
                    <w:jc w:val="right"/>
                    <w:rPr>
                      <w:sz w:val="14"/>
                      <w:szCs w:val="14"/>
                    </w:rPr>
                  </w:pPr>
                  <w:r>
                    <w:rPr>
                      <w:rFonts w:eastAsia="Times New Roman" w:cs="Times New Roman"/>
                      <w:bCs/>
                      <w:color w:val="000000"/>
                      <w:sz w:val="14"/>
                      <w:szCs w:val="14"/>
                    </w:rPr>
                    <w:t>0.88</w:t>
                  </w:r>
                </w:p>
              </w:tc>
              <w:tc>
                <w:tcPr>
                  <w:tcW w:w="804" w:type="dxa"/>
                  <w:vAlign w:val="bottom"/>
                </w:tcPr>
                <w:p w14:paraId="1A090BCB" w14:textId="77777777" w:rsidR="00FA01D4" w:rsidRPr="00AD78AE" w:rsidRDefault="00FA01D4" w:rsidP="009F284E">
                  <w:pPr>
                    <w:jc w:val="right"/>
                    <w:rPr>
                      <w:sz w:val="14"/>
                      <w:szCs w:val="14"/>
                    </w:rPr>
                  </w:pPr>
                  <w:r>
                    <w:rPr>
                      <w:rFonts w:eastAsia="Times New Roman" w:cs="Times New Roman"/>
                      <w:bCs/>
                      <w:color w:val="000000"/>
                      <w:sz w:val="14"/>
                      <w:szCs w:val="14"/>
                    </w:rPr>
                    <w:t>1.09</w:t>
                  </w:r>
                </w:p>
              </w:tc>
              <w:tc>
                <w:tcPr>
                  <w:tcW w:w="885" w:type="dxa"/>
                  <w:vAlign w:val="bottom"/>
                </w:tcPr>
                <w:p w14:paraId="6816281C" w14:textId="77777777" w:rsidR="00FA01D4" w:rsidRPr="00AD78AE" w:rsidRDefault="00FA01D4" w:rsidP="009F284E">
                  <w:pPr>
                    <w:jc w:val="right"/>
                    <w:rPr>
                      <w:sz w:val="14"/>
                      <w:szCs w:val="14"/>
                    </w:rPr>
                  </w:pPr>
                  <w:r>
                    <w:rPr>
                      <w:rFonts w:eastAsia="Times New Roman" w:cs="Times New Roman"/>
                      <w:bCs/>
                      <w:color w:val="000000"/>
                      <w:sz w:val="14"/>
                      <w:szCs w:val="14"/>
                    </w:rPr>
                    <w:t>0.80</w:t>
                  </w:r>
                </w:p>
              </w:tc>
              <w:tc>
                <w:tcPr>
                  <w:tcW w:w="981" w:type="dxa"/>
                </w:tcPr>
                <w:p w14:paraId="350DB14F" w14:textId="77777777" w:rsidR="00FA01D4" w:rsidRPr="00214834" w:rsidRDefault="00FA01D4" w:rsidP="009F284E">
                  <w:pPr>
                    <w:jc w:val="right"/>
                    <w:rPr>
                      <w:sz w:val="14"/>
                      <w:szCs w:val="14"/>
                    </w:rPr>
                  </w:pPr>
                  <w:r>
                    <w:rPr>
                      <w:sz w:val="14"/>
                      <w:szCs w:val="14"/>
                    </w:rPr>
                    <w:t>0.89</w:t>
                  </w:r>
                </w:p>
              </w:tc>
              <w:tc>
                <w:tcPr>
                  <w:tcW w:w="1142" w:type="dxa"/>
                  <w:vAlign w:val="bottom"/>
                </w:tcPr>
                <w:p w14:paraId="6957F631" w14:textId="77777777" w:rsidR="00FA01D4" w:rsidRPr="00AD78AE" w:rsidRDefault="00FA01D4" w:rsidP="009F284E">
                  <w:pPr>
                    <w:jc w:val="right"/>
                    <w:rPr>
                      <w:b/>
                      <w:sz w:val="14"/>
                      <w:szCs w:val="14"/>
                    </w:rPr>
                  </w:pPr>
                  <w:r>
                    <w:rPr>
                      <w:b/>
                      <w:sz w:val="14"/>
                      <w:szCs w:val="14"/>
                    </w:rPr>
                    <w:t>0.79</w:t>
                  </w:r>
                </w:p>
              </w:tc>
            </w:tr>
            <w:tr w:rsidR="00FA01D4" w:rsidRPr="00214834" w14:paraId="3C1DF2EF" w14:textId="77777777" w:rsidTr="00FA01D4">
              <w:tc>
                <w:tcPr>
                  <w:tcW w:w="1677" w:type="dxa"/>
                </w:tcPr>
                <w:p w14:paraId="271AF6F1" w14:textId="77777777" w:rsidR="00FA01D4" w:rsidRPr="00214834" w:rsidRDefault="00FA01D4" w:rsidP="009F284E">
                  <w:pPr>
                    <w:rPr>
                      <w:sz w:val="14"/>
                      <w:szCs w:val="14"/>
                    </w:rPr>
                  </w:pPr>
                  <w:r w:rsidRPr="00214834">
                    <w:rPr>
                      <w:sz w:val="14"/>
                      <w:szCs w:val="14"/>
                    </w:rPr>
                    <w:t>EPS (Last FY)</w:t>
                  </w:r>
                </w:p>
              </w:tc>
              <w:tc>
                <w:tcPr>
                  <w:tcW w:w="815" w:type="dxa"/>
                  <w:vAlign w:val="bottom"/>
                </w:tcPr>
                <w:p w14:paraId="50804B80" w14:textId="77777777" w:rsidR="00FA01D4" w:rsidRPr="00AD78AE" w:rsidRDefault="00FA01D4" w:rsidP="009F284E">
                  <w:pPr>
                    <w:jc w:val="right"/>
                    <w:rPr>
                      <w:sz w:val="14"/>
                      <w:szCs w:val="14"/>
                    </w:rPr>
                  </w:pPr>
                  <w:r>
                    <w:rPr>
                      <w:rFonts w:eastAsia="Times New Roman" w:cs="Times New Roman"/>
                      <w:bCs/>
                      <w:color w:val="000000"/>
                      <w:sz w:val="14"/>
                      <w:szCs w:val="14"/>
                    </w:rPr>
                    <w:t>4.04</w:t>
                  </w:r>
                </w:p>
              </w:tc>
              <w:tc>
                <w:tcPr>
                  <w:tcW w:w="804" w:type="dxa"/>
                  <w:vAlign w:val="bottom"/>
                </w:tcPr>
                <w:p w14:paraId="64DD4012" w14:textId="77777777" w:rsidR="00FA01D4" w:rsidRPr="00AD78AE" w:rsidRDefault="00FA01D4" w:rsidP="009F284E">
                  <w:pPr>
                    <w:jc w:val="right"/>
                    <w:rPr>
                      <w:sz w:val="14"/>
                      <w:szCs w:val="14"/>
                    </w:rPr>
                  </w:pPr>
                  <w:r>
                    <w:rPr>
                      <w:rFonts w:eastAsia="Times New Roman" w:cs="Times New Roman"/>
                      <w:bCs/>
                      <w:color w:val="000000"/>
                      <w:sz w:val="14"/>
                      <w:szCs w:val="14"/>
                    </w:rPr>
                    <w:t>2.90</w:t>
                  </w:r>
                </w:p>
              </w:tc>
              <w:tc>
                <w:tcPr>
                  <w:tcW w:w="885" w:type="dxa"/>
                  <w:vAlign w:val="bottom"/>
                </w:tcPr>
                <w:p w14:paraId="16EFD2D3" w14:textId="77777777" w:rsidR="00FA01D4" w:rsidRPr="00AD78AE" w:rsidRDefault="00FA01D4" w:rsidP="009F284E">
                  <w:pPr>
                    <w:jc w:val="right"/>
                    <w:rPr>
                      <w:sz w:val="14"/>
                      <w:szCs w:val="14"/>
                    </w:rPr>
                  </w:pPr>
                  <w:r>
                    <w:rPr>
                      <w:rFonts w:eastAsia="Times New Roman" w:cs="Times New Roman"/>
                      <w:bCs/>
                      <w:color w:val="000000"/>
                      <w:sz w:val="14"/>
                      <w:szCs w:val="14"/>
                    </w:rPr>
                    <w:t>3.05</w:t>
                  </w:r>
                </w:p>
              </w:tc>
              <w:tc>
                <w:tcPr>
                  <w:tcW w:w="981" w:type="dxa"/>
                </w:tcPr>
                <w:p w14:paraId="0977ABCB" w14:textId="77777777" w:rsidR="00FA01D4" w:rsidRPr="00214834" w:rsidRDefault="00FA01D4" w:rsidP="009F284E">
                  <w:pPr>
                    <w:jc w:val="right"/>
                    <w:rPr>
                      <w:sz w:val="14"/>
                      <w:szCs w:val="14"/>
                    </w:rPr>
                  </w:pPr>
                  <w:r>
                    <w:rPr>
                      <w:sz w:val="14"/>
                      <w:szCs w:val="14"/>
                    </w:rPr>
                    <w:t>2.44</w:t>
                  </w:r>
                </w:p>
              </w:tc>
              <w:tc>
                <w:tcPr>
                  <w:tcW w:w="1142" w:type="dxa"/>
                  <w:vAlign w:val="bottom"/>
                </w:tcPr>
                <w:p w14:paraId="4F0634A1" w14:textId="77777777" w:rsidR="00FA01D4" w:rsidRPr="00AD78AE" w:rsidRDefault="00FA01D4" w:rsidP="009F284E">
                  <w:pPr>
                    <w:jc w:val="right"/>
                    <w:rPr>
                      <w:b/>
                      <w:sz w:val="14"/>
                      <w:szCs w:val="14"/>
                    </w:rPr>
                  </w:pPr>
                  <w:r>
                    <w:rPr>
                      <w:rFonts w:eastAsia="Times New Roman" w:cs="Times New Roman"/>
                      <w:b/>
                      <w:bCs/>
                      <w:color w:val="000000"/>
                      <w:sz w:val="14"/>
                      <w:szCs w:val="14"/>
                    </w:rPr>
                    <w:t>6.89</w:t>
                  </w:r>
                </w:p>
              </w:tc>
            </w:tr>
            <w:tr w:rsidR="00FA01D4" w:rsidRPr="00214834" w14:paraId="3FD61826" w14:textId="77777777" w:rsidTr="00FA01D4">
              <w:tc>
                <w:tcPr>
                  <w:tcW w:w="1677" w:type="dxa"/>
                </w:tcPr>
                <w:p w14:paraId="63FD8A9F" w14:textId="77777777" w:rsidR="00FA01D4" w:rsidRPr="00214834" w:rsidRDefault="00FA01D4" w:rsidP="009F284E">
                  <w:pPr>
                    <w:rPr>
                      <w:sz w:val="14"/>
                      <w:szCs w:val="14"/>
                    </w:rPr>
                  </w:pPr>
                  <w:r w:rsidRPr="00214834">
                    <w:rPr>
                      <w:sz w:val="14"/>
                      <w:szCs w:val="14"/>
                    </w:rPr>
                    <w:t>Rev Growth (Last FY)</w:t>
                  </w:r>
                </w:p>
              </w:tc>
              <w:tc>
                <w:tcPr>
                  <w:tcW w:w="815" w:type="dxa"/>
                  <w:vAlign w:val="bottom"/>
                </w:tcPr>
                <w:p w14:paraId="10BBE0C3" w14:textId="77777777" w:rsidR="00FA01D4" w:rsidRPr="00AD78AE" w:rsidRDefault="00FA01D4" w:rsidP="009F284E">
                  <w:pPr>
                    <w:jc w:val="right"/>
                    <w:rPr>
                      <w:sz w:val="14"/>
                      <w:szCs w:val="14"/>
                    </w:rPr>
                  </w:pPr>
                  <w:r>
                    <w:rPr>
                      <w:rFonts w:eastAsia="Times New Roman" w:cs="Times New Roman"/>
                      <w:bCs/>
                      <w:color w:val="000000"/>
                      <w:sz w:val="14"/>
                      <w:szCs w:val="14"/>
                    </w:rPr>
                    <w:t>11.75%</w:t>
                  </w:r>
                </w:p>
              </w:tc>
              <w:tc>
                <w:tcPr>
                  <w:tcW w:w="804" w:type="dxa"/>
                  <w:vAlign w:val="bottom"/>
                </w:tcPr>
                <w:p w14:paraId="12AA5B01" w14:textId="77777777" w:rsidR="00FA01D4" w:rsidRPr="00AD78AE" w:rsidRDefault="00FA01D4" w:rsidP="009F284E">
                  <w:pPr>
                    <w:jc w:val="right"/>
                    <w:rPr>
                      <w:sz w:val="14"/>
                      <w:szCs w:val="14"/>
                    </w:rPr>
                  </w:pPr>
                  <w:r>
                    <w:rPr>
                      <w:rFonts w:eastAsia="Times New Roman" w:cs="Times New Roman"/>
                      <w:bCs/>
                      <w:color w:val="000000"/>
                      <w:sz w:val="14"/>
                      <w:szCs w:val="14"/>
                    </w:rPr>
                    <w:t>17.34%</w:t>
                  </w:r>
                </w:p>
              </w:tc>
              <w:tc>
                <w:tcPr>
                  <w:tcW w:w="885" w:type="dxa"/>
                  <w:vAlign w:val="bottom"/>
                </w:tcPr>
                <w:p w14:paraId="2C71F7C0" w14:textId="77777777" w:rsidR="00FA01D4" w:rsidRPr="00AD78AE" w:rsidRDefault="00FA01D4" w:rsidP="009F284E">
                  <w:pPr>
                    <w:jc w:val="right"/>
                    <w:rPr>
                      <w:sz w:val="14"/>
                      <w:szCs w:val="14"/>
                    </w:rPr>
                  </w:pPr>
                  <w:r>
                    <w:rPr>
                      <w:rFonts w:eastAsia="Times New Roman" w:cs="Times New Roman"/>
                      <w:bCs/>
                      <w:color w:val="000000"/>
                      <w:sz w:val="14"/>
                      <w:szCs w:val="14"/>
                    </w:rPr>
                    <w:t>5.06%</w:t>
                  </w:r>
                </w:p>
              </w:tc>
              <w:tc>
                <w:tcPr>
                  <w:tcW w:w="981" w:type="dxa"/>
                </w:tcPr>
                <w:p w14:paraId="2B3A580B" w14:textId="77777777" w:rsidR="00FA01D4" w:rsidRPr="00214834" w:rsidRDefault="00FA01D4" w:rsidP="009F284E">
                  <w:pPr>
                    <w:jc w:val="right"/>
                    <w:rPr>
                      <w:sz w:val="14"/>
                      <w:szCs w:val="14"/>
                    </w:rPr>
                  </w:pPr>
                  <w:r>
                    <w:rPr>
                      <w:sz w:val="14"/>
                      <w:szCs w:val="14"/>
                    </w:rPr>
                    <w:t>32.58%</w:t>
                  </w:r>
                </w:p>
              </w:tc>
              <w:tc>
                <w:tcPr>
                  <w:tcW w:w="1142" w:type="dxa"/>
                  <w:vAlign w:val="bottom"/>
                </w:tcPr>
                <w:p w14:paraId="785068EC" w14:textId="77777777" w:rsidR="00FA01D4" w:rsidRPr="00AD78AE" w:rsidRDefault="00FA01D4" w:rsidP="009F284E">
                  <w:pPr>
                    <w:jc w:val="right"/>
                    <w:rPr>
                      <w:b/>
                      <w:sz w:val="14"/>
                      <w:szCs w:val="14"/>
                    </w:rPr>
                  </w:pPr>
                  <w:r>
                    <w:rPr>
                      <w:rFonts w:eastAsia="Times New Roman" w:cs="Times New Roman"/>
                      <w:b/>
                      <w:bCs/>
                      <w:color w:val="000000"/>
                      <w:sz w:val="14"/>
                      <w:szCs w:val="14"/>
                    </w:rPr>
                    <w:t>-13.28%</w:t>
                  </w:r>
                </w:p>
              </w:tc>
            </w:tr>
            <w:tr w:rsidR="00FA01D4" w:rsidRPr="00214834" w14:paraId="1C06D08D" w14:textId="77777777" w:rsidTr="00FA01D4">
              <w:tc>
                <w:tcPr>
                  <w:tcW w:w="1677" w:type="dxa"/>
                </w:tcPr>
                <w:p w14:paraId="136951BC" w14:textId="77777777" w:rsidR="00FA01D4" w:rsidRPr="00214834" w:rsidRDefault="00FA01D4" w:rsidP="009F284E">
                  <w:pPr>
                    <w:rPr>
                      <w:sz w:val="14"/>
                      <w:szCs w:val="14"/>
                    </w:rPr>
                  </w:pPr>
                  <w:r w:rsidRPr="00214834">
                    <w:rPr>
                      <w:sz w:val="14"/>
                      <w:szCs w:val="14"/>
                    </w:rPr>
                    <w:t xml:space="preserve">NI Growth (Last FY) </w:t>
                  </w:r>
                </w:p>
              </w:tc>
              <w:tc>
                <w:tcPr>
                  <w:tcW w:w="815" w:type="dxa"/>
                  <w:vAlign w:val="bottom"/>
                </w:tcPr>
                <w:p w14:paraId="4A714A4D" w14:textId="77777777" w:rsidR="00FA01D4" w:rsidRPr="00AD78AE" w:rsidRDefault="00FA01D4" w:rsidP="009F284E">
                  <w:pPr>
                    <w:jc w:val="right"/>
                    <w:rPr>
                      <w:sz w:val="14"/>
                      <w:szCs w:val="14"/>
                    </w:rPr>
                  </w:pPr>
                  <w:r>
                    <w:rPr>
                      <w:rFonts w:eastAsia="Times New Roman" w:cs="Times New Roman"/>
                      <w:bCs/>
                      <w:color w:val="000000"/>
                      <w:sz w:val="14"/>
                      <w:szCs w:val="14"/>
                    </w:rPr>
                    <w:t>29.73%</w:t>
                  </w:r>
                </w:p>
              </w:tc>
              <w:tc>
                <w:tcPr>
                  <w:tcW w:w="804" w:type="dxa"/>
                  <w:vAlign w:val="bottom"/>
                </w:tcPr>
                <w:p w14:paraId="773C3DDE" w14:textId="77777777" w:rsidR="00FA01D4" w:rsidRPr="00AD78AE" w:rsidRDefault="00FA01D4" w:rsidP="009F284E">
                  <w:pPr>
                    <w:jc w:val="right"/>
                    <w:rPr>
                      <w:sz w:val="14"/>
                      <w:szCs w:val="14"/>
                    </w:rPr>
                  </w:pPr>
                  <w:r>
                    <w:rPr>
                      <w:rFonts w:eastAsia="Times New Roman" w:cs="Times New Roman"/>
                      <w:bCs/>
                      <w:color w:val="000000"/>
                      <w:sz w:val="14"/>
                      <w:szCs w:val="14"/>
                    </w:rPr>
                    <w:t>11.46%</w:t>
                  </w:r>
                </w:p>
              </w:tc>
              <w:tc>
                <w:tcPr>
                  <w:tcW w:w="885" w:type="dxa"/>
                  <w:vAlign w:val="bottom"/>
                </w:tcPr>
                <w:p w14:paraId="5D1E5BF1" w14:textId="77777777" w:rsidR="00FA01D4" w:rsidRPr="00AD78AE" w:rsidRDefault="00FA01D4" w:rsidP="009F284E">
                  <w:pPr>
                    <w:jc w:val="right"/>
                    <w:rPr>
                      <w:sz w:val="14"/>
                      <w:szCs w:val="14"/>
                    </w:rPr>
                  </w:pPr>
                  <w:r>
                    <w:rPr>
                      <w:rFonts w:eastAsia="Times New Roman" w:cs="Times New Roman"/>
                      <w:bCs/>
                      <w:color w:val="000000"/>
                      <w:sz w:val="14"/>
                      <w:szCs w:val="14"/>
                    </w:rPr>
                    <w:t>-116.28%</w:t>
                  </w:r>
                </w:p>
              </w:tc>
              <w:tc>
                <w:tcPr>
                  <w:tcW w:w="981" w:type="dxa"/>
                </w:tcPr>
                <w:p w14:paraId="70BA14C6" w14:textId="77777777" w:rsidR="00FA01D4" w:rsidRPr="00214834" w:rsidRDefault="00FA01D4" w:rsidP="009F284E">
                  <w:pPr>
                    <w:jc w:val="right"/>
                    <w:rPr>
                      <w:sz w:val="14"/>
                      <w:szCs w:val="14"/>
                    </w:rPr>
                  </w:pPr>
                  <w:r>
                    <w:rPr>
                      <w:sz w:val="14"/>
                      <w:szCs w:val="14"/>
                    </w:rPr>
                    <w:t>5.23%</w:t>
                  </w:r>
                </w:p>
              </w:tc>
              <w:tc>
                <w:tcPr>
                  <w:tcW w:w="1142" w:type="dxa"/>
                  <w:vAlign w:val="bottom"/>
                </w:tcPr>
                <w:p w14:paraId="2DBBE32C" w14:textId="77777777" w:rsidR="00FA01D4" w:rsidRPr="00AD78AE" w:rsidRDefault="00FA01D4" w:rsidP="009F284E">
                  <w:pPr>
                    <w:jc w:val="right"/>
                    <w:rPr>
                      <w:b/>
                      <w:sz w:val="14"/>
                      <w:szCs w:val="14"/>
                    </w:rPr>
                  </w:pPr>
                  <w:r>
                    <w:rPr>
                      <w:rFonts w:eastAsia="Times New Roman" w:cs="Times New Roman"/>
                      <w:b/>
                      <w:bCs/>
                      <w:color w:val="000000"/>
                      <w:sz w:val="14"/>
                      <w:szCs w:val="14"/>
                    </w:rPr>
                    <w:t>-18.25%</w:t>
                  </w:r>
                </w:p>
              </w:tc>
            </w:tr>
            <w:tr w:rsidR="00FA01D4" w:rsidRPr="00214834" w14:paraId="7D0388A0" w14:textId="77777777" w:rsidTr="00FA01D4">
              <w:tc>
                <w:tcPr>
                  <w:tcW w:w="1677" w:type="dxa"/>
                </w:tcPr>
                <w:p w14:paraId="4C7B623A" w14:textId="77777777" w:rsidR="00FA01D4" w:rsidRPr="00214834" w:rsidRDefault="00FA01D4" w:rsidP="009F284E">
                  <w:pPr>
                    <w:rPr>
                      <w:sz w:val="14"/>
                      <w:szCs w:val="14"/>
                    </w:rPr>
                  </w:pPr>
                  <w:r w:rsidRPr="00214834">
                    <w:rPr>
                      <w:sz w:val="14"/>
                      <w:szCs w:val="14"/>
                    </w:rPr>
                    <w:t xml:space="preserve">Operating Margin </w:t>
                  </w:r>
                </w:p>
              </w:tc>
              <w:tc>
                <w:tcPr>
                  <w:tcW w:w="815" w:type="dxa"/>
                  <w:vAlign w:val="bottom"/>
                </w:tcPr>
                <w:p w14:paraId="34741CF8" w14:textId="77777777" w:rsidR="00FA01D4" w:rsidRPr="00AD78AE" w:rsidRDefault="00FA01D4" w:rsidP="009F284E">
                  <w:pPr>
                    <w:jc w:val="right"/>
                    <w:rPr>
                      <w:sz w:val="14"/>
                      <w:szCs w:val="14"/>
                    </w:rPr>
                  </w:pPr>
                  <w:r>
                    <w:rPr>
                      <w:rFonts w:eastAsia="Times New Roman" w:cs="Times New Roman"/>
                      <w:bCs/>
                      <w:color w:val="000000"/>
                      <w:sz w:val="14"/>
                      <w:szCs w:val="14"/>
                    </w:rPr>
                    <w:t>7.54%</w:t>
                  </w:r>
                </w:p>
              </w:tc>
              <w:tc>
                <w:tcPr>
                  <w:tcW w:w="804" w:type="dxa"/>
                  <w:vAlign w:val="bottom"/>
                </w:tcPr>
                <w:p w14:paraId="65881E06" w14:textId="77777777" w:rsidR="00FA01D4" w:rsidRPr="00AD78AE" w:rsidRDefault="00FA01D4" w:rsidP="009F284E">
                  <w:pPr>
                    <w:jc w:val="right"/>
                    <w:rPr>
                      <w:sz w:val="14"/>
                      <w:szCs w:val="14"/>
                    </w:rPr>
                  </w:pPr>
                  <w:r>
                    <w:rPr>
                      <w:rFonts w:eastAsia="Times New Roman" w:cs="Times New Roman"/>
                      <w:bCs/>
                      <w:color w:val="000000"/>
                      <w:sz w:val="14"/>
                      <w:szCs w:val="14"/>
                    </w:rPr>
                    <w:t>7.87%</w:t>
                  </w:r>
                </w:p>
              </w:tc>
              <w:tc>
                <w:tcPr>
                  <w:tcW w:w="885" w:type="dxa"/>
                  <w:vAlign w:val="bottom"/>
                </w:tcPr>
                <w:p w14:paraId="31F4B468" w14:textId="77777777" w:rsidR="00FA01D4" w:rsidRPr="00AD78AE" w:rsidRDefault="00FA01D4" w:rsidP="009F284E">
                  <w:pPr>
                    <w:jc w:val="right"/>
                    <w:rPr>
                      <w:sz w:val="14"/>
                      <w:szCs w:val="14"/>
                    </w:rPr>
                  </w:pPr>
                  <w:r>
                    <w:rPr>
                      <w:rFonts w:eastAsia="Times New Roman" w:cs="Times New Roman"/>
                      <w:bCs/>
                      <w:color w:val="000000"/>
                      <w:sz w:val="14"/>
                      <w:szCs w:val="14"/>
                    </w:rPr>
                    <w:t>11.67%</w:t>
                  </w:r>
                </w:p>
              </w:tc>
              <w:tc>
                <w:tcPr>
                  <w:tcW w:w="981" w:type="dxa"/>
                </w:tcPr>
                <w:p w14:paraId="13B9C6A9" w14:textId="77777777" w:rsidR="00FA01D4" w:rsidRPr="00214834" w:rsidRDefault="00FA01D4" w:rsidP="009F284E">
                  <w:pPr>
                    <w:jc w:val="right"/>
                    <w:rPr>
                      <w:sz w:val="14"/>
                      <w:szCs w:val="14"/>
                    </w:rPr>
                  </w:pPr>
                  <w:r>
                    <w:rPr>
                      <w:sz w:val="14"/>
                      <w:szCs w:val="14"/>
                    </w:rPr>
                    <w:t>11.17%</w:t>
                  </w:r>
                </w:p>
              </w:tc>
              <w:tc>
                <w:tcPr>
                  <w:tcW w:w="1142" w:type="dxa"/>
                  <w:vAlign w:val="bottom"/>
                </w:tcPr>
                <w:p w14:paraId="590702CE" w14:textId="77777777" w:rsidR="00FA01D4" w:rsidRPr="00AD78AE" w:rsidRDefault="00FA01D4" w:rsidP="009F284E">
                  <w:pPr>
                    <w:jc w:val="right"/>
                    <w:rPr>
                      <w:b/>
                      <w:sz w:val="14"/>
                      <w:szCs w:val="14"/>
                    </w:rPr>
                  </w:pPr>
                  <w:r>
                    <w:rPr>
                      <w:rFonts w:eastAsia="Times New Roman" w:cs="Times New Roman"/>
                      <w:b/>
                      <w:bCs/>
                      <w:color w:val="000000"/>
                      <w:sz w:val="14"/>
                      <w:szCs w:val="14"/>
                    </w:rPr>
                    <w:t>15.17%</w:t>
                  </w:r>
                </w:p>
              </w:tc>
            </w:tr>
            <w:tr w:rsidR="00FA01D4" w:rsidRPr="00214834" w14:paraId="687325F9" w14:textId="77777777" w:rsidTr="00FA01D4">
              <w:tc>
                <w:tcPr>
                  <w:tcW w:w="1677" w:type="dxa"/>
                </w:tcPr>
                <w:p w14:paraId="0B9D62A1" w14:textId="77777777" w:rsidR="00FA01D4" w:rsidRPr="00214834" w:rsidRDefault="00FA01D4" w:rsidP="009F284E">
                  <w:pPr>
                    <w:rPr>
                      <w:sz w:val="14"/>
                      <w:szCs w:val="14"/>
                    </w:rPr>
                  </w:pPr>
                  <w:r w:rsidRPr="00214834">
                    <w:rPr>
                      <w:sz w:val="14"/>
                      <w:szCs w:val="14"/>
                    </w:rPr>
                    <w:t xml:space="preserve">Debt / Equity </w:t>
                  </w:r>
                </w:p>
              </w:tc>
              <w:tc>
                <w:tcPr>
                  <w:tcW w:w="815" w:type="dxa"/>
                  <w:vAlign w:val="bottom"/>
                </w:tcPr>
                <w:p w14:paraId="2FDD81BF" w14:textId="77777777" w:rsidR="00FA01D4" w:rsidRPr="00AD78AE" w:rsidRDefault="00FA01D4" w:rsidP="009F284E">
                  <w:pPr>
                    <w:jc w:val="right"/>
                    <w:rPr>
                      <w:sz w:val="14"/>
                      <w:szCs w:val="14"/>
                    </w:rPr>
                  </w:pPr>
                  <w:r>
                    <w:rPr>
                      <w:rFonts w:eastAsia="Times New Roman" w:cs="Times New Roman"/>
                      <w:bCs/>
                      <w:color w:val="000000"/>
                      <w:sz w:val="14"/>
                      <w:szCs w:val="14"/>
                    </w:rPr>
                    <w:t>0.00</w:t>
                  </w:r>
                </w:p>
              </w:tc>
              <w:tc>
                <w:tcPr>
                  <w:tcW w:w="804" w:type="dxa"/>
                  <w:vAlign w:val="bottom"/>
                </w:tcPr>
                <w:p w14:paraId="5FC74C42" w14:textId="77777777" w:rsidR="00FA01D4" w:rsidRPr="00AD78AE" w:rsidRDefault="00FA01D4" w:rsidP="009F284E">
                  <w:pPr>
                    <w:jc w:val="right"/>
                    <w:rPr>
                      <w:sz w:val="14"/>
                      <w:szCs w:val="14"/>
                    </w:rPr>
                  </w:pPr>
                  <w:r>
                    <w:rPr>
                      <w:rFonts w:eastAsia="Times New Roman" w:cs="Times New Roman"/>
                      <w:bCs/>
                      <w:color w:val="000000"/>
                      <w:sz w:val="14"/>
                      <w:szCs w:val="14"/>
                    </w:rPr>
                    <w:t>21.99%</w:t>
                  </w:r>
                </w:p>
              </w:tc>
              <w:tc>
                <w:tcPr>
                  <w:tcW w:w="885" w:type="dxa"/>
                  <w:vAlign w:val="bottom"/>
                </w:tcPr>
                <w:p w14:paraId="7BC571F0" w14:textId="77777777" w:rsidR="00FA01D4" w:rsidRPr="00AD78AE" w:rsidRDefault="00FA01D4" w:rsidP="009F284E">
                  <w:pPr>
                    <w:jc w:val="right"/>
                    <w:rPr>
                      <w:sz w:val="14"/>
                      <w:szCs w:val="14"/>
                    </w:rPr>
                  </w:pPr>
                  <w:r>
                    <w:rPr>
                      <w:rFonts w:eastAsia="Times New Roman" w:cs="Times New Roman"/>
                      <w:bCs/>
                      <w:color w:val="000000"/>
                      <w:sz w:val="14"/>
                      <w:szCs w:val="14"/>
                    </w:rPr>
                    <w:t>35.15%</w:t>
                  </w:r>
                </w:p>
              </w:tc>
              <w:tc>
                <w:tcPr>
                  <w:tcW w:w="981" w:type="dxa"/>
                </w:tcPr>
                <w:p w14:paraId="60B10EF4" w14:textId="77777777" w:rsidR="00FA01D4" w:rsidRPr="00214834" w:rsidRDefault="00FA01D4" w:rsidP="009F284E">
                  <w:pPr>
                    <w:jc w:val="right"/>
                    <w:rPr>
                      <w:sz w:val="14"/>
                      <w:szCs w:val="14"/>
                    </w:rPr>
                  </w:pPr>
                  <w:r>
                    <w:rPr>
                      <w:sz w:val="14"/>
                      <w:szCs w:val="14"/>
                    </w:rPr>
                    <w:t>915.60%</w:t>
                  </w:r>
                </w:p>
              </w:tc>
              <w:tc>
                <w:tcPr>
                  <w:tcW w:w="1142" w:type="dxa"/>
                  <w:vAlign w:val="bottom"/>
                </w:tcPr>
                <w:p w14:paraId="03978FC5" w14:textId="77777777" w:rsidR="00FA01D4" w:rsidRPr="00AD78AE" w:rsidRDefault="00FA01D4" w:rsidP="009F284E">
                  <w:pPr>
                    <w:jc w:val="right"/>
                    <w:rPr>
                      <w:b/>
                      <w:sz w:val="14"/>
                      <w:szCs w:val="14"/>
                    </w:rPr>
                  </w:pPr>
                  <w:r>
                    <w:rPr>
                      <w:rFonts w:eastAsia="Times New Roman" w:cs="Times New Roman"/>
                      <w:b/>
                      <w:bCs/>
                      <w:color w:val="000000"/>
                      <w:sz w:val="14"/>
                      <w:szCs w:val="14"/>
                    </w:rPr>
                    <w:t>46.74%</w:t>
                  </w:r>
                </w:p>
              </w:tc>
            </w:tr>
            <w:tr w:rsidR="00FA01D4" w:rsidRPr="00214834" w14:paraId="7E847889" w14:textId="77777777" w:rsidTr="00FA01D4">
              <w:tc>
                <w:tcPr>
                  <w:tcW w:w="1677" w:type="dxa"/>
                </w:tcPr>
                <w:p w14:paraId="24849E25" w14:textId="77777777" w:rsidR="00FA01D4" w:rsidRPr="00214834" w:rsidRDefault="00FA01D4" w:rsidP="009F284E">
                  <w:pPr>
                    <w:rPr>
                      <w:sz w:val="14"/>
                      <w:szCs w:val="14"/>
                    </w:rPr>
                  </w:pPr>
                  <w:r w:rsidRPr="00214834">
                    <w:rPr>
                      <w:sz w:val="14"/>
                      <w:szCs w:val="14"/>
                    </w:rPr>
                    <w:t>Market Cap</w:t>
                  </w:r>
                </w:p>
              </w:tc>
              <w:tc>
                <w:tcPr>
                  <w:tcW w:w="815" w:type="dxa"/>
                  <w:vAlign w:val="bottom"/>
                </w:tcPr>
                <w:p w14:paraId="0EB3BF5F" w14:textId="77777777" w:rsidR="00FA01D4" w:rsidRPr="00AD78AE" w:rsidRDefault="00FA01D4" w:rsidP="009F284E">
                  <w:pPr>
                    <w:jc w:val="right"/>
                    <w:rPr>
                      <w:sz w:val="14"/>
                      <w:szCs w:val="14"/>
                    </w:rPr>
                  </w:pPr>
                  <w:r>
                    <w:rPr>
                      <w:rFonts w:eastAsia="Times New Roman" w:cs="Times New Roman"/>
                      <w:bCs/>
                      <w:color w:val="000000"/>
                      <w:sz w:val="14"/>
                      <w:szCs w:val="14"/>
                    </w:rPr>
                    <w:t>2.68B</w:t>
                  </w:r>
                </w:p>
              </w:tc>
              <w:tc>
                <w:tcPr>
                  <w:tcW w:w="804" w:type="dxa"/>
                  <w:vAlign w:val="bottom"/>
                </w:tcPr>
                <w:p w14:paraId="20C14F65" w14:textId="77777777" w:rsidR="00FA01D4" w:rsidRPr="00AD78AE" w:rsidRDefault="00FA01D4" w:rsidP="009F284E">
                  <w:pPr>
                    <w:jc w:val="right"/>
                    <w:rPr>
                      <w:sz w:val="14"/>
                      <w:szCs w:val="14"/>
                    </w:rPr>
                  </w:pPr>
                  <w:r>
                    <w:rPr>
                      <w:rFonts w:eastAsia="Times New Roman" w:cs="Times New Roman"/>
                      <w:bCs/>
                      <w:color w:val="000000"/>
                      <w:sz w:val="14"/>
                      <w:szCs w:val="14"/>
                    </w:rPr>
                    <w:t>1.32B</w:t>
                  </w:r>
                </w:p>
              </w:tc>
              <w:tc>
                <w:tcPr>
                  <w:tcW w:w="885" w:type="dxa"/>
                  <w:vAlign w:val="bottom"/>
                </w:tcPr>
                <w:p w14:paraId="330F8BCA" w14:textId="77777777" w:rsidR="00FA01D4" w:rsidRPr="00AD78AE" w:rsidRDefault="00FA01D4" w:rsidP="009F284E">
                  <w:pPr>
                    <w:jc w:val="right"/>
                    <w:rPr>
                      <w:sz w:val="14"/>
                      <w:szCs w:val="14"/>
                    </w:rPr>
                  </w:pPr>
                  <w:r w:rsidRPr="00AD78AE">
                    <w:rPr>
                      <w:rFonts w:eastAsia="Times New Roman" w:cs="Times New Roman"/>
                      <w:bCs/>
                      <w:color w:val="000000"/>
                      <w:sz w:val="14"/>
                      <w:szCs w:val="14"/>
                    </w:rPr>
                    <w:t>3</w:t>
                  </w:r>
                  <w:r>
                    <w:rPr>
                      <w:rFonts w:eastAsia="Times New Roman" w:cs="Times New Roman"/>
                      <w:bCs/>
                      <w:color w:val="000000"/>
                      <w:sz w:val="14"/>
                      <w:szCs w:val="14"/>
                    </w:rPr>
                    <w:t>.56B</w:t>
                  </w:r>
                </w:p>
              </w:tc>
              <w:tc>
                <w:tcPr>
                  <w:tcW w:w="981" w:type="dxa"/>
                </w:tcPr>
                <w:p w14:paraId="7672A3C3" w14:textId="77777777" w:rsidR="00FA01D4" w:rsidRPr="00214834" w:rsidRDefault="00FA01D4" w:rsidP="009F284E">
                  <w:pPr>
                    <w:jc w:val="right"/>
                    <w:rPr>
                      <w:sz w:val="14"/>
                      <w:szCs w:val="14"/>
                    </w:rPr>
                  </w:pPr>
                  <w:r>
                    <w:rPr>
                      <w:sz w:val="14"/>
                      <w:szCs w:val="14"/>
                    </w:rPr>
                    <w:t>1.85B</w:t>
                  </w:r>
                </w:p>
              </w:tc>
              <w:tc>
                <w:tcPr>
                  <w:tcW w:w="1142" w:type="dxa"/>
                  <w:vAlign w:val="bottom"/>
                </w:tcPr>
                <w:p w14:paraId="270178D0" w14:textId="77777777" w:rsidR="00FA01D4" w:rsidRPr="00AD78AE" w:rsidRDefault="00FA01D4" w:rsidP="009F284E">
                  <w:pPr>
                    <w:jc w:val="right"/>
                    <w:rPr>
                      <w:b/>
                      <w:sz w:val="14"/>
                      <w:szCs w:val="14"/>
                    </w:rPr>
                  </w:pPr>
                  <w:r>
                    <w:rPr>
                      <w:rFonts w:eastAsia="Times New Roman" w:cs="Times New Roman"/>
                      <w:b/>
                      <w:bCs/>
                      <w:color w:val="000000"/>
                      <w:sz w:val="14"/>
                      <w:szCs w:val="14"/>
                    </w:rPr>
                    <w:t>4.52B</w:t>
                  </w:r>
                </w:p>
              </w:tc>
            </w:tr>
          </w:tbl>
          <w:p w14:paraId="3B1109B8" w14:textId="77777777" w:rsidR="009F284E" w:rsidRDefault="009F284E" w:rsidP="009F284E">
            <w:pPr>
              <w:jc w:val="both"/>
              <w:rPr>
                <w:b/>
                <w:sz w:val="14"/>
                <w:szCs w:val="14"/>
              </w:rPr>
            </w:pPr>
          </w:p>
          <w:p w14:paraId="17AEABB1" w14:textId="77777777" w:rsidR="009F284E" w:rsidRPr="00214834" w:rsidRDefault="009F284E" w:rsidP="009F284E">
            <w:pPr>
              <w:jc w:val="both"/>
              <w:rPr>
                <w:b/>
                <w:sz w:val="14"/>
                <w:szCs w:val="14"/>
              </w:rPr>
            </w:pPr>
            <w:r>
              <w:rPr>
                <w:b/>
                <w:sz w:val="14"/>
                <w:szCs w:val="14"/>
              </w:rPr>
              <w:t>Prepared By: Jason Harris</w:t>
            </w:r>
          </w:p>
        </w:tc>
        <w:tc>
          <w:tcPr>
            <w:tcW w:w="4320" w:type="dxa"/>
          </w:tcPr>
          <w:p w14:paraId="22FD6298" w14:textId="77777777" w:rsidR="009F284E" w:rsidRPr="00214834" w:rsidRDefault="009F284E" w:rsidP="009F284E">
            <w:pPr>
              <w:jc w:val="both"/>
              <w:rPr>
                <w:b/>
                <w:sz w:val="14"/>
                <w:szCs w:val="14"/>
              </w:rPr>
            </w:pPr>
          </w:p>
          <w:tbl>
            <w:tblPr>
              <w:tblStyle w:val="TableGrid"/>
              <w:tblW w:w="4094" w:type="dxa"/>
              <w:tblLook w:val="04A0" w:firstRow="1" w:lastRow="0" w:firstColumn="1" w:lastColumn="0" w:noHBand="0" w:noVBand="1"/>
            </w:tblPr>
            <w:tblGrid>
              <w:gridCol w:w="1422"/>
              <w:gridCol w:w="900"/>
              <w:gridCol w:w="810"/>
              <w:gridCol w:w="962"/>
            </w:tblGrid>
            <w:tr w:rsidR="009F284E" w:rsidRPr="00214834" w14:paraId="39AF85FB" w14:textId="77777777" w:rsidTr="009F284E">
              <w:tc>
                <w:tcPr>
                  <w:tcW w:w="1422" w:type="dxa"/>
                  <w:shd w:val="clear" w:color="auto" w:fill="DBE5F1" w:themeFill="accent1" w:themeFillTint="33"/>
                </w:tcPr>
                <w:p w14:paraId="6DBC2B05" w14:textId="77777777" w:rsidR="009F284E" w:rsidRPr="00214834" w:rsidRDefault="009F284E" w:rsidP="009F284E">
                  <w:pPr>
                    <w:rPr>
                      <w:sz w:val="14"/>
                      <w:szCs w:val="14"/>
                    </w:rPr>
                  </w:pPr>
                </w:p>
              </w:tc>
              <w:tc>
                <w:tcPr>
                  <w:tcW w:w="900" w:type="dxa"/>
                  <w:shd w:val="clear" w:color="auto" w:fill="DBE5F1" w:themeFill="accent1" w:themeFillTint="33"/>
                </w:tcPr>
                <w:p w14:paraId="66CB5BCB" w14:textId="77777777" w:rsidR="009F284E" w:rsidRPr="00214834" w:rsidRDefault="00ED20FF" w:rsidP="009F284E">
                  <w:pPr>
                    <w:rPr>
                      <w:sz w:val="14"/>
                      <w:szCs w:val="14"/>
                    </w:rPr>
                  </w:pPr>
                  <w:r>
                    <w:rPr>
                      <w:sz w:val="14"/>
                      <w:szCs w:val="14"/>
                    </w:rPr>
                    <w:t>PII</w:t>
                  </w:r>
                </w:p>
              </w:tc>
              <w:tc>
                <w:tcPr>
                  <w:tcW w:w="810" w:type="dxa"/>
                  <w:shd w:val="clear" w:color="auto" w:fill="DBE5F1" w:themeFill="accent1" w:themeFillTint="33"/>
                </w:tcPr>
                <w:p w14:paraId="228D7A0D" w14:textId="77777777" w:rsidR="009F284E" w:rsidRPr="00214834" w:rsidRDefault="009F284E" w:rsidP="009F284E">
                  <w:pPr>
                    <w:rPr>
                      <w:sz w:val="14"/>
                      <w:szCs w:val="14"/>
                    </w:rPr>
                  </w:pPr>
                  <w:r w:rsidRPr="00214834">
                    <w:rPr>
                      <w:sz w:val="14"/>
                      <w:szCs w:val="14"/>
                    </w:rPr>
                    <w:t xml:space="preserve">Sector </w:t>
                  </w:r>
                </w:p>
              </w:tc>
              <w:tc>
                <w:tcPr>
                  <w:tcW w:w="962" w:type="dxa"/>
                  <w:shd w:val="clear" w:color="auto" w:fill="DBE5F1" w:themeFill="accent1" w:themeFillTint="33"/>
                </w:tcPr>
                <w:p w14:paraId="28900F81" w14:textId="77777777" w:rsidR="009F284E" w:rsidRPr="00214834" w:rsidRDefault="009F284E" w:rsidP="009F284E">
                  <w:pPr>
                    <w:rPr>
                      <w:sz w:val="14"/>
                      <w:szCs w:val="14"/>
                    </w:rPr>
                  </w:pPr>
                  <w:r w:rsidRPr="00214834">
                    <w:rPr>
                      <w:sz w:val="14"/>
                      <w:szCs w:val="14"/>
                    </w:rPr>
                    <w:t>S&amp;P 500</w:t>
                  </w:r>
                </w:p>
              </w:tc>
            </w:tr>
            <w:tr w:rsidR="009F284E" w:rsidRPr="00214834" w14:paraId="38402543" w14:textId="77777777" w:rsidTr="009F284E">
              <w:tc>
                <w:tcPr>
                  <w:tcW w:w="1422" w:type="dxa"/>
                </w:tcPr>
                <w:p w14:paraId="1DB3B7EA" w14:textId="77777777" w:rsidR="009F284E" w:rsidRPr="00214834" w:rsidRDefault="009F284E" w:rsidP="009F284E">
                  <w:pPr>
                    <w:rPr>
                      <w:sz w:val="14"/>
                      <w:szCs w:val="14"/>
                    </w:rPr>
                  </w:pPr>
                  <w:r w:rsidRPr="00214834">
                    <w:rPr>
                      <w:sz w:val="14"/>
                      <w:szCs w:val="14"/>
                    </w:rPr>
                    <w:t>YTD</w:t>
                  </w:r>
                </w:p>
              </w:tc>
              <w:tc>
                <w:tcPr>
                  <w:tcW w:w="900" w:type="dxa"/>
                </w:tcPr>
                <w:p w14:paraId="12A35BA9" w14:textId="77777777" w:rsidR="009F284E" w:rsidRPr="00214834" w:rsidRDefault="00ED20FF" w:rsidP="009F284E">
                  <w:pPr>
                    <w:rPr>
                      <w:sz w:val="14"/>
                      <w:szCs w:val="14"/>
                    </w:rPr>
                  </w:pPr>
                  <w:r>
                    <w:rPr>
                      <w:sz w:val="14"/>
                      <w:szCs w:val="14"/>
                    </w:rPr>
                    <w:t>-18.35</w:t>
                  </w:r>
                  <w:r w:rsidR="009F284E">
                    <w:rPr>
                      <w:sz w:val="14"/>
                      <w:szCs w:val="14"/>
                    </w:rPr>
                    <w:t>%</w:t>
                  </w:r>
                </w:p>
              </w:tc>
              <w:tc>
                <w:tcPr>
                  <w:tcW w:w="810" w:type="dxa"/>
                </w:tcPr>
                <w:p w14:paraId="20001918" w14:textId="77777777" w:rsidR="009F284E" w:rsidRPr="00214834" w:rsidRDefault="009F284E" w:rsidP="00ED20FF">
                  <w:pPr>
                    <w:rPr>
                      <w:sz w:val="14"/>
                      <w:szCs w:val="14"/>
                    </w:rPr>
                  </w:pPr>
                  <w:r>
                    <w:rPr>
                      <w:sz w:val="14"/>
                      <w:szCs w:val="14"/>
                    </w:rPr>
                    <w:t>-</w:t>
                  </w:r>
                  <w:r w:rsidR="00ED20FF">
                    <w:rPr>
                      <w:sz w:val="14"/>
                      <w:szCs w:val="14"/>
                    </w:rPr>
                    <w:t>6.47</w:t>
                  </w:r>
                  <w:r>
                    <w:rPr>
                      <w:sz w:val="14"/>
                      <w:szCs w:val="14"/>
                    </w:rPr>
                    <w:t>%</w:t>
                  </w:r>
                </w:p>
              </w:tc>
              <w:tc>
                <w:tcPr>
                  <w:tcW w:w="962" w:type="dxa"/>
                </w:tcPr>
                <w:p w14:paraId="3ECF781F" w14:textId="77777777" w:rsidR="009F284E" w:rsidRPr="00214834" w:rsidRDefault="00ED20FF" w:rsidP="009F284E">
                  <w:pPr>
                    <w:rPr>
                      <w:sz w:val="14"/>
                      <w:szCs w:val="14"/>
                    </w:rPr>
                  </w:pPr>
                  <w:r>
                    <w:rPr>
                      <w:sz w:val="14"/>
                      <w:szCs w:val="14"/>
                    </w:rPr>
                    <w:t>-7.28</w:t>
                  </w:r>
                  <w:r w:rsidR="009F284E">
                    <w:rPr>
                      <w:sz w:val="14"/>
                      <w:szCs w:val="14"/>
                    </w:rPr>
                    <w:t>%</w:t>
                  </w:r>
                </w:p>
              </w:tc>
            </w:tr>
            <w:tr w:rsidR="009F284E" w:rsidRPr="00214834" w14:paraId="42D6B543" w14:textId="77777777" w:rsidTr="009F284E">
              <w:tc>
                <w:tcPr>
                  <w:tcW w:w="1422" w:type="dxa"/>
                </w:tcPr>
                <w:p w14:paraId="0FE259AE" w14:textId="77777777" w:rsidR="009F284E" w:rsidRPr="00214834" w:rsidRDefault="009F284E" w:rsidP="009F284E">
                  <w:pPr>
                    <w:rPr>
                      <w:sz w:val="14"/>
                      <w:szCs w:val="14"/>
                    </w:rPr>
                  </w:pPr>
                  <w:r w:rsidRPr="00214834">
                    <w:rPr>
                      <w:sz w:val="14"/>
                      <w:szCs w:val="14"/>
                    </w:rPr>
                    <w:t>TTM</w:t>
                  </w:r>
                </w:p>
              </w:tc>
              <w:tc>
                <w:tcPr>
                  <w:tcW w:w="900" w:type="dxa"/>
                </w:tcPr>
                <w:p w14:paraId="79970F9F" w14:textId="77777777" w:rsidR="009F284E" w:rsidRPr="00214834" w:rsidRDefault="00ED20FF" w:rsidP="009F284E">
                  <w:pPr>
                    <w:rPr>
                      <w:sz w:val="14"/>
                      <w:szCs w:val="14"/>
                    </w:rPr>
                  </w:pPr>
                  <w:r>
                    <w:rPr>
                      <w:sz w:val="14"/>
                      <w:szCs w:val="14"/>
                    </w:rPr>
                    <w:t>-52.18</w:t>
                  </w:r>
                  <w:r w:rsidR="009F284E">
                    <w:rPr>
                      <w:sz w:val="14"/>
                      <w:szCs w:val="14"/>
                    </w:rPr>
                    <w:t>%</w:t>
                  </w:r>
                </w:p>
              </w:tc>
              <w:tc>
                <w:tcPr>
                  <w:tcW w:w="810" w:type="dxa"/>
                </w:tcPr>
                <w:p w14:paraId="333F356F" w14:textId="77777777" w:rsidR="009F284E" w:rsidRPr="00214834" w:rsidRDefault="00ED20FF" w:rsidP="009F284E">
                  <w:pPr>
                    <w:rPr>
                      <w:sz w:val="14"/>
                      <w:szCs w:val="14"/>
                    </w:rPr>
                  </w:pPr>
                  <w:r>
                    <w:rPr>
                      <w:sz w:val="14"/>
                      <w:szCs w:val="14"/>
                    </w:rPr>
                    <w:t>4.65</w:t>
                  </w:r>
                  <w:r w:rsidR="009F284E">
                    <w:rPr>
                      <w:sz w:val="14"/>
                      <w:szCs w:val="14"/>
                    </w:rPr>
                    <w:t>%</w:t>
                  </w:r>
                </w:p>
              </w:tc>
              <w:tc>
                <w:tcPr>
                  <w:tcW w:w="962" w:type="dxa"/>
                </w:tcPr>
                <w:p w14:paraId="1AF1A1BE" w14:textId="77777777" w:rsidR="009F284E" w:rsidRPr="00214834" w:rsidRDefault="00ED20FF" w:rsidP="009F284E">
                  <w:pPr>
                    <w:rPr>
                      <w:sz w:val="14"/>
                      <w:szCs w:val="14"/>
                    </w:rPr>
                  </w:pPr>
                  <w:r>
                    <w:rPr>
                      <w:sz w:val="14"/>
                      <w:szCs w:val="14"/>
                    </w:rPr>
                    <w:t>-5.56</w:t>
                  </w:r>
                  <w:r w:rsidR="009F284E">
                    <w:rPr>
                      <w:sz w:val="14"/>
                      <w:szCs w:val="14"/>
                    </w:rPr>
                    <w:t>%</w:t>
                  </w:r>
                </w:p>
              </w:tc>
            </w:tr>
            <w:tr w:rsidR="009F284E" w:rsidRPr="00214834" w14:paraId="7E47E8D0" w14:textId="77777777" w:rsidTr="009F284E">
              <w:tc>
                <w:tcPr>
                  <w:tcW w:w="1422" w:type="dxa"/>
                </w:tcPr>
                <w:p w14:paraId="41F4B0DE" w14:textId="77777777" w:rsidR="009F284E" w:rsidRPr="00214834" w:rsidRDefault="009F284E" w:rsidP="009F284E">
                  <w:pPr>
                    <w:rPr>
                      <w:sz w:val="14"/>
                      <w:szCs w:val="14"/>
                    </w:rPr>
                  </w:pPr>
                  <w:r w:rsidRPr="00214834">
                    <w:rPr>
                      <w:sz w:val="14"/>
                      <w:szCs w:val="14"/>
                    </w:rPr>
                    <w:t xml:space="preserve">Last 3 Years </w:t>
                  </w:r>
                </w:p>
              </w:tc>
              <w:tc>
                <w:tcPr>
                  <w:tcW w:w="900" w:type="dxa"/>
                </w:tcPr>
                <w:p w14:paraId="63321335" w14:textId="77777777" w:rsidR="009F284E" w:rsidRPr="00214834" w:rsidRDefault="00ED20FF" w:rsidP="009F284E">
                  <w:pPr>
                    <w:rPr>
                      <w:sz w:val="14"/>
                      <w:szCs w:val="14"/>
                    </w:rPr>
                  </w:pPr>
                  <w:r>
                    <w:rPr>
                      <w:sz w:val="14"/>
                      <w:szCs w:val="14"/>
                    </w:rPr>
                    <w:t>-21.19</w:t>
                  </w:r>
                  <w:r w:rsidR="009F284E">
                    <w:rPr>
                      <w:sz w:val="14"/>
                      <w:szCs w:val="14"/>
                    </w:rPr>
                    <w:t>%</w:t>
                  </w:r>
                </w:p>
              </w:tc>
              <w:tc>
                <w:tcPr>
                  <w:tcW w:w="810" w:type="dxa"/>
                </w:tcPr>
                <w:p w14:paraId="1317BAF0" w14:textId="77777777" w:rsidR="009F284E" w:rsidRPr="00214834" w:rsidRDefault="00ED20FF" w:rsidP="009F284E">
                  <w:pPr>
                    <w:rPr>
                      <w:sz w:val="14"/>
                      <w:szCs w:val="14"/>
                    </w:rPr>
                  </w:pPr>
                  <w:r>
                    <w:rPr>
                      <w:sz w:val="14"/>
                      <w:szCs w:val="14"/>
                    </w:rPr>
                    <w:t>44.23</w:t>
                  </w:r>
                  <w:r w:rsidR="009F284E">
                    <w:rPr>
                      <w:sz w:val="14"/>
                      <w:szCs w:val="14"/>
                    </w:rPr>
                    <w:t>%</w:t>
                  </w:r>
                </w:p>
              </w:tc>
              <w:tc>
                <w:tcPr>
                  <w:tcW w:w="962" w:type="dxa"/>
                </w:tcPr>
                <w:p w14:paraId="106B4522" w14:textId="77777777" w:rsidR="009F284E" w:rsidRPr="00214834" w:rsidRDefault="00ED20FF" w:rsidP="009F284E">
                  <w:pPr>
                    <w:rPr>
                      <w:sz w:val="14"/>
                      <w:szCs w:val="14"/>
                    </w:rPr>
                  </w:pPr>
                  <w:r>
                    <w:rPr>
                      <w:sz w:val="14"/>
                      <w:szCs w:val="14"/>
                    </w:rPr>
                    <w:t>25.93</w:t>
                  </w:r>
                  <w:r w:rsidR="009F284E">
                    <w:rPr>
                      <w:sz w:val="14"/>
                      <w:szCs w:val="14"/>
                    </w:rPr>
                    <w:t>%</w:t>
                  </w:r>
                </w:p>
              </w:tc>
            </w:tr>
            <w:tr w:rsidR="009F284E" w:rsidRPr="00214834" w14:paraId="3EA986C8" w14:textId="77777777" w:rsidTr="009F284E">
              <w:tc>
                <w:tcPr>
                  <w:tcW w:w="1422" w:type="dxa"/>
                </w:tcPr>
                <w:p w14:paraId="27BB6DFF" w14:textId="77777777" w:rsidR="009F284E" w:rsidRPr="00214834" w:rsidRDefault="009F284E" w:rsidP="009F284E">
                  <w:pPr>
                    <w:rPr>
                      <w:sz w:val="14"/>
                      <w:szCs w:val="14"/>
                    </w:rPr>
                  </w:pPr>
                  <w:r w:rsidRPr="00214834">
                    <w:rPr>
                      <w:sz w:val="14"/>
                      <w:szCs w:val="14"/>
                    </w:rPr>
                    <w:t xml:space="preserve">Last 5 Years </w:t>
                  </w:r>
                </w:p>
              </w:tc>
              <w:tc>
                <w:tcPr>
                  <w:tcW w:w="900" w:type="dxa"/>
                </w:tcPr>
                <w:p w14:paraId="5C77A1FB" w14:textId="77777777" w:rsidR="009F284E" w:rsidRPr="00214834" w:rsidRDefault="00ED20FF" w:rsidP="009F284E">
                  <w:pPr>
                    <w:rPr>
                      <w:sz w:val="14"/>
                      <w:szCs w:val="14"/>
                    </w:rPr>
                  </w:pPr>
                  <w:r>
                    <w:rPr>
                      <w:sz w:val="14"/>
                      <w:szCs w:val="14"/>
                    </w:rPr>
                    <w:t>100.99</w:t>
                  </w:r>
                  <w:r w:rsidR="009F284E">
                    <w:rPr>
                      <w:sz w:val="14"/>
                      <w:szCs w:val="14"/>
                    </w:rPr>
                    <w:t>%</w:t>
                  </w:r>
                </w:p>
              </w:tc>
              <w:tc>
                <w:tcPr>
                  <w:tcW w:w="810" w:type="dxa"/>
                </w:tcPr>
                <w:p w14:paraId="748E0BEC" w14:textId="77777777" w:rsidR="009F284E" w:rsidRPr="00214834" w:rsidRDefault="00ED20FF" w:rsidP="009F284E">
                  <w:pPr>
                    <w:rPr>
                      <w:sz w:val="14"/>
                      <w:szCs w:val="14"/>
                    </w:rPr>
                  </w:pPr>
                  <w:r>
                    <w:rPr>
                      <w:sz w:val="14"/>
                      <w:szCs w:val="14"/>
                    </w:rPr>
                    <w:t>97.00</w:t>
                  </w:r>
                  <w:r w:rsidR="009F284E">
                    <w:rPr>
                      <w:sz w:val="14"/>
                      <w:szCs w:val="14"/>
                    </w:rPr>
                    <w:t>%</w:t>
                  </w:r>
                </w:p>
              </w:tc>
              <w:tc>
                <w:tcPr>
                  <w:tcW w:w="962" w:type="dxa"/>
                </w:tcPr>
                <w:p w14:paraId="086C529A" w14:textId="77777777" w:rsidR="009F284E" w:rsidRPr="00214834" w:rsidRDefault="00ED20FF" w:rsidP="009F284E">
                  <w:pPr>
                    <w:rPr>
                      <w:sz w:val="14"/>
                      <w:szCs w:val="14"/>
                    </w:rPr>
                  </w:pPr>
                  <w:r>
                    <w:rPr>
                      <w:sz w:val="14"/>
                      <w:szCs w:val="14"/>
                    </w:rPr>
                    <w:t>47.97</w:t>
                  </w:r>
                  <w:r w:rsidR="009F284E">
                    <w:rPr>
                      <w:sz w:val="14"/>
                      <w:szCs w:val="14"/>
                    </w:rPr>
                    <w:t>%</w:t>
                  </w:r>
                </w:p>
              </w:tc>
            </w:tr>
          </w:tbl>
          <w:p w14:paraId="08A48046" w14:textId="77777777" w:rsidR="009F284E" w:rsidRPr="00214834" w:rsidRDefault="009F284E" w:rsidP="009F284E">
            <w:pPr>
              <w:jc w:val="both"/>
              <w:rPr>
                <w:b/>
                <w:sz w:val="14"/>
                <w:szCs w:val="14"/>
              </w:rPr>
            </w:pPr>
          </w:p>
          <w:p w14:paraId="29D9BA33" w14:textId="77777777" w:rsidR="009F284E" w:rsidRPr="00214834" w:rsidRDefault="009F284E" w:rsidP="009F284E">
            <w:pPr>
              <w:jc w:val="both"/>
              <w:rPr>
                <w:b/>
                <w:sz w:val="14"/>
                <w:szCs w:val="14"/>
              </w:rPr>
            </w:pPr>
            <w:r w:rsidRPr="00214834">
              <w:rPr>
                <w:b/>
                <w:sz w:val="14"/>
                <w:szCs w:val="14"/>
              </w:rPr>
              <w:t>CSR Characteristics</w:t>
            </w:r>
          </w:p>
          <w:tbl>
            <w:tblPr>
              <w:tblStyle w:val="TableGrid"/>
              <w:tblW w:w="4166" w:type="dxa"/>
              <w:tblLook w:val="04A0" w:firstRow="1" w:lastRow="0" w:firstColumn="1" w:lastColumn="0" w:noHBand="0" w:noVBand="1"/>
            </w:tblPr>
            <w:tblGrid>
              <w:gridCol w:w="2497"/>
              <w:gridCol w:w="862"/>
              <w:gridCol w:w="807"/>
            </w:tblGrid>
            <w:tr w:rsidR="009F284E" w:rsidRPr="00214834" w14:paraId="682365DB" w14:textId="77777777" w:rsidTr="009F284E">
              <w:tc>
                <w:tcPr>
                  <w:tcW w:w="2497" w:type="dxa"/>
                  <w:shd w:val="clear" w:color="auto" w:fill="DBE5F1" w:themeFill="accent1" w:themeFillTint="33"/>
                </w:tcPr>
                <w:p w14:paraId="20C8F5EB" w14:textId="77777777" w:rsidR="009F284E" w:rsidRPr="00214834" w:rsidRDefault="009F284E" w:rsidP="009F284E">
                  <w:pPr>
                    <w:rPr>
                      <w:sz w:val="14"/>
                      <w:szCs w:val="14"/>
                    </w:rPr>
                  </w:pPr>
                </w:p>
              </w:tc>
              <w:tc>
                <w:tcPr>
                  <w:tcW w:w="862" w:type="dxa"/>
                  <w:shd w:val="clear" w:color="auto" w:fill="DBE5F1" w:themeFill="accent1" w:themeFillTint="33"/>
                </w:tcPr>
                <w:p w14:paraId="588F0579" w14:textId="77777777" w:rsidR="009F284E" w:rsidRPr="00214834" w:rsidRDefault="009F284E" w:rsidP="009F284E">
                  <w:pPr>
                    <w:rPr>
                      <w:sz w:val="14"/>
                      <w:szCs w:val="14"/>
                    </w:rPr>
                  </w:pPr>
                  <w:r w:rsidRPr="00214834">
                    <w:rPr>
                      <w:sz w:val="14"/>
                      <w:szCs w:val="14"/>
                    </w:rPr>
                    <w:t xml:space="preserve">Company </w:t>
                  </w:r>
                </w:p>
              </w:tc>
              <w:tc>
                <w:tcPr>
                  <w:tcW w:w="807" w:type="dxa"/>
                  <w:shd w:val="clear" w:color="auto" w:fill="DBE5F1" w:themeFill="accent1" w:themeFillTint="33"/>
                </w:tcPr>
                <w:p w14:paraId="01D1C947" w14:textId="77777777" w:rsidR="009F284E" w:rsidRPr="00214834" w:rsidRDefault="009F284E" w:rsidP="009F284E">
                  <w:pPr>
                    <w:rPr>
                      <w:sz w:val="14"/>
                      <w:szCs w:val="14"/>
                    </w:rPr>
                  </w:pPr>
                  <w:r w:rsidRPr="00214834">
                    <w:rPr>
                      <w:sz w:val="14"/>
                      <w:szCs w:val="14"/>
                    </w:rPr>
                    <w:t xml:space="preserve">Industry  </w:t>
                  </w:r>
                </w:p>
              </w:tc>
            </w:tr>
            <w:tr w:rsidR="009F284E" w:rsidRPr="00214834" w14:paraId="114F11B3" w14:textId="77777777" w:rsidTr="009F284E">
              <w:tc>
                <w:tcPr>
                  <w:tcW w:w="2497" w:type="dxa"/>
                </w:tcPr>
                <w:p w14:paraId="31078430" w14:textId="77777777" w:rsidR="009F284E" w:rsidRPr="00214834" w:rsidRDefault="009F284E" w:rsidP="009F284E">
                  <w:pPr>
                    <w:rPr>
                      <w:sz w:val="14"/>
                      <w:szCs w:val="14"/>
                    </w:rPr>
                  </w:pPr>
                  <w:r w:rsidRPr="00214834">
                    <w:rPr>
                      <w:sz w:val="14"/>
                      <w:szCs w:val="14"/>
                    </w:rPr>
                    <w:t>ESG Disclosure</w:t>
                  </w:r>
                </w:p>
              </w:tc>
              <w:tc>
                <w:tcPr>
                  <w:tcW w:w="862" w:type="dxa"/>
                </w:tcPr>
                <w:p w14:paraId="0866F910" w14:textId="77777777" w:rsidR="009F284E" w:rsidRPr="00214834" w:rsidRDefault="00B231EC" w:rsidP="009F284E">
                  <w:pPr>
                    <w:jc w:val="center"/>
                    <w:rPr>
                      <w:sz w:val="14"/>
                      <w:szCs w:val="14"/>
                    </w:rPr>
                  </w:pPr>
                  <w:r>
                    <w:rPr>
                      <w:sz w:val="14"/>
                      <w:szCs w:val="14"/>
                    </w:rPr>
                    <w:t>17.36</w:t>
                  </w:r>
                </w:p>
              </w:tc>
              <w:tc>
                <w:tcPr>
                  <w:tcW w:w="807" w:type="dxa"/>
                </w:tcPr>
                <w:p w14:paraId="716D8332" w14:textId="77777777" w:rsidR="009F284E" w:rsidRPr="00214834" w:rsidRDefault="00B231EC" w:rsidP="009F284E">
                  <w:pPr>
                    <w:jc w:val="center"/>
                    <w:rPr>
                      <w:sz w:val="14"/>
                      <w:szCs w:val="14"/>
                    </w:rPr>
                  </w:pPr>
                  <w:r>
                    <w:rPr>
                      <w:sz w:val="14"/>
                      <w:szCs w:val="14"/>
                    </w:rPr>
                    <w:t>14.05</w:t>
                  </w:r>
                </w:p>
              </w:tc>
            </w:tr>
            <w:tr w:rsidR="009F284E" w:rsidRPr="00214834" w14:paraId="000CF9D8" w14:textId="77777777" w:rsidTr="009F284E">
              <w:tc>
                <w:tcPr>
                  <w:tcW w:w="2497" w:type="dxa"/>
                </w:tcPr>
                <w:p w14:paraId="2166AF4F" w14:textId="77777777" w:rsidR="009F284E" w:rsidRPr="00214834" w:rsidRDefault="009F284E" w:rsidP="009F284E">
                  <w:pPr>
                    <w:rPr>
                      <w:sz w:val="14"/>
                      <w:szCs w:val="14"/>
                    </w:rPr>
                  </w:pPr>
                  <w:r w:rsidRPr="00214834">
                    <w:rPr>
                      <w:sz w:val="14"/>
                      <w:szCs w:val="14"/>
                    </w:rPr>
                    <w:t>Governance Disclosure Score</w:t>
                  </w:r>
                </w:p>
              </w:tc>
              <w:tc>
                <w:tcPr>
                  <w:tcW w:w="862" w:type="dxa"/>
                </w:tcPr>
                <w:p w14:paraId="7B6034C6" w14:textId="77777777" w:rsidR="009F284E" w:rsidRPr="00214834" w:rsidRDefault="009F284E" w:rsidP="009F284E">
                  <w:pPr>
                    <w:jc w:val="center"/>
                    <w:rPr>
                      <w:sz w:val="14"/>
                      <w:szCs w:val="14"/>
                    </w:rPr>
                  </w:pPr>
                  <w:r>
                    <w:rPr>
                      <w:sz w:val="14"/>
                      <w:szCs w:val="14"/>
                    </w:rPr>
                    <w:t>51.79</w:t>
                  </w:r>
                </w:p>
              </w:tc>
              <w:tc>
                <w:tcPr>
                  <w:tcW w:w="807" w:type="dxa"/>
                </w:tcPr>
                <w:p w14:paraId="34D59048" w14:textId="77777777" w:rsidR="009F284E" w:rsidRPr="00214834" w:rsidRDefault="00B231EC" w:rsidP="009F284E">
                  <w:pPr>
                    <w:jc w:val="center"/>
                    <w:rPr>
                      <w:sz w:val="14"/>
                      <w:szCs w:val="14"/>
                    </w:rPr>
                  </w:pPr>
                  <w:r>
                    <w:rPr>
                      <w:sz w:val="14"/>
                      <w:szCs w:val="14"/>
                    </w:rPr>
                    <w:t>50.00</w:t>
                  </w:r>
                </w:p>
              </w:tc>
            </w:tr>
            <w:tr w:rsidR="009F284E" w:rsidRPr="00214834" w14:paraId="4F809A18" w14:textId="77777777" w:rsidTr="009F284E">
              <w:tc>
                <w:tcPr>
                  <w:tcW w:w="2497" w:type="dxa"/>
                </w:tcPr>
                <w:p w14:paraId="0CD98539" w14:textId="77777777" w:rsidR="009F284E" w:rsidRPr="00214834" w:rsidRDefault="009F284E" w:rsidP="009F284E">
                  <w:pPr>
                    <w:rPr>
                      <w:sz w:val="14"/>
                      <w:szCs w:val="14"/>
                    </w:rPr>
                  </w:pPr>
                  <w:r w:rsidRPr="00214834">
                    <w:rPr>
                      <w:sz w:val="14"/>
                      <w:szCs w:val="14"/>
                    </w:rPr>
                    <w:t>Social Disclosure Score</w:t>
                  </w:r>
                </w:p>
              </w:tc>
              <w:tc>
                <w:tcPr>
                  <w:tcW w:w="862" w:type="dxa"/>
                </w:tcPr>
                <w:p w14:paraId="0FD8A691" w14:textId="77777777" w:rsidR="009F284E" w:rsidRPr="00214834" w:rsidRDefault="00B231EC" w:rsidP="009F284E">
                  <w:pPr>
                    <w:jc w:val="center"/>
                    <w:rPr>
                      <w:sz w:val="14"/>
                      <w:szCs w:val="14"/>
                    </w:rPr>
                  </w:pPr>
                  <w:r>
                    <w:rPr>
                      <w:sz w:val="14"/>
                      <w:szCs w:val="14"/>
                    </w:rPr>
                    <w:t>19.30</w:t>
                  </w:r>
                </w:p>
              </w:tc>
              <w:tc>
                <w:tcPr>
                  <w:tcW w:w="807" w:type="dxa"/>
                </w:tcPr>
                <w:p w14:paraId="057AB50E" w14:textId="77777777" w:rsidR="009F284E" w:rsidRPr="00214834" w:rsidRDefault="00B231EC" w:rsidP="009F284E">
                  <w:pPr>
                    <w:jc w:val="center"/>
                    <w:rPr>
                      <w:sz w:val="14"/>
                      <w:szCs w:val="14"/>
                    </w:rPr>
                  </w:pPr>
                  <w:r>
                    <w:rPr>
                      <w:sz w:val="14"/>
                      <w:szCs w:val="14"/>
                    </w:rPr>
                    <w:t>19.30</w:t>
                  </w:r>
                </w:p>
              </w:tc>
            </w:tr>
            <w:tr w:rsidR="009F284E" w:rsidRPr="00214834" w14:paraId="343FEB41" w14:textId="77777777" w:rsidTr="009F284E">
              <w:tc>
                <w:tcPr>
                  <w:tcW w:w="2497" w:type="dxa"/>
                </w:tcPr>
                <w:p w14:paraId="13A4615C" w14:textId="77777777" w:rsidR="009F284E" w:rsidRPr="00214834" w:rsidRDefault="009F284E" w:rsidP="009F284E">
                  <w:pPr>
                    <w:rPr>
                      <w:sz w:val="14"/>
                      <w:szCs w:val="14"/>
                    </w:rPr>
                  </w:pPr>
                  <w:r w:rsidRPr="00214834">
                    <w:rPr>
                      <w:sz w:val="14"/>
                      <w:szCs w:val="14"/>
                    </w:rPr>
                    <w:t>Environmental Disclosure Score</w:t>
                  </w:r>
                </w:p>
              </w:tc>
              <w:tc>
                <w:tcPr>
                  <w:tcW w:w="862" w:type="dxa"/>
                </w:tcPr>
                <w:p w14:paraId="2437B122" w14:textId="77777777" w:rsidR="009F284E" w:rsidRPr="00214834" w:rsidRDefault="00B231EC" w:rsidP="009F284E">
                  <w:pPr>
                    <w:jc w:val="center"/>
                    <w:rPr>
                      <w:sz w:val="14"/>
                      <w:szCs w:val="14"/>
                    </w:rPr>
                  </w:pPr>
                  <w:r>
                    <w:rPr>
                      <w:sz w:val="14"/>
                      <w:szCs w:val="14"/>
                    </w:rPr>
                    <w:t>1.55</w:t>
                  </w:r>
                </w:p>
              </w:tc>
              <w:tc>
                <w:tcPr>
                  <w:tcW w:w="807" w:type="dxa"/>
                </w:tcPr>
                <w:p w14:paraId="07932D5D" w14:textId="77777777" w:rsidR="009F284E" w:rsidRPr="00214834" w:rsidRDefault="00B231EC" w:rsidP="009F284E">
                  <w:pPr>
                    <w:jc w:val="center"/>
                    <w:rPr>
                      <w:sz w:val="14"/>
                      <w:szCs w:val="14"/>
                    </w:rPr>
                  </w:pPr>
                  <w:r>
                    <w:rPr>
                      <w:sz w:val="14"/>
                      <w:szCs w:val="14"/>
                    </w:rPr>
                    <w:t>1.55</w:t>
                  </w:r>
                </w:p>
              </w:tc>
            </w:tr>
          </w:tbl>
          <w:p w14:paraId="1330E55F" w14:textId="77777777" w:rsidR="009F284E" w:rsidRPr="00214834" w:rsidRDefault="009F284E" w:rsidP="009F284E">
            <w:pPr>
              <w:jc w:val="both"/>
              <w:rPr>
                <w:b/>
                <w:sz w:val="14"/>
                <w:szCs w:val="14"/>
              </w:rPr>
            </w:pPr>
          </w:p>
        </w:tc>
      </w:tr>
    </w:tbl>
    <w:p w14:paraId="7B0F62E1" w14:textId="77777777" w:rsidR="009F284E" w:rsidRPr="00214834" w:rsidRDefault="009F284E" w:rsidP="009F284E">
      <w:pPr>
        <w:ind w:left="-1440"/>
        <w:jc w:val="both"/>
        <w:rPr>
          <w:b/>
          <w:sz w:val="14"/>
          <w:szCs w:val="14"/>
        </w:rPr>
      </w:pPr>
    </w:p>
    <w:p w14:paraId="18513DA3" w14:textId="77777777" w:rsidR="002B04FE" w:rsidRDefault="002B04FE"/>
    <w:sectPr w:rsidR="002B04FE" w:rsidSect="009F284E">
      <w:pgSz w:w="12240" w:h="15840"/>
      <w:pgMar w:top="450" w:right="1800" w:bottom="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84E"/>
    <w:rsid w:val="00213F00"/>
    <w:rsid w:val="002B04FE"/>
    <w:rsid w:val="005616D5"/>
    <w:rsid w:val="00802675"/>
    <w:rsid w:val="009F284E"/>
    <w:rsid w:val="00A308B8"/>
    <w:rsid w:val="00A8602F"/>
    <w:rsid w:val="00B231EC"/>
    <w:rsid w:val="00B77088"/>
    <w:rsid w:val="00BE7D67"/>
    <w:rsid w:val="00EB782D"/>
    <w:rsid w:val="00ED20FF"/>
    <w:rsid w:val="00FA01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71B7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8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28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8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28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2537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908</Words>
  <Characters>5178</Characters>
  <Application>Microsoft Macintosh Word</Application>
  <DocSecurity>0</DocSecurity>
  <Lines>43</Lines>
  <Paragraphs>12</Paragraphs>
  <ScaleCrop>false</ScaleCrop>
  <Company/>
  <LinksUpToDate>false</LinksUpToDate>
  <CharactersWithSpaces>6074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Harris</dc:creator>
  <cp:keywords/>
  <dc:description/>
  <cp:lastModifiedBy>Jason Harris</cp:lastModifiedBy>
  <cp:revision>3</cp:revision>
  <dcterms:created xsi:type="dcterms:W3CDTF">2016-01-28T19:06:00Z</dcterms:created>
  <dcterms:modified xsi:type="dcterms:W3CDTF">2016-01-28T20:44:00Z</dcterms:modified>
</cp:coreProperties>
</file>