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37" w:type="dxa"/>
        <w:tblLayout w:type="fixed"/>
        <w:tblLook w:val="04A0" w:firstRow="1" w:lastRow="0" w:firstColumn="1" w:lastColumn="0" w:noHBand="0" w:noVBand="1"/>
      </w:tblPr>
      <w:tblGrid>
        <w:gridCol w:w="3066"/>
        <w:gridCol w:w="1820"/>
        <w:gridCol w:w="1918"/>
        <w:gridCol w:w="2233"/>
      </w:tblGrid>
      <w:tr w:rsidR="006E44B8" w:rsidRPr="00E5675C" w14:paraId="185E94E4" w14:textId="77777777" w:rsidTr="00035889">
        <w:trPr>
          <w:trHeight w:val="890"/>
        </w:trPr>
        <w:tc>
          <w:tcPr>
            <w:tcW w:w="3066" w:type="dxa"/>
          </w:tcPr>
          <w:p w14:paraId="3C269C75" w14:textId="77777777" w:rsidR="006E44B8" w:rsidRPr="00E5675C" w:rsidRDefault="006E44B8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E5675C">
              <w:rPr>
                <w:sz w:val="16"/>
                <w:szCs w:val="16"/>
              </w:rPr>
              <w:t>Polaris Industries Inc.</w:t>
            </w:r>
          </w:p>
          <w:p w14:paraId="304CFD1C" w14:textId="77777777" w:rsidR="006E44B8" w:rsidRPr="00E5675C" w:rsidRDefault="006E44B8">
            <w:pPr>
              <w:rPr>
                <w:sz w:val="16"/>
                <w:szCs w:val="16"/>
              </w:rPr>
            </w:pPr>
            <w:r w:rsidRPr="00E5675C">
              <w:rPr>
                <w:sz w:val="16"/>
                <w:szCs w:val="16"/>
              </w:rPr>
              <w:t>Ticker: PII</w:t>
            </w:r>
          </w:p>
          <w:p w14:paraId="1496F563" w14:textId="77777777" w:rsidR="006E44B8" w:rsidRPr="00E5675C" w:rsidRDefault="006E44B8">
            <w:pPr>
              <w:rPr>
                <w:sz w:val="16"/>
                <w:szCs w:val="16"/>
              </w:rPr>
            </w:pPr>
            <w:r w:rsidRPr="00E5675C">
              <w:rPr>
                <w:sz w:val="16"/>
                <w:szCs w:val="16"/>
              </w:rPr>
              <w:t>Sector: Consumer Discretionary</w:t>
            </w:r>
          </w:p>
          <w:p w14:paraId="7E50A51D" w14:textId="77777777" w:rsidR="006E44B8" w:rsidRPr="00E5675C" w:rsidRDefault="006E44B8">
            <w:pPr>
              <w:rPr>
                <w:sz w:val="16"/>
                <w:szCs w:val="16"/>
              </w:rPr>
            </w:pPr>
            <w:r w:rsidRPr="00E5675C">
              <w:rPr>
                <w:sz w:val="16"/>
                <w:szCs w:val="16"/>
              </w:rPr>
              <w:t>Industry: Leisure Products</w:t>
            </w:r>
          </w:p>
        </w:tc>
        <w:tc>
          <w:tcPr>
            <w:tcW w:w="1820" w:type="dxa"/>
          </w:tcPr>
          <w:p w14:paraId="76DB34AE" w14:textId="77777777" w:rsidR="006E44B8" w:rsidRPr="00E5675C" w:rsidRDefault="00832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Intrinsic Value: $151</w:t>
            </w:r>
            <w:r w:rsidR="006E44B8" w:rsidRPr="00E5675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</w:t>
            </w:r>
          </w:p>
          <w:p w14:paraId="5280EDD2" w14:textId="77777777" w:rsidR="006E44B8" w:rsidRPr="00E5675C" w:rsidRDefault="00832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Price: $107</w:t>
            </w:r>
            <w:r w:rsidR="006E44B8" w:rsidRPr="00E5675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83</w:t>
            </w:r>
          </w:p>
          <w:p w14:paraId="37307FCF" w14:textId="5E0F03E6" w:rsidR="006E44B8" w:rsidRPr="00E5675C" w:rsidRDefault="006E44B8">
            <w:pPr>
              <w:rPr>
                <w:sz w:val="16"/>
                <w:szCs w:val="16"/>
              </w:rPr>
            </w:pPr>
            <w:r w:rsidRPr="00E5675C">
              <w:rPr>
                <w:sz w:val="16"/>
                <w:szCs w:val="16"/>
              </w:rPr>
              <w:t>Stop Loss: $</w:t>
            </w:r>
            <w:r w:rsidR="00FB06FB">
              <w:rPr>
                <w:sz w:val="16"/>
                <w:szCs w:val="16"/>
              </w:rPr>
              <w:t>87</w:t>
            </w:r>
          </w:p>
          <w:p w14:paraId="5AA3FEF7" w14:textId="77777777" w:rsidR="006E44B8" w:rsidRPr="00E5675C" w:rsidRDefault="006E44B8" w:rsidP="00832142">
            <w:pPr>
              <w:rPr>
                <w:sz w:val="16"/>
                <w:szCs w:val="16"/>
              </w:rPr>
            </w:pPr>
            <w:r w:rsidRPr="00E5675C">
              <w:rPr>
                <w:sz w:val="16"/>
                <w:szCs w:val="16"/>
              </w:rPr>
              <w:t>Upside Review: $</w:t>
            </w:r>
            <w:r w:rsidR="00832142">
              <w:rPr>
                <w:sz w:val="16"/>
                <w:szCs w:val="16"/>
              </w:rPr>
              <w:t>166.69</w:t>
            </w:r>
          </w:p>
        </w:tc>
        <w:tc>
          <w:tcPr>
            <w:tcW w:w="1918" w:type="dxa"/>
          </w:tcPr>
          <w:p w14:paraId="6079309B" w14:textId="77777777" w:rsidR="006E44B8" w:rsidRDefault="00E56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TTM P/E: 17.58</w:t>
            </w:r>
          </w:p>
          <w:p w14:paraId="244A9336" w14:textId="77777777" w:rsidR="00E5675C" w:rsidRDefault="00E56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 P/E: 13.52</w:t>
            </w:r>
          </w:p>
          <w:p w14:paraId="5BFE3D7B" w14:textId="77777777" w:rsidR="00E5675C" w:rsidRPr="00E5675C" w:rsidRDefault="00E56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Beta: 1.23</w:t>
            </w:r>
          </w:p>
        </w:tc>
        <w:tc>
          <w:tcPr>
            <w:tcW w:w="2233" w:type="dxa"/>
          </w:tcPr>
          <w:p w14:paraId="438980BC" w14:textId="77777777" w:rsidR="006E44B8" w:rsidRDefault="00E56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Market Cap: $7.94 </w:t>
            </w:r>
            <w:proofErr w:type="spellStart"/>
            <w:r>
              <w:rPr>
                <w:sz w:val="16"/>
                <w:szCs w:val="16"/>
              </w:rPr>
              <w:t>Bn</w:t>
            </w:r>
            <w:proofErr w:type="spellEnd"/>
          </w:p>
          <w:p w14:paraId="0D1C791A" w14:textId="77777777" w:rsidR="00E5675C" w:rsidRPr="00E5675C" w:rsidRDefault="00E56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Dividend Yield: $2.07 (1.70%)</w:t>
            </w:r>
          </w:p>
        </w:tc>
      </w:tr>
      <w:tr w:rsidR="001A54DB" w:rsidRPr="00E5675C" w14:paraId="77FDFA21" w14:textId="77777777" w:rsidTr="00035889">
        <w:trPr>
          <w:trHeight w:val="2385"/>
        </w:trPr>
        <w:tc>
          <w:tcPr>
            <w:tcW w:w="4886" w:type="dxa"/>
            <w:gridSpan w:val="2"/>
          </w:tcPr>
          <w:p w14:paraId="7F82BC60" w14:textId="77777777" w:rsidR="001A54DB" w:rsidRDefault="001A54DB">
            <w:pPr>
              <w:rPr>
                <w:sz w:val="16"/>
                <w:szCs w:val="16"/>
              </w:rPr>
            </w:pPr>
            <w:r w:rsidRPr="00F65A7F">
              <w:rPr>
                <w:b/>
                <w:sz w:val="16"/>
                <w:szCs w:val="16"/>
              </w:rPr>
              <w:t>Business Summary:</w:t>
            </w:r>
            <w:r>
              <w:rPr>
                <w:sz w:val="16"/>
                <w:szCs w:val="16"/>
              </w:rPr>
              <w:t xml:space="preserve"> Polaris Industries </w:t>
            </w:r>
            <w:proofErr w:type="gramStart"/>
            <w:r>
              <w:rPr>
                <w:sz w:val="16"/>
                <w:szCs w:val="16"/>
              </w:rPr>
              <w:t>manufacturers</w:t>
            </w:r>
            <w:proofErr w:type="gramEnd"/>
            <w:r>
              <w:rPr>
                <w:sz w:val="16"/>
                <w:szCs w:val="16"/>
              </w:rPr>
              <w:t xml:space="preserve"> off-road vehicles for recreational and utility use. </w:t>
            </w:r>
            <w:r w:rsidR="00F65A7F">
              <w:rPr>
                <w:sz w:val="16"/>
                <w:szCs w:val="16"/>
              </w:rPr>
              <w:t xml:space="preserve">Vehicles include motorcycle, snowmobiles, and side-by-side vehicles. The company is present in the U.S., Canada, Mexico, Western Europe, and Australia. Polaris provides replacement parts and accessories for all products and sells through a network of independent distributors and dealers. </w:t>
            </w:r>
          </w:p>
          <w:p w14:paraId="5581AF00" w14:textId="77777777" w:rsidR="006E2939" w:rsidRDefault="001A54DB">
            <w:pPr>
              <w:rPr>
                <w:sz w:val="16"/>
                <w:szCs w:val="16"/>
              </w:rPr>
            </w:pPr>
            <w:r w:rsidRPr="00F65A7F">
              <w:rPr>
                <w:b/>
                <w:sz w:val="16"/>
                <w:szCs w:val="16"/>
              </w:rPr>
              <w:t>Industry Trends:</w:t>
            </w:r>
            <w:r w:rsidR="0056019E">
              <w:rPr>
                <w:b/>
                <w:sz w:val="16"/>
                <w:szCs w:val="16"/>
              </w:rPr>
              <w:t xml:space="preserve"> </w:t>
            </w:r>
            <w:r w:rsidR="0056019E">
              <w:rPr>
                <w:sz w:val="16"/>
                <w:szCs w:val="16"/>
              </w:rPr>
              <w:t>Unemployment has steadily been decreasing since 2009 and now sits at 5.1%. Additionally, U.S. home prices have rebounded from the recession. Both are good p</w:t>
            </w:r>
            <w:r w:rsidR="00FC4084">
              <w:rPr>
                <w:sz w:val="16"/>
                <w:szCs w:val="16"/>
              </w:rPr>
              <w:t>ieces of news for the leisure product industry. Wh</w:t>
            </w:r>
            <w:r w:rsidR="006E2939">
              <w:rPr>
                <w:sz w:val="16"/>
                <w:szCs w:val="16"/>
              </w:rPr>
              <w:t xml:space="preserve">en the workforce is employed, there are more discretionary funds available for recreation.  Following suit, when home values rise, homeowners feel more comfortable spending cash. The industry as a whole has a large potential in developing countries. </w:t>
            </w:r>
            <w:r w:rsidR="00F77D0C">
              <w:rPr>
                <w:sz w:val="16"/>
                <w:szCs w:val="16"/>
              </w:rPr>
              <w:t xml:space="preserve"> Low gasoline prices also make these vehicles more affordable to operate. Lastly, baby boomers will continue to be drawn to Polaris Vehicle activities. </w:t>
            </w:r>
          </w:p>
          <w:p w14:paraId="6B238437" w14:textId="77777777" w:rsidR="001A54DB" w:rsidRPr="00E5675C" w:rsidRDefault="001A54DB" w:rsidP="00C9117C">
            <w:pPr>
              <w:rPr>
                <w:sz w:val="16"/>
                <w:szCs w:val="16"/>
              </w:rPr>
            </w:pPr>
            <w:r w:rsidRPr="006E2939">
              <w:rPr>
                <w:b/>
                <w:sz w:val="16"/>
                <w:szCs w:val="16"/>
              </w:rPr>
              <w:t>Investment Thesis</w:t>
            </w:r>
            <w:r w:rsidR="006E2939">
              <w:rPr>
                <w:b/>
                <w:sz w:val="16"/>
                <w:szCs w:val="16"/>
              </w:rPr>
              <w:t xml:space="preserve">: </w:t>
            </w:r>
            <w:r w:rsidR="006E2939">
              <w:rPr>
                <w:sz w:val="16"/>
                <w:szCs w:val="16"/>
              </w:rPr>
              <w:t xml:space="preserve">Polaris is well positioned for substantial growth for the next 3-5 years. The company </w:t>
            </w:r>
            <w:r w:rsidR="00F77D0C">
              <w:rPr>
                <w:sz w:val="16"/>
                <w:szCs w:val="16"/>
              </w:rPr>
              <w:t>has been bolster</w:t>
            </w:r>
            <w:r w:rsidR="00022508">
              <w:rPr>
                <w:sz w:val="16"/>
                <w:szCs w:val="16"/>
              </w:rPr>
              <w:t>ing expansion efforts in Europe, which will also diversify</w:t>
            </w:r>
            <w:r w:rsidR="00F77D0C">
              <w:rPr>
                <w:sz w:val="16"/>
                <w:szCs w:val="16"/>
              </w:rPr>
              <w:t xml:space="preserve"> of risk. </w:t>
            </w:r>
            <w:r w:rsidR="00022508">
              <w:rPr>
                <w:sz w:val="16"/>
                <w:szCs w:val="16"/>
              </w:rPr>
              <w:t xml:space="preserve">Currently, the stock is experiencing a selloff based on slightly lower reforecast earnings for 4Q15 and recall of 53,000 RZR units. That being said, Polaris currently </w:t>
            </w:r>
            <w:r w:rsidR="00C9117C">
              <w:rPr>
                <w:sz w:val="16"/>
                <w:szCs w:val="16"/>
              </w:rPr>
              <w:t xml:space="preserve">sits just above its </w:t>
            </w:r>
            <w:r w:rsidR="00832142">
              <w:rPr>
                <w:sz w:val="16"/>
                <w:szCs w:val="16"/>
              </w:rPr>
              <w:t xml:space="preserve">52-week low and is severely undervalued.  Look forward to big gains once the market realizes the company’s true market value. </w:t>
            </w:r>
          </w:p>
        </w:tc>
        <w:tc>
          <w:tcPr>
            <w:tcW w:w="4151" w:type="dxa"/>
            <w:gridSpan w:val="2"/>
          </w:tcPr>
          <w:p w14:paraId="4C941D6D" w14:textId="77777777" w:rsidR="001A54DB" w:rsidRDefault="001A54DB" w:rsidP="001A54DB">
            <w:pPr>
              <w:rPr>
                <w:sz w:val="16"/>
                <w:szCs w:val="16"/>
              </w:rPr>
            </w:pPr>
            <w:r w:rsidRPr="00C352F3">
              <w:rPr>
                <w:b/>
                <w:sz w:val="16"/>
                <w:szCs w:val="16"/>
              </w:rPr>
              <w:t>Competitive Analysis</w:t>
            </w:r>
            <w:r>
              <w:rPr>
                <w:sz w:val="16"/>
                <w:szCs w:val="16"/>
              </w:rPr>
              <w:t>:</w:t>
            </w:r>
            <w:r w:rsidR="00B94DBA">
              <w:rPr>
                <w:sz w:val="16"/>
                <w:szCs w:val="16"/>
              </w:rPr>
              <w:t xml:space="preserve"> Polaris is deeply rooted in </w:t>
            </w:r>
            <w:r w:rsidR="00547B13">
              <w:rPr>
                <w:sz w:val="16"/>
                <w:szCs w:val="16"/>
              </w:rPr>
              <w:t>the ORV’s snowmobile markets and also has a presence in motorcycles</w:t>
            </w:r>
            <w:r w:rsidR="00C352F3">
              <w:rPr>
                <w:sz w:val="16"/>
                <w:szCs w:val="16"/>
              </w:rPr>
              <w:t xml:space="preserve"> manufacturing</w:t>
            </w:r>
            <w:r w:rsidR="00547B13">
              <w:rPr>
                <w:sz w:val="16"/>
                <w:szCs w:val="16"/>
              </w:rPr>
              <w:t xml:space="preserve">. </w:t>
            </w:r>
            <w:r w:rsidR="00B94DBA">
              <w:rPr>
                <w:sz w:val="16"/>
                <w:szCs w:val="16"/>
              </w:rPr>
              <w:t>There are only a handful</w:t>
            </w:r>
            <w:r w:rsidR="00547B13">
              <w:rPr>
                <w:sz w:val="16"/>
                <w:szCs w:val="16"/>
              </w:rPr>
              <w:t xml:space="preserve"> of companies that are involved in these markets. Polaris and Artic Cat are the only companies that are heavily involved </w:t>
            </w:r>
            <w:r w:rsidR="00C352F3">
              <w:rPr>
                <w:sz w:val="16"/>
                <w:szCs w:val="16"/>
              </w:rPr>
              <w:t>in both ORV and Snowmobiles.</w:t>
            </w:r>
            <w:r w:rsidR="00547B13">
              <w:rPr>
                <w:sz w:val="16"/>
                <w:szCs w:val="16"/>
              </w:rPr>
              <w:t xml:space="preserve"> Most </w:t>
            </w:r>
            <w:r w:rsidR="00C352F3">
              <w:rPr>
                <w:sz w:val="16"/>
                <w:szCs w:val="16"/>
              </w:rPr>
              <w:t>other</w:t>
            </w:r>
            <w:r w:rsidR="00547B13">
              <w:rPr>
                <w:sz w:val="16"/>
                <w:szCs w:val="16"/>
              </w:rPr>
              <w:t xml:space="preserve"> Polaris’s compe</w:t>
            </w:r>
            <w:r w:rsidR="00C352F3">
              <w:rPr>
                <w:sz w:val="16"/>
                <w:szCs w:val="16"/>
              </w:rPr>
              <w:t>titors only focus on one market, for example, Harley-Davidson is the world’s largest motorcycle manufacturer.</w:t>
            </w:r>
          </w:p>
          <w:p w14:paraId="6939CAB8" w14:textId="77777777" w:rsidR="001A54DB" w:rsidRDefault="001A54DB" w:rsidP="001A54DB">
            <w:pPr>
              <w:rPr>
                <w:sz w:val="16"/>
                <w:szCs w:val="16"/>
              </w:rPr>
            </w:pPr>
            <w:r w:rsidRPr="00C352F3">
              <w:rPr>
                <w:b/>
                <w:sz w:val="16"/>
                <w:szCs w:val="16"/>
              </w:rPr>
              <w:t>Pro</w:t>
            </w:r>
            <w:r w:rsidR="00B94DBA" w:rsidRPr="00C352F3">
              <w:rPr>
                <w:b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:</w:t>
            </w:r>
            <w:r w:rsidR="00547B13">
              <w:rPr>
                <w:sz w:val="16"/>
                <w:szCs w:val="16"/>
              </w:rPr>
              <w:t xml:space="preserve"> Polaris is very well diversified across markets. Additionally, there is very low threat of new entrants to the industry. This is due to the high capital requirements for R&amp;D and manufacturing of products. Polaris has a strong brand identity specific to product appeal and because it can only be challenged by a handful of players, you can expect consistent growth. Lastly, Polaris has been acquiring </w:t>
            </w:r>
            <w:r w:rsidR="00C352F3">
              <w:rPr>
                <w:sz w:val="16"/>
                <w:szCs w:val="16"/>
              </w:rPr>
              <w:t xml:space="preserve">its suppliers over recent years and has firm control over supply chain and dealer inventories. </w:t>
            </w:r>
          </w:p>
          <w:p w14:paraId="6922D2CD" w14:textId="77777777" w:rsidR="001A54DB" w:rsidRPr="00E5675C" w:rsidRDefault="001A54DB">
            <w:pPr>
              <w:rPr>
                <w:sz w:val="16"/>
                <w:szCs w:val="16"/>
              </w:rPr>
            </w:pPr>
            <w:r w:rsidRPr="00C352F3">
              <w:rPr>
                <w:b/>
                <w:sz w:val="16"/>
                <w:szCs w:val="16"/>
              </w:rPr>
              <w:t>Risk Facto</w:t>
            </w:r>
            <w:r w:rsidR="00C352F3">
              <w:rPr>
                <w:b/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:</w:t>
            </w:r>
            <w:r w:rsidR="00547B13">
              <w:rPr>
                <w:sz w:val="16"/>
                <w:szCs w:val="16"/>
              </w:rPr>
              <w:t xml:space="preserve"> It can be argued that these products appeal to a niche market only in certain geographic locations with open-wilderness easily accessible. Additionally, the recreational products rely heavily on disposal income from healthy economies. </w:t>
            </w:r>
            <w:r w:rsidR="00C352F3">
              <w:rPr>
                <w:sz w:val="16"/>
                <w:szCs w:val="16"/>
              </w:rPr>
              <w:t xml:space="preserve">Therefore it is vulnerable to down markets. Additionally, because Polaris is present in so many sub-industries, there is a risk that it could be spread its resources too thin. </w:t>
            </w:r>
          </w:p>
        </w:tc>
      </w:tr>
      <w:tr w:rsidR="001A54DB" w:rsidRPr="00E5675C" w14:paraId="0E08D53C" w14:textId="77777777" w:rsidTr="00035889">
        <w:trPr>
          <w:trHeight w:val="2493"/>
        </w:trPr>
        <w:tc>
          <w:tcPr>
            <w:tcW w:w="4886" w:type="dxa"/>
            <w:gridSpan w:val="2"/>
          </w:tcPr>
          <w:p w14:paraId="6571C743" w14:textId="77777777" w:rsidR="001A54DB" w:rsidRDefault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Year Stock Performance:</w:t>
            </w:r>
          </w:p>
          <w:p w14:paraId="58F6382B" w14:textId="77777777" w:rsidR="001A54DB" w:rsidRDefault="007B640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390DB7" wp14:editId="0ECFF0C9">
                  <wp:extent cx="2855364" cy="1790700"/>
                  <wp:effectExtent l="0" t="0" r="0" b="0"/>
                  <wp:docPr id="1" name="Picture 1" descr="Macintosh HD:Users:jasonharris:Downloads:advanced.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asonharris:Downloads:advanced.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121" cy="179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5B9DC" w14:textId="77777777" w:rsidR="00FF2C25" w:rsidRPr="00E5675C" w:rsidRDefault="00FF2C25">
            <w:pPr>
              <w:rPr>
                <w:sz w:val="16"/>
                <w:szCs w:val="16"/>
              </w:rPr>
            </w:pPr>
          </w:p>
        </w:tc>
        <w:tc>
          <w:tcPr>
            <w:tcW w:w="4151" w:type="dxa"/>
            <w:gridSpan w:val="2"/>
            <w:vMerge w:val="restart"/>
          </w:tcPr>
          <w:p w14:paraId="21653142" w14:textId="77777777" w:rsidR="001A54DB" w:rsidRPr="001F411C" w:rsidRDefault="001A54DB" w:rsidP="001A54DB">
            <w:pPr>
              <w:rPr>
                <w:b/>
                <w:sz w:val="16"/>
                <w:szCs w:val="16"/>
              </w:rPr>
            </w:pPr>
            <w:r w:rsidRPr="001F411C">
              <w:rPr>
                <w:b/>
                <w:sz w:val="16"/>
                <w:szCs w:val="16"/>
              </w:rPr>
              <w:t>Key Valuation Assumption</w:t>
            </w:r>
          </w:p>
          <w:p w14:paraId="421F667A" w14:textId="77777777" w:rsidR="001A54DB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 Revenue Growth:</w:t>
            </w:r>
            <w:r w:rsidR="00D16B81">
              <w:rPr>
                <w:sz w:val="16"/>
                <w:szCs w:val="16"/>
              </w:rPr>
              <w:t xml:space="preserve"> 11%</w:t>
            </w:r>
          </w:p>
          <w:p w14:paraId="49AB2452" w14:textId="77777777" w:rsidR="001A54DB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WACC: 8.7%</w:t>
            </w:r>
          </w:p>
          <w:p w14:paraId="459D3B00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Expected Inflation:</w:t>
            </w:r>
            <w:r w:rsidR="00D16B81">
              <w:rPr>
                <w:sz w:val="16"/>
                <w:szCs w:val="16"/>
              </w:rPr>
              <w:t xml:space="preserve"> 0.0%</w:t>
            </w:r>
          </w:p>
          <w:p w14:paraId="3BED4757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 Growth Rate: 3.9%</w:t>
            </w:r>
          </w:p>
          <w:p w14:paraId="18D6B45E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Risk Free Rate:</w:t>
            </w:r>
            <w:r w:rsidR="00D16B81">
              <w:rPr>
                <w:sz w:val="16"/>
                <w:szCs w:val="16"/>
              </w:rPr>
              <w:t xml:space="preserve"> 2.03%</w:t>
            </w:r>
          </w:p>
          <w:p w14:paraId="7FD232DE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Equity Risk Premium:</w:t>
            </w:r>
          </w:p>
          <w:p w14:paraId="3DF65BBF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 Rate:</w:t>
            </w:r>
            <w:r w:rsidR="00D16B81">
              <w:rPr>
                <w:sz w:val="16"/>
                <w:szCs w:val="16"/>
              </w:rPr>
              <w:t xml:space="preserve"> 32.6%</w:t>
            </w:r>
          </w:p>
          <w:p w14:paraId="2F2A73D9" w14:textId="77777777" w:rsidR="001A54DB" w:rsidRPr="001F411C" w:rsidRDefault="001F411C" w:rsidP="001A54D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A54DB" w:rsidRPr="001F411C">
              <w:rPr>
                <w:b/>
                <w:sz w:val="16"/>
                <w:szCs w:val="16"/>
              </w:rPr>
              <w:t>Key Financial Data</w:t>
            </w:r>
          </w:p>
          <w:p w14:paraId="0AAB0DEC" w14:textId="77777777" w:rsidR="001A54DB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 2015 EPS:</w:t>
            </w:r>
            <w:r w:rsidR="00D16B81">
              <w:rPr>
                <w:sz w:val="16"/>
                <w:szCs w:val="16"/>
              </w:rPr>
              <w:t xml:space="preserve"> 7.40</w:t>
            </w:r>
          </w:p>
          <w:p w14:paraId="5F41D227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 2016 EPS</w:t>
            </w:r>
            <w:r w:rsidR="00D16B81">
              <w:rPr>
                <w:sz w:val="16"/>
                <w:szCs w:val="16"/>
              </w:rPr>
              <w:t>: 8.61</w:t>
            </w:r>
          </w:p>
          <w:p w14:paraId="7B27FD94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2-5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Est EPS Growth:</w:t>
            </w:r>
          </w:p>
          <w:p w14:paraId="483807AF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PEG (TTM)</w:t>
            </w:r>
            <w:r w:rsidR="00231ED5">
              <w:rPr>
                <w:sz w:val="16"/>
                <w:szCs w:val="16"/>
              </w:rPr>
              <w:t>:</w:t>
            </w:r>
            <w:r w:rsidR="00AA5ED5">
              <w:rPr>
                <w:sz w:val="16"/>
                <w:szCs w:val="16"/>
              </w:rPr>
              <w:t xml:space="preserve"> 0.93</w:t>
            </w:r>
          </w:p>
          <w:p w14:paraId="288B943A" w14:textId="29E9620D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Credit Quality:</w:t>
            </w:r>
            <w:r w:rsidR="00A85575">
              <w:rPr>
                <w:sz w:val="16"/>
                <w:szCs w:val="16"/>
              </w:rPr>
              <w:t xml:space="preserve"> n/a</w:t>
            </w:r>
          </w:p>
          <w:p w14:paraId="0DC22BC5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ROE:</w:t>
            </w:r>
            <w:r w:rsidR="00231ED5">
              <w:rPr>
                <w:sz w:val="16"/>
                <w:szCs w:val="16"/>
              </w:rPr>
              <w:t xml:space="preserve"> 54.1%</w:t>
            </w:r>
          </w:p>
          <w:p w14:paraId="6D15EEF8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ROA:</w:t>
            </w:r>
            <w:r w:rsidR="00231ED5">
              <w:rPr>
                <w:sz w:val="16"/>
                <w:szCs w:val="16"/>
              </w:rPr>
              <w:t xml:space="preserve"> 22.2%</w:t>
            </w:r>
          </w:p>
          <w:p w14:paraId="7D7D8817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Price/Book:</w:t>
            </w:r>
            <w:r w:rsidR="00231ED5">
              <w:rPr>
                <w:sz w:val="16"/>
                <w:szCs w:val="16"/>
              </w:rPr>
              <w:t xml:space="preserve"> 8.98</w:t>
            </w:r>
          </w:p>
          <w:p w14:paraId="53DADF0D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Price/Cash Flow:</w:t>
            </w:r>
            <w:r w:rsidR="00231ED5">
              <w:rPr>
                <w:sz w:val="16"/>
                <w:szCs w:val="16"/>
              </w:rPr>
              <w:t xml:space="preserve"> 11.6</w:t>
            </w:r>
          </w:p>
          <w:p w14:paraId="0EABE9F1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Debt/Equity:</w:t>
            </w:r>
            <w:r w:rsidR="00231ED5">
              <w:rPr>
                <w:sz w:val="16"/>
                <w:szCs w:val="16"/>
              </w:rPr>
              <w:t xml:space="preserve"> 25.9%</w:t>
            </w:r>
          </w:p>
          <w:p w14:paraId="743A6B75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Ratio:</w:t>
            </w:r>
            <w:r w:rsidR="00231ED5">
              <w:rPr>
                <w:sz w:val="16"/>
                <w:szCs w:val="16"/>
              </w:rPr>
              <w:t xml:space="preserve"> 1.3</w:t>
            </w:r>
          </w:p>
          <w:p w14:paraId="00396E74" w14:textId="77777777" w:rsid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Quick Ratio:</w:t>
            </w:r>
            <w:r w:rsidR="00231ED5">
              <w:rPr>
                <w:sz w:val="16"/>
                <w:szCs w:val="16"/>
              </w:rPr>
              <w:t xml:space="preserve"> 0.4</w:t>
            </w:r>
          </w:p>
          <w:p w14:paraId="364F10DD" w14:textId="77777777" w:rsidR="001F411C" w:rsidRDefault="001F411C" w:rsidP="001A5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CSR Characteristics</w:t>
            </w:r>
          </w:p>
          <w:p w14:paraId="0B0BBB0D" w14:textId="77777777" w:rsidR="001F411C" w:rsidRPr="001F411C" w:rsidRDefault="001F411C" w:rsidP="001A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ESG Disclosure:</w:t>
            </w:r>
            <w:r w:rsidR="00A603A6">
              <w:rPr>
                <w:sz w:val="16"/>
                <w:szCs w:val="16"/>
              </w:rPr>
              <w:t xml:space="preserve"> 17.36/14.05</w:t>
            </w:r>
          </w:p>
          <w:p w14:paraId="5C13AB87" w14:textId="39B934AF" w:rsidR="001A54DB" w:rsidRDefault="00BA0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Governance Disclosure Score: 51.79/50.36</w:t>
            </w:r>
          </w:p>
          <w:p w14:paraId="1126E343" w14:textId="5C2ECC83" w:rsidR="00BA0EFD" w:rsidRDefault="00BA0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Disclosure Score: 19.30/15.79</w:t>
            </w:r>
          </w:p>
          <w:p w14:paraId="79A830A8" w14:textId="77777777" w:rsidR="001F411C" w:rsidRDefault="001F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Disclosure Score:</w:t>
            </w:r>
            <w:r w:rsidR="00A603A6">
              <w:rPr>
                <w:sz w:val="16"/>
                <w:szCs w:val="16"/>
              </w:rPr>
              <w:t xml:space="preserve"> 1.55/1.55</w:t>
            </w:r>
          </w:p>
          <w:p w14:paraId="445F9C56" w14:textId="77777777" w:rsidR="001F411C" w:rsidRDefault="001F411C">
            <w:pPr>
              <w:rPr>
                <w:sz w:val="16"/>
                <w:szCs w:val="16"/>
              </w:rPr>
            </w:pPr>
          </w:p>
          <w:p w14:paraId="22FD5A19" w14:textId="77777777" w:rsidR="001F411C" w:rsidRDefault="001F41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Prepared by Jason Harris (October 20, 2015)</w:t>
            </w:r>
          </w:p>
          <w:p w14:paraId="6C76362A" w14:textId="77777777" w:rsidR="00E96739" w:rsidRPr="00E96739" w:rsidRDefault="00E9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from: Bloomberg, Value Line, S&amp;P Net Advantage, Yahoo</w:t>
            </w:r>
          </w:p>
        </w:tc>
      </w:tr>
      <w:tr w:rsidR="007B6409" w:rsidRPr="00E5675C" w14:paraId="2AF28C9C" w14:textId="77777777" w:rsidTr="00035889">
        <w:trPr>
          <w:trHeight w:val="2699"/>
        </w:trPr>
        <w:tc>
          <w:tcPr>
            <w:tcW w:w="4886" w:type="dxa"/>
            <w:gridSpan w:val="2"/>
          </w:tcPr>
          <w:p w14:paraId="03E90889" w14:textId="1BE931F9" w:rsidR="00FF2C25" w:rsidRDefault="007B6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 Comparison:</w:t>
            </w:r>
          </w:p>
          <w:p w14:paraId="1DF929EB" w14:textId="77777777" w:rsidR="00FF2C25" w:rsidRDefault="00FF2C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A55178D" wp14:editId="0D754F79">
                  <wp:extent cx="2854960" cy="1792812"/>
                  <wp:effectExtent l="0" t="0" r="0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9" cy="179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gridSpan w:val="2"/>
            <w:vMerge/>
          </w:tcPr>
          <w:p w14:paraId="7AC9CE0C" w14:textId="77777777" w:rsidR="007B6409" w:rsidRDefault="007B6409" w:rsidP="001A54DB">
            <w:pPr>
              <w:rPr>
                <w:sz w:val="16"/>
                <w:szCs w:val="16"/>
              </w:rPr>
            </w:pPr>
          </w:p>
        </w:tc>
      </w:tr>
    </w:tbl>
    <w:p w14:paraId="36090607" w14:textId="77777777" w:rsidR="00FF2C25" w:rsidRDefault="00FF2C25" w:rsidP="00FF2C25">
      <w:pPr>
        <w:rPr>
          <w:sz w:val="16"/>
          <w:szCs w:val="16"/>
        </w:rPr>
      </w:pPr>
    </w:p>
    <w:sectPr w:rsidR="00FF2C25" w:rsidSect="002B0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8"/>
    <w:rsid w:val="00022508"/>
    <w:rsid w:val="00035889"/>
    <w:rsid w:val="001366A3"/>
    <w:rsid w:val="001A54DB"/>
    <w:rsid w:val="001F411C"/>
    <w:rsid w:val="00231ED5"/>
    <w:rsid w:val="002B04FE"/>
    <w:rsid w:val="00547B13"/>
    <w:rsid w:val="0056019E"/>
    <w:rsid w:val="006E2939"/>
    <w:rsid w:val="006E44B8"/>
    <w:rsid w:val="007B6409"/>
    <w:rsid w:val="00832142"/>
    <w:rsid w:val="008809E6"/>
    <w:rsid w:val="00A603A6"/>
    <w:rsid w:val="00A85575"/>
    <w:rsid w:val="00AA5ED5"/>
    <w:rsid w:val="00B94DBA"/>
    <w:rsid w:val="00BA0EFD"/>
    <w:rsid w:val="00BA6F89"/>
    <w:rsid w:val="00C352F3"/>
    <w:rsid w:val="00C9117C"/>
    <w:rsid w:val="00D16B81"/>
    <w:rsid w:val="00E5675C"/>
    <w:rsid w:val="00E96739"/>
    <w:rsid w:val="00F65A7F"/>
    <w:rsid w:val="00F77D0C"/>
    <w:rsid w:val="00FB06FB"/>
    <w:rsid w:val="00FC4084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A8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AF717-E1A7-4379-A70F-C8A83597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Harris</dc:creator>
  <cp:lastModifiedBy>Alex Sadowski</cp:lastModifiedBy>
  <cp:revision>2</cp:revision>
  <cp:lastPrinted>2015-10-28T00:09:00Z</cp:lastPrinted>
  <dcterms:created xsi:type="dcterms:W3CDTF">2015-10-28T20:49:00Z</dcterms:created>
  <dcterms:modified xsi:type="dcterms:W3CDTF">2015-10-28T20:49:00Z</dcterms:modified>
</cp:coreProperties>
</file>