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700" w:type="dxa"/>
        <w:tblInd w:w="-1332" w:type="dxa"/>
        <w:tblLayout w:type="fixed"/>
        <w:tblLook w:val="04A0" w:firstRow="1" w:lastRow="0" w:firstColumn="1" w:lastColumn="0" w:noHBand="0" w:noVBand="1"/>
      </w:tblPr>
      <w:tblGrid>
        <w:gridCol w:w="3150"/>
        <w:gridCol w:w="3150"/>
        <w:gridCol w:w="2160"/>
        <w:gridCol w:w="3240"/>
      </w:tblGrid>
      <w:tr w:rsidR="00C8095F" w:rsidRPr="00D9079F" w14:paraId="3AA29E37" w14:textId="77777777" w:rsidTr="00FD34FE">
        <w:trPr>
          <w:trHeight w:val="80"/>
        </w:trPr>
        <w:tc>
          <w:tcPr>
            <w:tcW w:w="3150" w:type="dxa"/>
            <w:shd w:val="clear" w:color="auto" w:fill="365F91" w:themeFill="accent1" w:themeFillShade="BF"/>
          </w:tcPr>
          <w:p w14:paraId="2E49CA38" w14:textId="3EAA3C23" w:rsidR="00C8095F" w:rsidRPr="00D9079F" w:rsidRDefault="00C8095F" w:rsidP="00F90D77">
            <w:pPr>
              <w:jc w:val="center"/>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 xml:space="preserve">Company: </w:t>
            </w:r>
            <w:r w:rsidR="00F90D77">
              <w:rPr>
                <w:rFonts w:asciiTheme="majorHAnsi" w:hAnsiTheme="majorHAnsi"/>
                <w:b/>
                <w:color w:val="FFFFFF" w:themeColor="background1"/>
                <w:sz w:val="16"/>
                <w:szCs w:val="16"/>
              </w:rPr>
              <w:t>Microsoft Corp.</w:t>
            </w:r>
          </w:p>
        </w:tc>
        <w:tc>
          <w:tcPr>
            <w:tcW w:w="3150" w:type="dxa"/>
            <w:shd w:val="clear" w:color="auto" w:fill="365F91" w:themeFill="accent1" w:themeFillShade="BF"/>
          </w:tcPr>
          <w:p w14:paraId="5FDF97F0" w14:textId="39FB67B0" w:rsidR="00C8095F" w:rsidRPr="00D9079F" w:rsidRDefault="00C8095F" w:rsidP="00F90D77">
            <w:pPr>
              <w:jc w:val="center"/>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 xml:space="preserve">Ticker: </w:t>
            </w:r>
            <w:r w:rsidR="00F90D77">
              <w:rPr>
                <w:rFonts w:asciiTheme="majorHAnsi" w:hAnsiTheme="majorHAnsi"/>
                <w:b/>
                <w:color w:val="FFFFFF" w:themeColor="background1"/>
                <w:sz w:val="16"/>
                <w:szCs w:val="16"/>
              </w:rPr>
              <w:t>MSFT</w:t>
            </w:r>
            <w:r w:rsidRPr="00D9079F">
              <w:rPr>
                <w:rFonts w:asciiTheme="majorHAnsi" w:hAnsiTheme="majorHAnsi"/>
                <w:b/>
                <w:color w:val="FFFFFF" w:themeColor="background1"/>
                <w:sz w:val="16"/>
                <w:szCs w:val="16"/>
              </w:rPr>
              <w:t xml:space="preserve">         Current Price: $ </w:t>
            </w:r>
            <w:r w:rsidR="00F90D77">
              <w:rPr>
                <w:rFonts w:asciiTheme="majorHAnsi" w:hAnsiTheme="majorHAnsi"/>
                <w:b/>
                <w:color w:val="FFFFFF" w:themeColor="background1"/>
                <w:sz w:val="16"/>
                <w:szCs w:val="16"/>
              </w:rPr>
              <w:t>52.15</w:t>
            </w:r>
          </w:p>
        </w:tc>
        <w:tc>
          <w:tcPr>
            <w:tcW w:w="5400" w:type="dxa"/>
            <w:gridSpan w:val="2"/>
            <w:shd w:val="clear" w:color="auto" w:fill="365F91" w:themeFill="accent1" w:themeFillShade="BF"/>
          </w:tcPr>
          <w:p w14:paraId="417B84CE" w14:textId="21F5F874" w:rsidR="00C8095F" w:rsidRPr="00D9079F" w:rsidRDefault="00C8095F" w:rsidP="00F90D77">
            <w:pPr>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 xml:space="preserve">Industry: </w:t>
            </w:r>
            <w:r w:rsidR="00F90D77">
              <w:rPr>
                <w:rFonts w:asciiTheme="majorHAnsi" w:hAnsiTheme="majorHAnsi"/>
                <w:b/>
                <w:color w:val="FFFFFF" w:themeColor="background1"/>
                <w:sz w:val="16"/>
                <w:szCs w:val="16"/>
              </w:rPr>
              <w:t>Technology</w:t>
            </w:r>
            <w:r w:rsidRPr="00D9079F">
              <w:rPr>
                <w:rFonts w:asciiTheme="majorHAnsi" w:hAnsiTheme="majorHAnsi"/>
                <w:b/>
                <w:color w:val="FFFFFF" w:themeColor="background1"/>
                <w:sz w:val="16"/>
                <w:szCs w:val="16"/>
              </w:rPr>
              <w:t xml:space="preserve">              Sub Industry: </w:t>
            </w:r>
            <w:r w:rsidR="00F90D77">
              <w:rPr>
                <w:rFonts w:asciiTheme="majorHAnsi" w:hAnsiTheme="majorHAnsi"/>
                <w:b/>
                <w:color w:val="FFFFFF" w:themeColor="background1"/>
                <w:sz w:val="16"/>
                <w:szCs w:val="16"/>
              </w:rPr>
              <w:t>Software infrastructure</w:t>
            </w:r>
            <w:r w:rsidR="006A07A0">
              <w:rPr>
                <w:rFonts w:asciiTheme="majorHAnsi" w:hAnsiTheme="majorHAnsi"/>
                <w:b/>
                <w:color w:val="FFFFFF" w:themeColor="background1"/>
                <w:sz w:val="16"/>
                <w:szCs w:val="16"/>
              </w:rPr>
              <w:t xml:space="preserve"> </w:t>
            </w:r>
          </w:p>
        </w:tc>
      </w:tr>
      <w:tr w:rsidR="006E44B8" w:rsidRPr="00D9079F" w14:paraId="185E94E4" w14:textId="77777777" w:rsidTr="00AC6A2C">
        <w:trPr>
          <w:trHeight w:val="512"/>
        </w:trPr>
        <w:tc>
          <w:tcPr>
            <w:tcW w:w="3150" w:type="dxa"/>
          </w:tcPr>
          <w:p w14:paraId="159CAB82" w14:textId="442BD048" w:rsidR="00E8555E" w:rsidRPr="00D9079F" w:rsidRDefault="00E8555E" w:rsidP="00E8555E">
            <w:pPr>
              <w:rPr>
                <w:rFonts w:asciiTheme="majorHAnsi" w:hAnsiTheme="majorHAnsi"/>
                <w:sz w:val="16"/>
                <w:szCs w:val="16"/>
              </w:rPr>
            </w:pPr>
            <w:r w:rsidRPr="00291662">
              <w:rPr>
                <w:rFonts w:asciiTheme="majorHAnsi" w:hAnsiTheme="majorHAnsi"/>
                <w:sz w:val="16"/>
                <w:szCs w:val="16"/>
              </w:rPr>
              <w:t>Target Price</w:t>
            </w:r>
            <w:r w:rsidR="00C161B3" w:rsidRPr="00291662">
              <w:rPr>
                <w:rFonts w:asciiTheme="majorHAnsi" w:hAnsiTheme="majorHAnsi"/>
                <w:sz w:val="16"/>
                <w:szCs w:val="16"/>
              </w:rPr>
              <w:t>:</w:t>
            </w:r>
            <w:r w:rsidR="00743904" w:rsidRPr="00291662">
              <w:rPr>
                <w:rFonts w:asciiTheme="majorHAnsi" w:hAnsiTheme="majorHAnsi"/>
                <w:sz w:val="16"/>
                <w:szCs w:val="16"/>
              </w:rPr>
              <w:t xml:space="preserve"> $</w:t>
            </w:r>
            <w:r w:rsidR="00291662" w:rsidRPr="00291662">
              <w:rPr>
                <w:rFonts w:asciiTheme="majorHAnsi" w:hAnsiTheme="majorHAnsi"/>
                <w:sz w:val="16"/>
                <w:szCs w:val="16"/>
              </w:rPr>
              <w:t xml:space="preserve"> </w:t>
            </w:r>
            <w:r w:rsidR="00F5552B">
              <w:rPr>
                <w:rFonts w:asciiTheme="majorHAnsi" w:hAnsiTheme="majorHAnsi"/>
                <w:sz w:val="16"/>
                <w:szCs w:val="16"/>
              </w:rPr>
              <w:t>62.06</w:t>
            </w:r>
          </w:p>
          <w:p w14:paraId="366C508D" w14:textId="731E8E2D" w:rsidR="00E8555E" w:rsidRPr="00D9079F" w:rsidRDefault="00C161B3" w:rsidP="00E8555E">
            <w:pPr>
              <w:rPr>
                <w:rFonts w:asciiTheme="majorHAnsi" w:hAnsiTheme="majorHAnsi"/>
                <w:sz w:val="16"/>
                <w:szCs w:val="16"/>
              </w:rPr>
            </w:pPr>
            <w:r w:rsidRPr="00D9079F">
              <w:rPr>
                <w:rFonts w:asciiTheme="majorHAnsi" w:hAnsiTheme="majorHAnsi"/>
                <w:sz w:val="16"/>
                <w:szCs w:val="16"/>
              </w:rPr>
              <w:t>Stop Loss:</w:t>
            </w:r>
            <w:r w:rsidR="00743904" w:rsidRPr="00D9079F">
              <w:rPr>
                <w:rFonts w:asciiTheme="majorHAnsi" w:hAnsiTheme="majorHAnsi"/>
                <w:sz w:val="16"/>
                <w:szCs w:val="16"/>
              </w:rPr>
              <w:t xml:space="preserve"> $</w:t>
            </w:r>
            <w:r w:rsidR="00F5552B">
              <w:rPr>
                <w:rFonts w:asciiTheme="majorHAnsi" w:hAnsiTheme="majorHAnsi"/>
                <w:sz w:val="16"/>
                <w:szCs w:val="16"/>
              </w:rPr>
              <w:t>49.62</w:t>
            </w:r>
          </w:p>
          <w:p w14:paraId="7E50A51D" w14:textId="6716A9E3" w:rsidR="006E44B8" w:rsidRPr="00D9079F" w:rsidRDefault="00E8555E" w:rsidP="00630E4C">
            <w:pPr>
              <w:rPr>
                <w:rFonts w:asciiTheme="majorHAnsi" w:hAnsiTheme="majorHAnsi"/>
                <w:sz w:val="16"/>
                <w:szCs w:val="16"/>
              </w:rPr>
            </w:pPr>
            <w:r w:rsidRPr="00D9079F">
              <w:rPr>
                <w:rFonts w:asciiTheme="majorHAnsi" w:hAnsiTheme="majorHAnsi"/>
                <w:sz w:val="16"/>
                <w:szCs w:val="16"/>
              </w:rPr>
              <w:t xml:space="preserve">52 Week </w:t>
            </w:r>
            <w:r w:rsidR="00630E4C">
              <w:rPr>
                <w:rFonts w:asciiTheme="majorHAnsi" w:hAnsiTheme="majorHAnsi"/>
                <w:sz w:val="16"/>
                <w:szCs w:val="16"/>
              </w:rPr>
              <w:t>h</w:t>
            </w:r>
            <w:r w:rsidRPr="00D9079F">
              <w:rPr>
                <w:rFonts w:asciiTheme="majorHAnsi" w:hAnsiTheme="majorHAnsi"/>
                <w:sz w:val="16"/>
                <w:szCs w:val="16"/>
              </w:rPr>
              <w:t>igh/ Low:</w:t>
            </w:r>
            <w:r w:rsidR="00743904" w:rsidRPr="00D9079F">
              <w:rPr>
                <w:rFonts w:asciiTheme="majorHAnsi" w:hAnsiTheme="majorHAnsi"/>
                <w:sz w:val="16"/>
                <w:szCs w:val="16"/>
              </w:rPr>
              <w:t xml:space="preserve"> $</w:t>
            </w:r>
            <w:r w:rsidR="00F90D77">
              <w:rPr>
                <w:rFonts w:asciiTheme="majorHAnsi" w:hAnsiTheme="majorHAnsi" w:cs="Arial"/>
                <w:color w:val="000000"/>
                <w:sz w:val="16"/>
                <w:szCs w:val="16"/>
                <w:shd w:val="clear" w:color="auto" w:fill="FFFFFF"/>
              </w:rPr>
              <w:t>39.72/56.85</w:t>
            </w:r>
          </w:p>
        </w:tc>
        <w:tc>
          <w:tcPr>
            <w:tcW w:w="3150" w:type="dxa"/>
          </w:tcPr>
          <w:p w14:paraId="461A4200" w14:textId="3A030A30" w:rsidR="00E8555E" w:rsidRPr="00D9079F" w:rsidRDefault="00E8555E" w:rsidP="00E8555E">
            <w:pPr>
              <w:rPr>
                <w:rFonts w:asciiTheme="majorHAnsi" w:hAnsiTheme="majorHAnsi"/>
                <w:sz w:val="16"/>
                <w:szCs w:val="16"/>
              </w:rPr>
            </w:pPr>
            <w:r w:rsidRPr="00D9079F">
              <w:rPr>
                <w:rFonts w:asciiTheme="majorHAnsi" w:hAnsiTheme="majorHAnsi"/>
                <w:sz w:val="16"/>
                <w:szCs w:val="16"/>
              </w:rPr>
              <w:t xml:space="preserve">TTM P/E: </w:t>
            </w:r>
            <w:r w:rsidR="00F90D77">
              <w:rPr>
                <w:rFonts w:asciiTheme="majorHAnsi" w:hAnsiTheme="majorHAnsi"/>
                <w:sz w:val="16"/>
                <w:szCs w:val="16"/>
              </w:rPr>
              <w:t>37.10</w:t>
            </w:r>
          </w:p>
          <w:p w14:paraId="4BB1D830" w14:textId="5A533B59" w:rsidR="00AF471E" w:rsidRDefault="00E8555E" w:rsidP="00AF471E">
            <w:pPr>
              <w:rPr>
                <w:rFonts w:asciiTheme="majorHAnsi" w:hAnsiTheme="majorHAnsi"/>
                <w:sz w:val="16"/>
                <w:szCs w:val="16"/>
              </w:rPr>
            </w:pPr>
            <w:r w:rsidRPr="00D9079F">
              <w:rPr>
                <w:rFonts w:asciiTheme="majorHAnsi" w:hAnsiTheme="majorHAnsi"/>
                <w:sz w:val="16"/>
                <w:szCs w:val="16"/>
              </w:rPr>
              <w:t xml:space="preserve">Forward P/E: </w:t>
            </w:r>
            <w:r w:rsidR="00F90D77">
              <w:rPr>
                <w:rFonts w:asciiTheme="majorHAnsi" w:hAnsiTheme="majorHAnsi"/>
                <w:sz w:val="16"/>
                <w:szCs w:val="16"/>
              </w:rPr>
              <w:t>16.4</w:t>
            </w:r>
          </w:p>
          <w:p w14:paraId="5AA3FEF7" w14:textId="52AF7390" w:rsidR="006E44B8" w:rsidRPr="00D9079F" w:rsidRDefault="00E8555E" w:rsidP="00AF471E">
            <w:pPr>
              <w:rPr>
                <w:rFonts w:asciiTheme="majorHAnsi" w:hAnsiTheme="majorHAnsi"/>
                <w:sz w:val="16"/>
                <w:szCs w:val="16"/>
              </w:rPr>
            </w:pPr>
            <w:r w:rsidRPr="00D9079F">
              <w:rPr>
                <w:rFonts w:asciiTheme="majorHAnsi" w:hAnsiTheme="majorHAnsi"/>
                <w:sz w:val="16"/>
                <w:szCs w:val="16"/>
              </w:rPr>
              <w:t xml:space="preserve">EPS: </w:t>
            </w:r>
            <w:r w:rsidR="00E60A49" w:rsidRPr="00D9079F">
              <w:rPr>
                <w:rFonts w:asciiTheme="majorHAnsi" w:hAnsiTheme="majorHAnsi"/>
                <w:sz w:val="16"/>
                <w:szCs w:val="16"/>
              </w:rPr>
              <w:t>$</w:t>
            </w:r>
            <w:r w:rsidR="00F90D77">
              <w:rPr>
                <w:rFonts w:asciiTheme="majorHAnsi" w:hAnsiTheme="majorHAnsi"/>
                <w:sz w:val="16"/>
                <w:szCs w:val="16"/>
              </w:rPr>
              <w:t>1.42</w:t>
            </w:r>
          </w:p>
        </w:tc>
        <w:tc>
          <w:tcPr>
            <w:tcW w:w="2160" w:type="dxa"/>
            <w:shd w:val="clear" w:color="auto" w:fill="auto"/>
          </w:tcPr>
          <w:p w14:paraId="25238E11" w14:textId="5F62B38D" w:rsidR="00E8555E" w:rsidRPr="00AC6A2C" w:rsidRDefault="00923CAB" w:rsidP="00E8555E">
            <w:pPr>
              <w:rPr>
                <w:rFonts w:asciiTheme="majorHAnsi" w:hAnsiTheme="majorHAnsi"/>
                <w:sz w:val="16"/>
                <w:szCs w:val="16"/>
              </w:rPr>
            </w:pPr>
            <w:r w:rsidRPr="00F5552B">
              <w:rPr>
                <w:rFonts w:asciiTheme="majorHAnsi" w:hAnsiTheme="majorHAnsi"/>
                <w:sz w:val="16"/>
                <w:szCs w:val="16"/>
              </w:rPr>
              <w:t xml:space="preserve">Beta: </w:t>
            </w:r>
            <w:r w:rsidR="00F5552B">
              <w:rPr>
                <w:rFonts w:asciiTheme="majorHAnsi" w:hAnsiTheme="majorHAnsi"/>
                <w:sz w:val="16"/>
                <w:szCs w:val="16"/>
              </w:rPr>
              <w:t>1.14</w:t>
            </w:r>
            <w:r w:rsidR="00925975" w:rsidRPr="00F5552B">
              <w:rPr>
                <w:rFonts w:asciiTheme="majorHAnsi" w:hAnsiTheme="majorHAnsi"/>
                <w:sz w:val="16"/>
                <w:szCs w:val="16"/>
              </w:rPr>
              <w:t xml:space="preserve"> (Bloomberg)</w:t>
            </w:r>
          </w:p>
          <w:p w14:paraId="668080B0" w14:textId="28A0CE20" w:rsidR="00E60A49" w:rsidRPr="008C7FEA" w:rsidRDefault="00E8555E" w:rsidP="00E60A49">
            <w:pPr>
              <w:rPr>
                <w:rFonts w:asciiTheme="majorHAnsi" w:hAnsiTheme="majorHAnsi"/>
                <w:sz w:val="16"/>
                <w:szCs w:val="16"/>
              </w:rPr>
            </w:pPr>
            <w:r w:rsidRPr="00AC6A2C">
              <w:rPr>
                <w:rFonts w:asciiTheme="majorHAnsi" w:hAnsiTheme="majorHAnsi"/>
                <w:sz w:val="16"/>
                <w:szCs w:val="16"/>
              </w:rPr>
              <w:t>Credit Rating:</w:t>
            </w:r>
            <w:r w:rsidR="00743904" w:rsidRPr="00AC6A2C">
              <w:rPr>
                <w:rFonts w:asciiTheme="majorHAnsi" w:hAnsiTheme="majorHAnsi"/>
                <w:sz w:val="16"/>
                <w:szCs w:val="16"/>
              </w:rPr>
              <w:t xml:space="preserve"> </w:t>
            </w:r>
            <w:r w:rsidR="008C7FEA" w:rsidRPr="008C7FEA">
              <w:rPr>
                <w:rFonts w:asciiTheme="majorHAnsi" w:hAnsiTheme="majorHAnsi"/>
                <w:sz w:val="16"/>
                <w:szCs w:val="16"/>
              </w:rPr>
              <w:t>A</w:t>
            </w:r>
            <w:r w:rsidR="0021182D">
              <w:rPr>
                <w:rFonts w:asciiTheme="majorHAnsi" w:hAnsiTheme="majorHAnsi"/>
                <w:sz w:val="16"/>
                <w:szCs w:val="16"/>
              </w:rPr>
              <w:t>AA</w:t>
            </w:r>
            <w:r w:rsidR="008C7FEA" w:rsidRPr="008C7FEA">
              <w:rPr>
                <w:rFonts w:asciiTheme="majorHAnsi" w:hAnsiTheme="majorHAnsi"/>
                <w:sz w:val="16"/>
                <w:szCs w:val="16"/>
              </w:rPr>
              <w:t xml:space="preserve"> (</w:t>
            </w:r>
            <w:r w:rsidR="0021182D">
              <w:rPr>
                <w:rFonts w:asciiTheme="majorHAnsi" w:hAnsiTheme="majorHAnsi"/>
                <w:sz w:val="16"/>
                <w:szCs w:val="16"/>
              </w:rPr>
              <w:t>Moody</w:t>
            </w:r>
            <w:r w:rsidR="00AC6A2C" w:rsidRPr="008C7FEA">
              <w:rPr>
                <w:rFonts w:asciiTheme="majorHAnsi" w:hAnsiTheme="majorHAnsi"/>
                <w:sz w:val="16"/>
                <w:szCs w:val="16"/>
              </w:rPr>
              <w:t>)</w:t>
            </w:r>
          </w:p>
          <w:p w14:paraId="5BFE3D7B" w14:textId="64B3F6EE" w:rsidR="003073EA" w:rsidRPr="00AC6A2C" w:rsidRDefault="003073EA" w:rsidP="0021182D">
            <w:pPr>
              <w:rPr>
                <w:rFonts w:asciiTheme="majorHAnsi" w:hAnsiTheme="majorHAnsi"/>
                <w:sz w:val="16"/>
                <w:szCs w:val="16"/>
                <w:highlight w:val="yellow"/>
              </w:rPr>
            </w:pPr>
            <w:r w:rsidRPr="008C7FEA">
              <w:rPr>
                <w:rFonts w:asciiTheme="majorHAnsi" w:hAnsiTheme="majorHAnsi"/>
                <w:sz w:val="16"/>
                <w:szCs w:val="16"/>
              </w:rPr>
              <w:t>Rating Outloo</w:t>
            </w:r>
            <w:r w:rsidRPr="00AC6A2C">
              <w:rPr>
                <w:rFonts w:asciiTheme="majorHAnsi" w:hAnsiTheme="majorHAnsi"/>
                <w:sz w:val="16"/>
                <w:szCs w:val="16"/>
              </w:rPr>
              <w:t xml:space="preserve">k: </w:t>
            </w:r>
            <w:r w:rsidR="0021182D">
              <w:rPr>
                <w:rFonts w:asciiTheme="majorHAnsi" w:hAnsiTheme="majorHAnsi"/>
                <w:sz w:val="16"/>
                <w:szCs w:val="16"/>
              </w:rPr>
              <w:t>slow growth</w:t>
            </w:r>
            <w:r w:rsidR="008C7FEA">
              <w:rPr>
                <w:rFonts w:asciiTheme="majorHAnsi" w:hAnsiTheme="majorHAnsi"/>
                <w:sz w:val="16"/>
                <w:szCs w:val="16"/>
              </w:rPr>
              <w:t xml:space="preserve"> </w:t>
            </w:r>
          </w:p>
        </w:tc>
        <w:tc>
          <w:tcPr>
            <w:tcW w:w="3240" w:type="dxa"/>
          </w:tcPr>
          <w:p w14:paraId="438980BC" w14:textId="5C69D744" w:rsidR="006E44B8" w:rsidRPr="00D9079F" w:rsidRDefault="0013332F">
            <w:pPr>
              <w:rPr>
                <w:rFonts w:asciiTheme="majorHAnsi" w:hAnsiTheme="majorHAnsi"/>
                <w:sz w:val="16"/>
                <w:szCs w:val="16"/>
              </w:rPr>
            </w:pPr>
            <w:r w:rsidRPr="00D9079F">
              <w:rPr>
                <w:rFonts w:asciiTheme="majorHAnsi" w:hAnsiTheme="majorHAnsi"/>
                <w:sz w:val="16"/>
                <w:szCs w:val="16"/>
              </w:rPr>
              <w:t xml:space="preserve">Market Cap: </w:t>
            </w:r>
            <w:r w:rsidR="00743904" w:rsidRPr="00D9079F">
              <w:rPr>
                <w:rFonts w:asciiTheme="majorHAnsi" w:hAnsiTheme="majorHAnsi"/>
                <w:sz w:val="16"/>
                <w:szCs w:val="16"/>
              </w:rPr>
              <w:t>$</w:t>
            </w:r>
            <w:r w:rsidR="0021182D">
              <w:rPr>
                <w:rFonts w:asciiTheme="majorHAnsi" w:hAnsiTheme="majorHAnsi"/>
                <w:sz w:val="16"/>
                <w:szCs w:val="16"/>
              </w:rPr>
              <w:t>433b</w:t>
            </w:r>
          </w:p>
          <w:p w14:paraId="37B82920" w14:textId="0B5A3B52" w:rsidR="00C441B3" w:rsidRPr="00D9079F" w:rsidRDefault="00C441B3">
            <w:pPr>
              <w:rPr>
                <w:rFonts w:asciiTheme="majorHAnsi" w:hAnsiTheme="majorHAnsi"/>
                <w:sz w:val="16"/>
                <w:szCs w:val="16"/>
              </w:rPr>
            </w:pPr>
            <w:proofErr w:type="spellStart"/>
            <w:r w:rsidRPr="00D9079F">
              <w:rPr>
                <w:rFonts w:asciiTheme="majorHAnsi" w:hAnsiTheme="majorHAnsi" w:cs="UniversLTStd-BoldCn"/>
                <w:bCs/>
                <w:sz w:val="16"/>
                <w:szCs w:val="16"/>
              </w:rPr>
              <w:t>Avg</w:t>
            </w:r>
            <w:proofErr w:type="spellEnd"/>
            <w:r w:rsidRPr="00D9079F">
              <w:rPr>
                <w:rFonts w:asciiTheme="majorHAnsi" w:hAnsiTheme="majorHAnsi" w:cs="UniversLTStd-BoldCn"/>
                <w:bCs/>
                <w:sz w:val="16"/>
                <w:szCs w:val="16"/>
              </w:rPr>
              <w:t xml:space="preserve"> Vol </w:t>
            </w:r>
            <w:proofErr w:type="gramStart"/>
            <w:r w:rsidRPr="00D9079F">
              <w:rPr>
                <w:rFonts w:asciiTheme="majorHAnsi" w:hAnsiTheme="majorHAnsi" w:cs="UniversLTStd-BoldCn"/>
                <w:bCs/>
                <w:sz w:val="16"/>
                <w:szCs w:val="16"/>
              </w:rPr>
              <w:t xml:space="preserve">( </w:t>
            </w:r>
            <w:r w:rsidR="00852DFB">
              <w:rPr>
                <w:rFonts w:asciiTheme="majorHAnsi" w:hAnsiTheme="majorHAnsi" w:cs="UniversLTStd-BoldCn"/>
                <w:bCs/>
                <w:sz w:val="16"/>
                <w:szCs w:val="16"/>
              </w:rPr>
              <w:t>3</w:t>
            </w:r>
            <w:proofErr w:type="gramEnd"/>
            <w:r w:rsidRPr="00D9079F">
              <w:rPr>
                <w:rFonts w:asciiTheme="majorHAnsi" w:hAnsiTheme="majorHAnsi" w:cs="UniversLTStd-BoldCn"/>
                <w:bCs/>
                <w:sz w:val="16"/>
                <w:szCs w:val="16"/>
              </w:rPr>
              <w:t xml:space="preserve"> M)</w:t>
            </w:r>
            <w:r w:rsidR="00BF2DE5" w:rsidRPr="00D9079F">
              <w:rPr>
                <w:rFonts w:asciiTheme="majorHAnsi" w:hAnsiTheme="majorHAnsi" w:cs="UniversLTStd-BoldCn"/>
                <w:bCs/>
                <w:sz w:val="16"/>
                <w:szCs w:val="16"/>
              </w:rPr>
              <w:t>:</w:t>
            </w:r>
            <w:r w:rsidR="00743904" w:rsidRPr="00D9079F">
              <w:rPr>
                <w:rFonts w:asciiTheme="majorHAnsi" w:hAnsiTheme="majorHAnsi" w:cs="UniversLTStd-BoldCn"/>
                <w:bCs/>
                <w:sz w:val="16"/>
                <w:szCs w:val="16"/>
              </w:rPr>
              <w:t xml:space="preserve"> </w:t>
            </w:r>
            <w:r w:rsidR="0059647E">
              <w:rPr>
                <w:rFonts w:asciiTheme="majorHAnsi" w:hAnsiTheme="majorHAnsi" w:cs="UniversLTStd-BoldCn"/>
                <w:bCs/>
                <w:sz w:val="16"/>
                <w:szCs w:val="16"/>
              </w:rPr>
              <w:t>49.68</w:t>
            </w:r>
            <w:r w:rsidR="0021182D">
              <w:rPr>
                <w:rFonts w:asciiTheme="majorHAnsi" w:hAnsiTheme="majorHAnsi" w:cs="UniversLTStd-BoldCn"/>
                <w:bCs/>
                <w:sz w:val="16"/>
                <w:szCs w:val="16"/>
              </w:rPr>
              <w:t>m</w:t>
            </w:r>
          </w:p>
          <w:p w14:paraId="0D1C791A" w14:textId="1FA25D22" w:rsidR="00E5675C" w:rsidRPr="00D9079F" w:rsidRDefault="00E5675C" w:rsidP="00852DFB">
            <w:pPr>
              <w:rPr>
                <w:rFonts w:asciiTheme="majorHAnsi" w:hAnsiTheme="majorHAnsi"/>
                <w:sz w:val="16"/>
                <w:szCs w:val="16"/>
              </w:rPr>
            </w:pPr>
            <w:r w:rsidRPr="00D9079F">
              <w:rPr>
                <w:rFonts w:asciiTheme="majorHAnsi" w:hAnsiTheme="majorHAnsi"/>
                <w:sz w:val="16"/>
                <w:szCs w:val="16"/>
              </w:rPr>
              <w:t xml:space="preserve">Dividend Yield: </w:t>
            </w:r>
            <w:r w:rsidR="00852DFB">
              <w:rPr>
                <w:rFonts w:asciiTheme="majorHAnsi" w:hAnsiTheme="majorHAnsi"/>
                <w:sz w:val="16"/>
                <w:szCs w:val="16"/>
              </w:rPr>
              <w:t>2</w:t>
            </w:r>
            <w:r w:rsidR="0021182D">
              <w:rPr>
                <w:rFonts w:asciiTheme="majorHAnsi" w:hAnsiTheme="majorHAnsi"/>
                <w:sz w:val="16"/>
                <w:szCs w:val="16"/>
              </w:rPr>
              <w:t>.</w:t>
            </w:r>
            <w:r w:rsidR="0059647E">
              <w:rPr>
                <w:rFonts w:asciiTheme="majorHAnsi" w:hAnsiTheme="majorHAnsi"/>
                <w:sz w:val="16"/>
                <w:szCs w:val="16"/>
              </w:rPr>
              <w:t>8</w:t>
            </w:r>
            <w:r w:rsidR="00743904" w:rsidRPr="00D9079F">
              <w:rPr>
                <w:rFonts w:asciiTheme="majorHAnsi" w:hAnsiTheme="majorHAnsi"/>
                <w:sz w:val="16"/>
                <w:szCs w:val="16"/>
              </w:rPr>
              <w:t>%</w:t>
            </w:r>
          </w:p>
        </w:tc>
      </w:tr>
    </w:tbl>
    <w:p w14:paraId="4F402887" w14:textId="4198B064" w:rsidR="00443ED9" w:rsidRPr="00D9079F" w:rsidRDefault="00852DFB" w:rsidP="005E114B">
      <w:pPr>
        <w:rPr>
          <w:rFonts w:asciiTheme="majorHAnsi" w:hAnsiTheme="majorHAnsi"/>
          <w:sz w:val="16"/>
          <w:szCs w:val="16"/>
        </w:rPr>
      </w:pPr>
      <w:r>
        <w:rPr>
          <w:rFonts w:asciiTheme="majorHAnsi" w:hAnsiTheme="majorHAnsi"/>
          <w:sz w:val="16"/>
          <w:szCs w:val="16"/>
        </w:rPr>
        <w:tab/>
      </w:r>
    </w:p>
    <w:tbl>
      <w:tblPr>
        <w:tblStyle w:val="TableGrid"/>
        <w:tblW w:w="11700" w:type="dxa"/>
        <w:tblInd w:w="-1332" w:type="dxa"/>
        <w:tblLook w:val="04A0" w:firstRow="1" w:lastRow="0" w:firstColumn="1" w:lastColumn="0" w:noHBand="0" w:noVBand="1"/>
      </w:tblPr>
      <w:tblGrid>
        <w:gridCol w:w="11700"/>
      </w:tblGrid>
      <w:tr w:rsidR="00DB5A10" w:rsidRPr="00D9079F" w14:paraId="311194DC" w14:textId="77777777" w:rsidTr="00DB5A10">
        <w:trPr>
          <w:trHeight w:val="197"/>
        </w:trPr>
        <w:tc>
          <w:tcPr>
            <w:tcW w:w="11700" w:type="dxa"/>
            <w:shd w:val="clear" w:color="auto" w:fill="365F91" w:themeFill="accent1" w:themeFillShade="BF"/>
          </w:tcPr>
          <w:p w14:paraId="14342F91" w14:textId="5A8BBA7A" w:rsidR="00DB5A10" w:rsidRPr="00D9079F" w:rsidRDefault="00DB5A10" w:rsidP="00DB5A10">
            <w:pPr>
              <w:tabs>
                <w:tab w:val="left" w:pos="3690"/>
              </w:tabs>
              <w:jc w:val="both"/>
              <w:rPr>
                <w:rFonts w:asciiTheme="majorHAnsi" w:hAnsiTheme="majorHAnsi"/>
                <w:color w:val="FFFFFF" w:themeColor="background1"/>
                <w:sz w:val="16"/>
                <w:szCs w:val="18"/>
              </w:rPr>
            </w:pPr>
            <w:r w:rsidRPr="00D9079F">
              <w:rPr>
                <w:rFonts w:asciiTheme="majorHAnsi" w:hAnsiTheme="majorHAnsi"/>
                <w:b/>
                <w:color w:val="FFFFFF" w:themeColor="background1"/>
                <w:sz w:val="16"/>
                <w:szCs w:val="18"/>
              </w:rPr>
              <w:t xml:space="preserve">Company Background:  </w:t>
            </w:r>
            <w:r w:rsidRPr="00D9079F">
              <w:rPr>
                <w:rFonts w:asciiTheme="majorHAnsi" w:hAnsiTheme="majorHAnsi"/>
                <w:b/>
                <w:color w:val="FFFFFF" w:themeColor="background1"/>
                <w:sz w:val="16"/>
                <w:szCs w:val="18"/>
              </w:rPr>
              <w:tab/>
            </w:r>
          </w:p>
        </w:tc>
      </w:tr>
      <w:tr w:rsidR="00DB5A10" w:rsidRPr="00D9079F" w14:paraId="325C88BE" w14:textId="77777777" w:rsidTr="00DB5A10">
        <w:tc>
          <w:tcPr>
            <w:tcW w:w="11700" w:type="dxa"/>
          </w:tcPr>
          <w:p w14:paraId="6F61D3C3" w14:textId="347D6BCD" w:rsidR="00766C69" w:rsidRDefault="0021182D" w:rsidP="00852DFB">
            <w:pPr>
              <w:rPr>
                <w:rFonts w:asciiTheme="majorHAnsi" w:hAnsiTheme="majorHAnsi" w:cs="Arial"/>
                <w:color w:val="000000"/>
                <w:sz w:val="16"/>
                <w:szCs w:val="18"/>
                <w:shd w:val="clear" w:color="auto" w:fill="FFFFFF"/>
              </w:rPr>
            </w:pPr>
            <w:r w:rsidRPr="0021182D">
              <w:rPr>
                <w:rFonts w:asciiTheme="majorHAnsi" w:hAnsiTheme="majorHAnsi" w:cs="Arial"/>
                <w:color w:val="000000"/>
                <w:sz w:val="16"/>
                <w:szCs w:val="18"/>
                <w:shd w:val="clear" w:color="auto" w:fill="FFFFFF"/>
              </w:rPr>
              <w:t>Microsoft Corp is engaged in designing, manufacturing, selling devices, and online advertising. Its products include operating systems for computing devices, servers, phones and other devices. Hardware products include Nokia mobile phones, the Xbox video game console, and Surface tablet. Revenue sources in fiscal 2015: ~Devices and Consumer, 44.3%; Commercial, 55.4%; Corporate and Other, 0.2%.</w:t>
            </w:r>
            <w:r>
              <w:rPr>
                <w:rFonts w:asciiTheme="majorHAnsi" w:hAnsiTheme="majorHAnsi" w:cs="Arial"/>
                <w:color w:val="000000"/>
                <w:sz w:val="16"/>
                <w:szCs w:val="18"/>
                <w:shd w:val="clear" w:color="auto" w:fill="FFFFFF"/>
              </w:rPr>
              <w:t xml:space="preserve"> </w:t>
            </w:r>
          </w:p>
          <w:p w14:paraId="0A8884D5" w14:textId="337E3264" w:rsidR="00852DFB" w:rsidRPr="00D9079F" w:rsidRDefault="00852DFB" w:rsidP="00852DFB">
            <w:pPr>
              <w:rPr>
                <w:rFonts w:asciiTheme="majorHAnsi" w:hAnsiTheme="majorHAnsi"/>
                <w:sz w:val="16"/>
                <w:szCs w:val="18"/>
              </w:rPr>
            </w:pPr>
          </w:p>
        </w:tc>
      </w:tr>
      <w:tr w:rsidR="00274740" w:rsidRPr="00D9079F" w14:paraId="4EB61633" w14:textId="77777777" w:rsidTr="00274740">
        <w:tc>
          <w:tcPr>
            <w:tcW w:w="11700" w:type="dxa"/>
            <w:shd w:val="clear" w:color="auto" w:fill="365F91" w:themeFill="accent1" w:themeFillShade="BF"/>
          </w:tcPr>
          <w:p w14:paraId="38206B03" w14:textId="7B341966" w:rsidR="00274740" w:rsidRPr="00D9079F" w:rsidRDefault="00274740" w:rsidP="00BB61F8">
            <w:pPr>
              <w:tabs>
                <w:tab w:val="left" w:pos="3225"/>
              </w:tabs>
              <w:rPr>
                <w:rFonts w:asciiTheme="majorHAnsi" w:hAnsiTheme="majorHAnsi"/>
                <w:b/>
                <w:color w:val="FFFFFF" w:themeColor="background1"/>
                <w:sz w:val="16"/>
                <w:szCs w:val="18"/>
              </w:rPr>
            </w:pPr>
            <w:r w:rsidRPr="00D9079F">
              <w:rPr>
                <w:rFonts w:asciiTheme="majorHAnsi" w:hAnsiTheme="majorHAnsi"/>
                <w:b/>
                <w:color w:val="FFFFFF" w:themeColor="background1"/>
                <w:sz w:val="16"/>
                <w:szCs w:val="18"/>
              </w:rPr>
              <w:t xml:space="preserve">Industry </w:t>
            </w:r>
            <w:r w:rsidR="00BB3908" w:rsidRPr="00D9079F">
              <w:rPr>
                <w:rFonts w:asciiTheme="majorHAnsi" w:hAnsiTheme="majorHAnsi"/>
                <w:b/>
                <w:color w:val="FFFFFF" w:themeColor="background1"/>
                <w:sz w:val="16"/>
                <w:szCs w:val="18"/>
              </w:rPr>
              <w:t>Outlook:</w:t>
            </w:r>
            <w:r w:rsidRPr="00D9079F">
              <w:rPr>
                <w:rFonts w:asciiTheme="majorHAnsi" w:hAnsiTheme="majorHAnsi"/>
                <w:b/>
                <w:color w:val="FFFFFF" w:themeColor="background1"/>
                <w:sz w:val="16"/>
                <w:szCs w:val="18"/>
              </w:rPr>
              <w:t xml:space="preserve"> </w:t>
            </w:r>
          </w:p>
        </w:tc>
      </w:tr>
      <w:tr w:rsidR="00274740" w:rsidRPr="001A48A7" w14:paraId="52C52C72" w14:textId="77777777" w:rsidTr="00DB5A10">
        <w:tc>
          <w:tcPr>
            <w:tcW w:w="11700" w:type="dxa"/>
          </w:tcPr>
          <w:p w14:paraId="6E182A3E" w14:textId="263BA384" w:rsidR="00BB0E38" w:rsidRPr="0059647E" w:rsidRDefault="0059647E" w:rsidP="0059647E">
            <w:pPr>
              <w:pStyle w:val="ListParagraph"/>
              <w:numPr>
                <w:ilvl w:val="0"/>
                <w:numId w:val="7"/>
              </w:numPr>
              <w:rPr>
                <w:rFonts w:asciiTheme="majorHAnsi" w:hAnsiTheme="majorHAnsi" w:cs="Arial"/>
                <w:color w:val="000000"/>
                <w:sz w:val="16"/>
                <w:szCs w:val="18"/>
                <w:shd w:val="clear" w:color="auto" w:fill="FFFFFF"/>
              </w:rPr>
            </w:pPr>
            <w:r w:rsidRPr="0059647E">
              <w:rPr>
                <w:rFonts w:asciiTheme="majorHAnsi" w:hAnsiTheme="majorHAnsi" w:cs="Arial"/>
                <w:color w:val="000000"/>
                <w:sz w:val="16"/>
                <w:szCs w:val="18"/>
                <w:shd w:val="clear" w:color="auto" w:fill="FFFFFF"/>
              </w:rPr>
              <w:t>Largest growth market for the industry is the cloud.  This is a race for market share with Amazon, Google and Microsoft leading the field on disseminating their internet of things and cloud products/services.</w:t>
            </w:r>
          </w:p>
          <w:p w14:paraId="18F2262E" w14:textId="77777777" w:rsidR="0059647E" w:rsidRPr="0059647E" w:rsidRDefault="0059647E" w:rsidP="0059647E">
            <w:pPr>
              <w:pStyle w:val="ListParagraph"/>
              <w:numPr>
                <w:ilvl w:val="0"/>
                <w:numId w:val="7"/>
              </w:numPr>
              <w:rPr>
                <w:rFonts w:asciiTheme="majorHAnsi" w:hAnsiTheme="majorHAnsi" w:cs="Arial"/>
                <w:color w:val="000000"/>
                <w:sz w:val="16"/>
                <w:szCs w:val="18"/>
                <w:shd w:val="clear" w:color="auto" w:fill="FFFFFF"/>
              </w:rPr>
            </w:pPr>
            <w:r w:rsidRPr="0059647E">
              <w:rPr>
                <w:rFonts w:asciiTheme="majorHAnsi" w:hAnsiTheme="majorHAnsi" w:cs="Arial"/>
                <w:color w:val="000000"/>
                <w:sz w:val="16"/>
                <w:szCs w:val="18"/>
                <w:shd w:val="clear" w:color="auto" w:fill="FFFFFF"/>
              </w:rPr>
              <w:t>Operating system sales growth is expected to be slow for the year however hardware sales can reasonably see a good uptick in growth as business customers are left with aging machines and tasked to upgrade them</w:t>
            </w:r>
          </w:p>
          <w:p w14:paraId="2219CC73" w14:textId="2F352E3D" w:rsidR="0059647E" w:rsidRPr="0059647E" w:rsidRDefault="0059647E" w:rsidP="0059647E">
            <w:pPr>
              <w:pStyle w:val="ListParagraph"/>
              <w:numPr>
                <w:ilvl w:val="0"/>
                <w:numId w:val="7"/>
              </w:numPr>
              <w:rPr>
                <w:rFonts w:asciiTheme="majorHAnsi" w:hAnsiTheme="majorHAnsi" w:cs="Arial"/>
                <w:color w:val="000000"/>
                <w:sz w:val="16"/>
                <w:szCs w:val="18"/>
                <w:shd w:val="clear" w:color="auto" w:fill="FFFFFF"/>
              </w:rPr>
            </w:pPr>
            <w:r w:rsidRPr="0059647E">
              <w:rPr>
                <w:rFonts w:asciiTheme="majorHAnsi" w:hAnsiTheme="majorHAnsi" w:cs="Arial"/>
                <w:color w:val="000000"/>
                <w:sz w:val="16"/>
                <w:szCs w:val="18"/>
                <w:shd w:val="clear" w:color="auto" w:fill="FFFFFF"/>
              </w:rPr>
              <w:t>Emerging market sales already have lower sales prices, with the continued relative strength of the dollar moving forward international profits will likely suffer</w:t>
            </w:r>
          </w:p>
        </w:tc>
      </w:tr>
      <w:tr w:rsidR="00DB5A10" w:rsidRPr="001A48A7" w14:paraId="6A32B295" w14:textId="77777777" w:rsidTr="00DB5A10">
        <w:tc>
          <w:tcPr>
            <w:tcW w:w="11700" w:type="dxa"/>
            <w:shd w:val="clear" w:color="auto" w:fill="365F91" w:themeFill="accent1" w:themeFillShade="BF"/>
          </w:tcPr>
          <w:p w14:paraId="22F69EB1" w14:textId="5B91B2A3" w:rsidR="00DB5A10" w:rsidRPr="0059647E" w:rsidRDefault="00DB5A10" w:rsidP="00DB5A10">
            <w:pPr>
              <w:tabs>
                <w:tab w:val="left" w:pos="3225"/>
              </w:tabs>
              <w:rPr>
                <w:rFonts w:asciiTheme="majorHAnsi" w:hAnsiTheme="majorHAnsi"/>
                <w:b/>
                <w:color w:val="FFFFFF" w:themeColor="background1"/>
                <w:sz w:val="16"/>
                <w:szCs w:val="18"/>
              </w:rPr>
            </w:pPr>
            <w:r w:rsidRPr="0059647E">
              <w:rPr>
                <w:rFonts w:asciiTheme="majorHAnsi" w:hAnsiTheme="majorHAnsi"/>
                <w:b/>
                <w:color w:val="FFFFFF" w:themeColor="background1"/>
                <w:sz w:val="16"/>
                <w:szCs w:val="18"/>
              </w:rPr>
              <w:t>Investment Thesis:</w:t>
            </w:r>
            <w:r w:rsidRPr="0059647E">
              <w:rPr>
                <w:rFonts w:asciiTheme="majorHAnsi" w:hAnsiTheme="majorHAnsi"/>
                <w:b/>
                <w:color w:val="FFFFFF" w:themeColor="background1"/>
                <w:sz w:val="16"/>
                <w:szCs w:val="18"/>
              </w:rPr>
              <w:tab/>
            </w:r>
          </w:p>
        </w:tc>
      </w:tr>
      <w:tr w:rsidR="00DB5A10" w:rsidRPr="001A48A7" w14:paraId="4F0CBDAD" w14:textId="77777777" w:rsidTr="00DB5A10">
        <w:tc>
          <w:tcPr>
            <w:tcW w:w="11700" w:type="dxa"/>
          </w:tcPr>
          <w:p w14:paraId="39EF4A3D" w14:textId="77777777" w:rsidR="00581B35" w:rsidRPr="00230BFF" w:rsidRDefault="0059647E" w:rsidP="0000557E">
            <w:pPr>
              <w:pStyle w:val="ListParagraph"/>
              <w:numPr>
                <w:ilvl w:val="0"/>
                <w:numId w:val="7"/>
              </w:numPr>
              <w:rPr>
                <w:rFonts w:asciiTheme="majorHAnsi" w:hAnsiTheme="majorHAnsi"/>
                <w:sz w:val="16"/>
                <w:szCs w:val="18"/>
              </w:rPr>
            </w:pPr>
            <w:r w:rsidRPr="00230BFF">
              <w:rPr>
                <w:rFonts w:asciiTheme="majorHAnsi" w:hAnsiTheme="majorHAnsi" w:cs="Arial"/>
                <w:color w:val="000000"/>
                <w:sz w:val="16"/>
                <w:szCs w:val="18"/>
                <w:shd w:val="clear" w:color="auto" w:fill="FFFFFF"/>
              </w:rPr>
              <w:t xml:space="preserve">Cloud computing and the internet of things is </w:t>
            </w:r>
            <w:proofErr w:type="spellStart"/>
            <w:r w:rsidRPr="00230BFF">
              <w:rPr>
                <w:rFonts w:asciiTheme="majorHAnsi" w:hAnsiTheme="majorHAnsi" w:cs="Arial"/>
                <w:color w:val="000000"/>
                <w:sz w:val="16"/>
                <w:szCs w:val="18"/>
                <w:shd w:val="clear" w:color="auto" w:fill="FFFFFF"/>
              </w:rPr>
              <w:t>Msft’s</w:t>
            </w:r>
            <w:proofErr w:type="spellEnd"/>
            <w:r w:rsidRPr="00230BFF">
              <w:rPr>
                <w:rFonts w:asciiTheme="majorHAnsi" w:hAnsiTheme="majorHAnsi" w:cs="Arial"/>
                <w:color w:val="000000"/>
                <w:sz w:val="16"/>
                <w:szCs w:val="18"/>
                <w:shd w:val="clear" w:color="auto" w:fill="FFFFFF"/>
              </w:rPr>
              <w:t xml:space="preserve"> bigg</w:t>
            </w:r>
            <w:r w:rsidR="0000557E" w:rsidRPr="00230BFF">
              <w:rPr>
                <w:rFonts w:asciiTheme="majorHAnsi" w:hAnsiTheme="majorHAnsi" w:cs="Arial"/>
                <w:color w:val="000000"/>
                <w:sz w:val="16"/>
                <w:szCs w:val="18"/>
                <w:shd w:val="clear" w:color="auto" w:fill="FFFFFF"/>
              </w:rPr>
              <w:t xml:space="preserve">est growth factor, this can growth rate will be sustainable for the next few years as MSFT continues to battle for market share and beat out many competitors based on </w:t>
            </w:r>
            <w:proofErr w:type="spellStart"/>
            <w:r w:rsidR="0000557E" w:rsidRPr="00230BFF">
              <w:rPr>
                <w:rFonts w:asciiTheme="majorHAnsi" w:hAnsiTheme="majorHAnsi" w:cs="Arial"/>
                <w:color w:val="000000"/>
                <w:sz w:val="16"/>
                <w:szCs w:val="18"/>
                <w:shd w:val="clear" w:color="auto" w:fill="FFFFFF"/>
              </w:rPr>
              <w:t>they</w:t>
            </w:r>
            <w:proofErr w:type="spellEnd"/>
            <w:r w:rsidR="0000557E" w:rsidRPr="00230BFF">
              <w:rPr>
                <w:rFonts w:asciiTheme="majorHAnsi" w:hAnsiTheme="majorHAnsi" w:cs="Arial"/>
                <w:color w:val="000000"/>
                <w:sz w:val="16"/>
                <w:szCs w:val="18"/>
                <w:shd w:val="clear" w:color="auto" w:fill="FFFFFF"/>
              </w:rPr>
              <w:t xml:space="preserve"> ability to beat on price but more importantly service.  Unlike an Amazon for instance MSFT can offer end to end coverage for firms who will look to bundle as the technology continues to mature and increase in complexity. </w:t>
            </w:r>
          </w:p>
          <w:p w14:paraId="35F9E681" w14:textId="606736D2" w:rsidR="0000557E" w:rsidRPr="00230BFF" w:rsidRDefault="00441BA8" w:rsidP="00230BFF">
            <w:pPr>
              <w:pStyle w:val="ListParagraph"/>
              <w:numPr>
                <w:ilvl w:val="0"/>
                <w:numId w:val="7"/>
              </w:numPr>
              <w:rPr>
                <w:rFonts w:asciiTheme="majorHAnsi" w:hAnsiTheme="majorHAnsi"/>
                <w:sz w:val="16"/>
                <w:szCs w:val="18"/>
              </w:rPr>
            </w:pPr>
            <w:r w:rsidRPr="00230BFF">
              <w:rPr>
                <w:rFonts w:asciiTheme="majorHAnsi" w:hAnsiTheme="majorHAnsi"/>
                <w:sz w:val="16"/>
                <w:szCs w:val="18"/>
              </w:rPr>
              <w:t xml:space="preserve">That being said the outlook for </w:t>
            </w:r>
            <w:proofErr w:type="spellStart"/>
            <w:r w:rsidRPr="00230BFF">
              <w:rPr>
                <w:rFonts w:asciiTheme="majorHAnsi" w:hAnsiTheme="majorHAnsi"/>
                <w:sz w:val="16"/>
                <w:szCs w:val="18"/>
              </w:rPr>
              <w:t>Msft’s</w:t>
            </w:r>
            <w:proofErr w:type="spellEnd"/>
            <w:r w:rsidRPr="00230BFF">
              <w:rPr>
                <w:rFonts w:asciiTheme="majorHAnsi" w:hAnsiTheme="majorHAnsi"/>
                <w:sz w:val="16"/>
                <w:szCs w:val="18"/>
              </w:rPr>
              <w:t xml:space="preserve"> cloud business is largely factored in to its price today, the real opportunity here are the contributions to top line growth from </w:t>
            </w:r>
            <w:proofErr w:type="spellStart"/>
            <w:r w:rsidRPr="00230BFF">
              <w:rPr>
                <w:rFonts w:asciiTheme="majorHAnsi" w:hAnsiTheme="majorHAnsi"/>
                <w:sz w:val="16"/>
                <w:szCs w:val="18"/>
              </w:rPr>
              <w:t>msft’s</w:t>
            </w:r>
            <w:proofErr w:type="spellEnd"/>
            <w:r w:rsidRPr="00230BFF">
              <w:rPr>
                <w:rFonts w:asciiTheme="majorHAnsi" w:hAnsiTheme="majorHAnsi"/>
                <w:sz w:val="16"/>
                <w:szCs w:val="18"/>
              </w:rPr>
              <w:t xml:space="preserve"> surface product line and new </w:t>
            </w:r>
            <w:proofErr w:type="gramStart"/>
            <w:r w:rsidRPr="00230BFF">
              <w:rPr>
                <w:rFonts w:asciiTheme="majorHAnsi" w:hAnsiTheme="majorHAnsi"/>
                <w:sz w:val="16"/>
                <w:szCs w:val="18"/>
              </w:rPr>
              <w:t>commitment  to</w:t>
            </w:r>
            <w:proofErr w:type="gramEnd"/>
            <w:r w:rsidRPr="00230BFF">
              <w:rPr>
                <w:rFonts w:asciiTheme="majorHAnsi" w:hAnsiTheme="majorHAnsi"/>
                <w:sz w:val="16"/>
                <w:szCs w:val="18"/>
              </w:rPr>
              <w:t xml:space="preserve"> keeping up with consumer tastes and preferences.  MSFT suffered for their reluctance to enter the mobile market only just now struggling to find a foothold.  Their Surface product line, augmented reality entry (</w:t>
            </w:r>
            <w:proofErr w:type="spellStart"/>
            <w:r w:rsidRPr="00230BFF">
              <w:rPr>
                <w:rFonts w:asciiTheme="majorHAnsi" w:hAnsiTheme="majorHAnsi"/>
                <w:sz w:val="16"/>
                <w:szCs w:val="18"/>
              </w:rPr>
              <w:t>hololens</w:t>
            </w:r>
            <w:proofErr w:type="spellEnd"/>
            <w:r w:rsidRPr="00230BFF">
              <w:rPr>
                <w:rFonts w:asciiTheme="majorHAnsi" w:hAnsiTheme="majorHAnsi"/>
                <w:sz w:val="16"/>
                <w:szCs w:val="18"/>
              </w:rPr>
              <w:t>) and recent</w:t>
            </w:r>
            <w:r w:rsidR="00230BFF" w:rsidRPr="00230BFF">
              <w:rPr>
                <w:rFonts w:asciiTheme="majorHAnsi" w:hAnsiTheme="majorHAnsi"/>
                <w:sz w:val="16"/>
                <w:szCs w:val="18"/>
              </w:rPr>
              <w:t xml:space="preserve"> purchase of </w:t>
            </w:r>
            <w:proofErr w:type="spellStart"/>
            <w:r w:rsidR="00230BFF" w:rsidRPr="00230BFF">
              <w:rPr>
                <w:rFonts w:asciiTheme="majorHAnsi" w:hAnsiTheme="majorHAnsi"/>
                <w:sz w:val="16"/>
                <w:szCs w:val="18"/>
              </w:rPr>
              <w:t>Swiftkey</w:t>
            </w:r>
            <w:proofErr w:type="spellEnd"/>
            <w:r w:rsidR="00230BFF" w:rsidRPr="00230BFF">
              <w:rPr>
                <w:rFonts w:asciiTheme="majorHAnsi" w:hAnsiTheme="majorHAnsi"/>
                <w:sz w:val="16"/>
                <w:szCs w:val="18"/>
              </w:rPr>
              <w:t xml:space="preserve"> may indicate this new focus.  </w:t>
            </w:r>
            <w:r w:rsidRPr="00230BFF">
              <w:rPr>
                <w:rFonts w:asciiTheme="majorHAnsi" w:hAnsiTheme="majorHAnsi"/>
                <w:sz w:val="16"/>
                <w:szCs w:val="18"/>
              </w:rPr>
              <w:t xml:space="preserve"> </w:t>
            </w:r>
          </w:p>
        </w:tc>
      </w:tr>
      <w:tr w:rsidR="00DB5A10" w:rsidRPr="001A48A7" w14:paraId="3604FAC8" w14:textId="77777777" w:rsidTr="00DB5A10">
        <w:tc>
          <w:tcPr>
            <w:tcW w:w="11700" w:type="dxa"/>
            <w:shd w:val="clear" w:color="auto" w:fill="365F91" w:themeFill="accent1" w:themeFillShade="BF"/>
          </w:tcPr>
          <w:p w14:paraId="36D57562" w14:textId="69893D12" w:rsidR="00DB5A10" w:rsidRPr="0059647E" w:rsidRDefault="00DB5A10" w:rsidP="00DB5A10">
            <w:pPr>
              <w:tabs>
                <w:tab w:val="left" w:pos="2235"/>
              </w:tabs>
              <w:rPr>
                <w:rFonts w:asciiTheme="majorHAnsi" w:hAnsiTheme="majorHAnsi"/>
                <w:sz w:val="16"/>
                <w:szCs w:val="18"/>
              </w:rPr>
            </w:pPr>
            <w:r w:rsidRPr="0059647E">
              <w:rPr>
                <w:rFonts w:asciiTheme="majorHAnsi" w:hAnsiTheme="majorHAnsi"/>
                <w:b/>
                <w:color w:val="FFFFFF" w:themeColor="background1"/>
                <w:sz w:val="16"/>
                <w:szCs w:val="18"/>
              </w:rPr>
              <w:t>Investment Risks:</w:t>
            </w:r>
            <w:r w:rsidRPr="0059647E">
              <w:rPr>
                <w:rFonts w:asciiTheme="majorHAnsi" w:hAnsiTheme="majorHAnsi"/>
                <w:b/>
                <w:color w:val="FFFFFF" w:themeColor="background1"/>
                <w:sz w:val="16"/>
                <w:szCs w:val="18"/>
              </w:rPr>
              <w:tab/>
            </w:r>
          </w:p>
        </w:tc>
      </w:tr>
      <w:tr w:rsidR="00DB5A10" w:rsidRPr="001A48A7" w14:paraId="7051B972" w14:textId="77777777" w:rsidTr="00DB5A10">
        <w:tc>
          <w:tcPr>
            <w:tcW w:w="11700" w:type="dxa"/>
          </w:tcPr>
          <w:p w14:paraId="01D4BB64" w14:textId="14698995" w:rsidR="00FD34FE" w:rsidRPr="00FD34FE" w:rsidRDefault="00FD34FE" w:rsidP="00FD34FE">
            <w:pPr>
              <w:pStyle w:val="ListParagraph"/>
              <w:numPr>
                <w:ilvl w:val="0"/>
                <w:numId w:val="7"/>
              </w:numPr>
              <w:rPr>
                <w:rFonts w:asciiTheme="majorHAnsi" w:hAnsiTheme="majorHAnsi"/>
                <w:sz w:val="16"/>
                <w:szCs w:val="18"/>
              </w:rPr>
            </w:pPr>
            <w:r w:rsidRPr="00FD34FE">
              <w:rPr>
                <w:rFonts w:asciiTheme="majorHAnsi" w:hAnsiTheme="majorHAnsi" w:cs="Arial"/>
                <w:color w:val="000000"/>
                <w:sz w:val="16"/>
                <w:szCs w:val="18"/>
                <w:shd w:val="clear" w:color="auto" w:fill="FFFFFF"/>
              </w:rPr>
              <w:t>Windows OS sales outpacing expectations for sales decline</w:t>
            </w:r>
          </w:p>
          <w:p w14:paraId="24A5347A" w14:textId="77777777" w:rsidR="00FD34FE" w:rsidRPr="00FD34FE" w:rsidRDefault="00FD34FE" w:rsidP="00FD34FE">
            <w:pPr>
              <w:pStyle w:val="ListParagraph"/>
              <w:numPr>
                <w:ilvl w:val="0"/>
                <w:numId w:val="7"/>
              </w:numPr>
              <w:rPr>
                <w:rFonts w:asciiTheme="majorHAnsi" w:hAnsiTheme="majorHAnsi"/>
                <w:sz w:val="16"/>
                <w:szCs w:val="18"/>
              </w:rPr>
            </w:pPr>
            <w:r w:rsidRPr="00FD34FE">
              <w:rPr>
                <w:rFonts w:asciiTheme="majorHAnsi" w:hAnsiTheme="majorHAnsi" w:cs="Arial"/>
                <w:color w:val="000000"/>
                <w:sz w:val="16"/>
                <w:szCs w:val="18"/>
                <w:shd w:val="clear" w:color="auto" w:fill="FFFFFF"/>
              </w:rPr>
              <w:t>A movement from the windows OS universe will decrease their network effects</w:t>
            </w:r>
          </w:p>
          <w:p w14:paraId="78159DC0" w14:textId="7FC2DE4F" w:rsidR="004F5B56" w:rsidRPr="00FD34FE" w:rsidRDefault="00FD34FE" w:rsidP="00FD34FE">
            <w:pPr>
              <w:pStyle w:val="ListParagraph"/>
              <w:numPr>
                <w:ilvl w:val="0"/>
                <w:numId w:val="7"/>
              </w:numPr>
              <w:rPr>
                <w:rFonts w:asciiTheme="majorHAnsi" w:hAnsiTheme="majorHAnsi"/>
                <w:sz w:val="16"/>
                <w:szCs w:val="18"/>
              </w:rPr>
            </w:pPr>
            <w:r w:rsidRPr="00FD34FE">
              <w:rPr>
                <w:rFonts w:asciiTheme="majorHAnsi" w:hAnsiTheme="majorHAnsi" w:cs="Arial"/>
                <w:color w:val="000000"/>
                <w:sz w:val="16"/>
                <w:szCs w:val="18"/>
                <w:shd w:val="clear" w:color="auto" w:fill="FFFFFF"/>
              </w:rPr>
              <w:t>Mobile efforts draining resources without payoff</w:t>
            </w:r>
            <w:r w:rsidR="004F5B56" w:rsidRPr="00FD34FE">
              <w:rPr>
                <w:rFonts w:ascii="Verdana" w:hAnsi="Verdana"/>
                <w:sz w:val="20"/>
                <w:szCs w:val="20"/>
              </w:rPr>
              <w:t xml:space="preserve"> </w:t>
            </w:r>
          </w:p>
        </w:tc>
      </w:tr>
      <w:tr w:rsidR="00DB5A10" w:rsidRPr="001A48A7" w14:paraId="76F577E7" w14:textId="77777777" w:rsidTr="00DB5A10">
        <w:tc>
          <w:tcPr>
            <w:tcW w:w="11700" w:type="dxa"/>
            <w:shd w:val="clear" w:color="auto" w:fill="365F91" w:themeFill="accent1" w:themeFillShade="BF"/>
          </w:tcPr>
          <w:p w14:paraId="0A443D6F" w14:textId="7FD4B61B" w:rsidR="00DB5A10" w:rsidRPr="0059647E" w:rsidRDefault="00DB5A10" w:rsidP="00DB5A10">
            <w:pPr>
              <w:ind w:left="72"/>
              <w:jc w:val="both"/>
              <w:rPr>
                <w:rFonts w:asciiTheme="majorHAnsi" w:hAnsiTheme="majorHAnsi"/>
                <w:color w:val="FFFFFF" w:themeColor="background1"/>
                <w:sz w:val="16"/>
                <w:szCs w:val="18"/>
              </w:rPr>
            </w:pPr>
            <w:r w:rsidRPr="0059647E">
              <w:rPr>
                <w:rFonts w:asciiTheme="majorHAnsi" w:hAnsiTheme="majorHAnsi"/>
                <w:b/>
                <w:color w:val="FFFFFF" w:themeColor="background1"/>
                <w:sz w:val="16"/>
                <w:szCs w:val="18"/>
              </w:rPr>
              <w:t xml:space="preserve">3-5 take </w:t>
            </w:r>
            <w:r w:rsidR="00274740" w:rsidRPr="0059647E">
              <w:rPr>
                <w:rFonts w:asciiTheme="majorHAnsi" w:hAnsiTheme="majorHAnsi"/>
                <w:b/>
                <w:color w:val="FFFFFF" w:themeColor="background1"/>
                <w:sz w:val="16"/>
                <w:szCs w:val="18"/>
              </w:rPr>
              <w:t>away</w:t>
            </w:r>
            <w:r w:rsidRPr="0059647E">
              <w:rPr>
                <w:rFonts w:asciiTheme="majorHAnsi" w:hAnsiTheme="majorHAnsi"/>
                <w:b/>
                <w:color w:val="FFFFFF" w:themeColor="background1"/>
                <w:sz w:val="16"/>
                <w:szCs w:val="18"/>
              </w:rPr>
              <w:t xml:space="preserve"> from last quarter investor call transcript: </w:t>
            </w:r>
            <w:r w:rsidR="00581B35" w:rsidRPr="0059647E">
              <w:rPr>
                <w:rFonts w:asciiTheme="majorHAnsi" w:hAnsiTheme="majorHAnsi"/>
                <w:b/>
                <w:color w:val="FFFFFF" w:themeColor="background1"/>
                <w:sz w:val="16"/>
                <w:szCs w:val="18"/>
              </w:rPr>
              <w:t>Q3 2015</w:t>
            </w:r>
          </w:p>
        </w:tc>
      </w:tr>
      <w:tr w:rsidR="00DB5A10" w:rsidRPr="00D9079F" w14:paraId="75D76709" w14:textId="77777777" w:rsidTr="00DB5A10">
        <w:trPr>
          <w:trHeight w:val="70"/>
        </w:trPr>
        <w:tc>
          <w:tcPr>
            <w:tcW w:w="11700" w:type="dxa"/>
          </w:tcPr>
          <w:p w14:paraId="645DDC28" w14:textId="536D3E23" w:rsidR="00E20C55" w:rsidRPr="00D672EC" w:rsidRDefault="00D672EC" w:rsidP="004F5B56">
            <w:pPr>
              <w:pStyle w:val="ListParagraph"/>
              <w:numPr>
                <w:ilvl w:val="0"/>
                <w:numId w:val="7"/>
              </w:numPr>
              <w:rPr>
                <w:rFonts w:asciiTheme="majorHAnsi" w:hAnsiTheme="majorHAnsi" w:cs="Arial"/>
                <w:color w:val="000000"/>
                <w:sz w:val="16"/>
                <w:szCs w:val="18"/>
                <w:shd w:val="clear" w:color="auto" w:fill="FFFFFF"/>
              </w:rPr>
            </w:pPr>
            <w:r w:rsidRPr="00D672EC">
              <w:rPr>
                <w:rFonts w:asciiTheme="majorHAnsi" w:hAnsiTheme="majorHAnsi" w:cs="Arial"/>
                <w:color w:val="000000"/>
                <w:sz w:val="16"/>
                <w:szCs w:val="18"/>
                <w:shd w:val="clear" w:color="auto" w:fill="FFFFFF"/>
              </w:rPr>
              <w:t>Currency issues are a problem for everyone in the industry</w:t>
            </w:r>
          </w:p>
          <w:p w14:paraId="4205DC0B" w14:textId="74178B2E" w:rsidR="00925975" w:rsidRPr="00D672EC" w:rsidRDefault="00D672EC" w:rsidP="00D672EC">
            <w:pPr>
              <w:pStyle w:val="ListParagraph"/>
              <w:numPr>
                <w:ilvl w:val="0"/>
                <w:numId w:val="7"/>
              </w:numPr>
              <w:rPr>
                <w:rFonts w:asciiTheme="majorHAnsi" w:hAnsiTheme="majorHAnsi" w:cs="Arial"/>
                <w:color w:val="000000"/>
                <w:sz w:val="16"/>
                <w:szCs w:val="18"/>
                <w:shd w:val="clear" w:color="auto" w:fill="FFFFFF"/>
              </w:rPr>
            </w:pPr>
            <w:r w:rsidRPr="00D672EC">
              <w:rPr>
                <w:rFonts w:asciiTheme="majorHAnsi" w:hAnsiTheme="majorHAnsi" w:cs="Arial"/>
                <w:color w:val="000000"/>
                <w:sz w:val="16"/>
                <w:szCs w:val="18"/>
                <w:shd w:val="clear" w:color="auto" w:fill="FFFFFF"/>
              </w:rPr>
              <w:t xml:space="preserve">Surface sales grew 24% year over year, finally positioning itself as a solid option opposite the </w:t>
            </w:r>
            <w:proofErr w:type="spellStart"/>
            <w:r w:rsidRPr="00D672EC">
              <w:rPr>
                <w:rFonts w:asciiTheme="majorHAnsi" w:hAnsiTheme="majorHAnsi" w:cs="Arial"/>
                <w:color w:val="000000"/>
                <w:sz w:val="16"/>
                <w:szCs w:val="18"/>
                <w:shd w:val="clear" w:color="auto" w:fill="FFFFFF"/>
              </w:rPr>
              <w:t>ipad</w:t>
            </w:r>
            <w:proofErr w:type="spellEnd"/>
          </w:p>
        </w:tc>
      </w:tr>
    </w:tbl>
    <w:p w14:paraId="5873EF7F" w14:textId="2051E1B5" w:rsidR="00B7642F" w:rsidRPr="00D9079F" w:rsidRDefault="00B7642F" w:rsidP="005E114B">
      <w:pPr>
        <w:rPr>
          <w:rFonts w:asciiTheme="majorHAnsi" w:hAnsiTheme="majorHAnsi"/>
          <w:sz w:val="16"/>
          <w:szCs w:val="16"/>
        </w:rPr>
      </w:pPr>
    </w:p>
    <w:tbl>
      <w:tblPr>
        <w:tblStyle w:val="TableGrid"/>
        <w:tblW w:w="11808" w:type="dxa"/>
        <w:tblInd w:w="-1440" w:type="dxa"/>
        <w:tblLook w:val="04A0" w:firstRow="1" w:lastRow="0" w:firstColumn="1" w:lastColumn="0" w:noHBand="0" w:noVBand="1"/>
      </w:tblPr>
      <w:tblGrid>
        <w:gridCol w:w="7218"/>
        <w:gridCol w:w="4590"/>
      </w:tblGrid>
      <w:tr w:rsidR="00830F06" w:rsidRPr="00D9079F" w14:paraId="730DB2FF" w14:textId="77777777" w:rsidTr="00FC0F5A">
        <w:tc>
          <w:tcPr>
            <w:tcW w:w="7218" w:type="dxa"/>
            <w:shd w:val="clear" w:color="auto" w:fill="365F91" w:themeFill="accent1" w:themeFillShade="BF"/>
          </w:tcPr>
          <w:p w14:paraId="7CF6246B" w14:textId="38A66325" w:rsidR="00830F06" w:rsidRPr="00D9079F" w:rsidRDefault="00830F06" w:rsidP="00443ED9">
            <w:pPr>
              <w:jc w:val="both"/>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Financial Performance:</w:t>
            </w:r>
          </w:p>
        </w:tc>
        <w:tc>
          <w:tcPr>
            <w:tcW w:w="4590" w:type="dxa"/>
            <w:shd w:val="clear" w:color="auto" w:fill="365F91" w:themeFill="accent1" w:themeFillShade="BF"/>
          </w:tcPr>
          <w:p w14:paraId="09E00ADF" w14:textId="62365A7B" w:rsidR="00830F06" w:rsidRPr="00D9079F" w:rsidRDefault="00830F06" w:rsidP="00443ED9">
            <w:pPr>
              <w:jc w:val="both"/>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 xml:space="preserve">Discounted Cash Flow </w:t>
            </w:r>
          </w:p>
        </w:tc>
      </w:tr>
      <w:tr w:rsidR="00830F06" w:rsidRPr="00D9079F" w14:paraId="0538015D" w14:textId="77777777" w:rsidTr="00FC0F5A">
        <w:tc>
          <w:tcPr>
            <w:tcW w:w="7218" w:type="dxa"/>
          </w:tcPr>
          <w:p w14:paraId="0E62487F" w14:textId="24EB6769" w:rsidR="00284A3E" w:rsidRDefault="00050679" w:rsidP="00443ED9">
            <w:pPr>
              <w:jc w:val="both"/>
              <w:rPr>
                <w:noProof/>
              </w:rPr>
            </w:pPr>
            <w:r>
              <w:rPr>
                <w:noProof/>
              </w:rPr>
              <w:drawing>
                <wp:anchor distT="0" distB="0" distL="114300" distR="114300" simplePos="0" relativeHeight="251658240" behindDoc="1" locked="0" layoutInCell="1" allowOverlap="1" wp14:anchorId="0F01F9BE" wp14:editId="35236F07">
                  <wp:simplePos x="0" y="0"/>
                  <wp:positionH relativeFrom="column">
                    <wp:posOffset>49530</wp:posOffset>
                  </wp:positionH>
                  <wp:positionV relativeFrom="paragraph">
                    <wp:posOffset>104775</wp:posOffset>
                  </wp:positionV>
                  <wp:extent cx="4401736" cy="2038350"/>
                  <wp:effectExtent l="0" t="0" r="0" b="0"/>
                  <wp:wrapTight wrapText="bothSides">
                    <wp:wrapPolygon edited="0">
                      <wp:start x="0" y="0"/>
                      <wp:lineTo x="0" y="21398"/>
                      <wp:lineTo x="21503" y="21398"/>
                      <wp:lineTo x="215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401736" cy="2038350"/>
                          </a:xfrm>
                          <a:prstGeom prst="rect">
                            <a:avLst/>
                          </a:prstGeom>
                        </pic:spPr>
                      </pic:pic>
                    </a:graphicData>
                  </a:graphic>
                </wp:anchor>
              </w:drawing>
            </w:r>
          </w:p>
          <w:p w14:paraId="6973B10F" w14:textId="1F90709C" w:rsidR="00830F06" w:rsidRPr="00D9079F" w:rsidRDefault="00830F06" w:rsidP="00443ED9">
            <w:pPr>
              <w:jc w:val="both"/>
              <w:rPr>
                <w:rFonts w:asciiTheme="majorHAnsi" w:hAnsiTheme="majorHAnsi"/>
                <w:b/>
                <w:sz w:val="16"/>
                <w:szCs w:val="16"/>
              </w:rPr>
            </w:pPr>
          </w:p>
          <w:p w14:paraId="6F98E45C" w14:textId="3E837B4D" w:rsidR="00830F06" w:rsidRPr="00D9079F" w:rsidRDefault="00830F06" w:rsidP="00443ED9">
            <w:pPr>
              <w:jc w:val="both"/>
              <w:rPr>
                <w:rFonts w:asciiTheme="majorHAnsi" w:hAnsiTheme="majorHAnsi"/>
                <w:b/>
                <w:sz w:val="16"/>
                <w:szCs w:val="16"/>
              </w:rPr>
            </w:pPr>
          </w:p>
        </w:tc>
        <w:tc>
          <w:tcPr>
            <w:tcW w:w="4590" w:type="dxa"/>
          </w:tcPr>
          <w:p w14:paraId="3276E349" w14:textId="77777777" w:rsidR="00830F06" w:rsidRPr="00D9079F" w:rsidRDefault="00830F06" w:rsidP="00443ED9">
            <w:pPr>
              <w:jc w:val="both"/>
              <w:rPr>
                <w:rFonts w:asciiTheme="majorHAnsi" w:hAnsiTheme="majorHAnsi"/>
                <w:b/>
                <w:sz w:val="16"/>
                <w:szCs w:val="16"/>
              </w:rPr>
            </w:pPr>
          </w:p>
          <w:tbl>
            <w:tblPr>
              <w:tblStyle w:val="TableGrid"/>
              <w:tblW w:w="0" w:type="auto"/>
              <w:tblLook w:val="04A0" w:firstRow="1" w:lastRow="0" w:firstColumn="1" w:lastColumn="0" w:noHBand="0" w:noVBand="1"/>
            </w:tblPr>
            <w:tblGrid>
              <w:gridCol w:w="1897"/>
              <w:gridCol w:w="1123"/>
              <w:gridCol w:w="1074"/>
            </w:tblGrid>
            <w:tr w:rsidR="0060598F" w:rsidRPr="00D9079F" w14:paraId="4C54BF94" w14:textId="77777777" w:rsidTr="00FC0F5A">
              <w:tc>
                <w:tcPr>
                  <w:tcW w:w="1897" w:type="dxa"/>
                  <w:shd w:val="clear" w:color="auto" w:fill="DBE5F1" w:themeFill="accent1" w:themeFillTint="33"/>
                </w:tcPr>
                <w:p w14:paraId="15FA463B" w14:textId="77777777" w:rsidR="00830F06" w:rsidRPr="00D9079F" w:rsidRDefault="00830F06" w:rsidP="00830F06">
                  <w:pPr>
                    <w:rPr>
                      <w:rFonts w:asciiTheme="majorHAnsi" w:hAnsiTheme="majorHAnsi"/>
                      <w:sz w:val="16"/>
                      <w:szCs w:val="16"/>
                    </w:rPr>
                  </w:pPr>
                </w:p>
              </w:tc>
              <w:tc>
                <w:tcPr>
                  <w:tcW w:w="1123" w:type="dxa"/>
                  <w:shd w:val="clear" w:color="auto" w:fill="DBE5F1" w:themeFill="accent1" w:themeFillTint="33"/>
                </w:tcPr>
                <w:p w14:paraId="3D650FB0" w14:textId="4826DF0D" w:rsidR="00830F06" w:rsidRPr="00D9079F" w:rsidRDefault="00830F06" w:rsidP="00E42CC2">
                  <w:pPr>
                    <w:rPr>
                      <w:rFonts w:asciiTheme="majorHAnsi" w:hAnsiTheme="majorHAnsi"/>
                      <w:sz w:val="16"/>
                      <w:szCs w:val="16"/>
                    </w:rPr>
                  </w:pPr>
                  <w:r w:rsidRPr="00D9079F">
                    <w:rPr>
                      <w:rFonts w:asciiTheme="majorHAnsi" w:hAnsiTheme="majorHAnsi"/>
                      <w:sz w:val="16"/>
                      <w:szCs w:val="16"/>
                    </w:rPr>
                    <w:t>201</w:t>
                  </w:r>
                  <w:r w:rsidR="00E42CC2" w:rsidRPr="00D9079F">
                    <w:rPr>
                      <w:rFonts w:asciiTheme="majorHAnsi" w:hAnsiTheme="majorHAnsi"/>
                      <w:sz w:val="16"/>
                      <w:szCs w:val="16"/>
                    </w:rPr>
                    <w:t>0</w:t>
                  </w:r>
                  <w:r w:rsidR="001A1781" w:rsidRPr="00D9079F">
                    <w:rPr>
                      <w:rFonts w:asciiTheme="majorHAnsi" w:hAnsiTheme="majorHAnsi"/>
                      <w:sz w:val="16"/>
                      <w:szCs w:val="16"/>
                    </w:rPr>
                    <w:t>-15</w:t>
                  </w:r>
                </w:p>
              </w:tc>
              <w:tc>
                <w:tcPr>
                  <w:tcW w:w="1074" w:type="dxa"/>
                  <w:shd w:val="clear" w:color="auto" w:fill="DBE5F1" w:themeFill="accent1" w:themeFillTint="33"/>
                </w:tcPr>
                <w:p w14:paraId="6917AD00" w14:textId="06AD074B" w:rsidR="00830F06" w:rsidRPr="00D9079F" w:rsidRDefault="001A1781" w:rsidP="00830F06">
                  <w:pPr>
                    <w:rPr>
                      <w:rFonts w:asciiTheme="majorHAnsi" w:hAnsiTheme="majorHAnsi"/>
                      <w:sz w:val="16"/>
                      <w:szCs w:val="16"/>
                    </w:rPr>
                  </w:pPr>
                  <w:r w:rsidRPr="00D9079F">
                    <w:rPr>
                      <w:rFonts w:asciiTheme="majorHAnsi" w:hAnsiTheme="majorHAnsi"/>
                      <w:sz w:val="16"/>
                      <w:szCs w:val="16"/>
                    </w:rPr>
                    <w:t>2016-20</w:t>
                  </w:r>
                </w:p>
              </w:tc>
            </w:tr>
            <w:tr w:rsidR="0060598F" w:rsidRPr="00D9079F" w14:paraId="5A9DD5F4" w14:textId="77777777" w:rsidTr="00FC0F5A">
              <w:tc>
                <w:tcPr>
                  <w:tcW w:w="1897" w:type="dxa"/>
                </w:tcPr>
                <w:p w14:paraId="6A465DCA" w14:textId="77777777" w:rsidR="00830F06" w:rsidRPr="00D9079F" w:rsidRDefault="00830F06" w:rsidP="00830F06">
                  <w:pPr>
                    <w:rPr>
                      <w:rFonts w:asciiTheme="majorHAnsi" w:hAnsiTheme="majorHAnsi"/>
                      <w:sz w:val="16"/>
                      <w:szCs w:val="16"/>
                    </w:rPr>
                  </w:pPr>
                  <w:proofErr w:type="spellStart"/>
                  <w:r w:rsidRPr="00D9079F">
                    <w:rPr>
                      <w:rFonts w:asciiTheme="majorHAnsi" w:hAnsiTheme="majorHAnsi"/>
                      <w:sz w:val="16"/>
                      <w:szCs w:val="16"/>
                    </w:rPr>
                    <w:t>Avg</w:t>
                  </w:r>
                  <w:proofErr w:type="spellEnd"/>
                  <w:r w:rsidRPr="00D9079F">
                    <w:rPr>
                      <w:rFonts w:asciiTheme="majorHAnsi" w:hAnsiTheme="majorHAnsi"/>
                      <w:sz w:val="16"/>
                      <w:szCs w:val="16"/>
                    </w:rPr>
                    <w:t xml:space="preserve">  Revenue growth </w:t>
                  </w:r>
                </w:p>
              </w:tc>
              <w:tc>
                <w:tcPr>
                  <w:tcW w:w="1123" w:type="dxa"/>
                </w:tcPr>
                <w:p w14:paraId="28890419" w14:textId="1DD33D23" w:rsidR="00830F06" w:rsidRPr="00D9079F" w:rsidRDefault="009B5E2E" w:rsidP="00830F06">
                  <w:pPr>
                    <w:rPr>
                      <w:rFonts w:asciiTheme="majorHAnsi" w:hAnsiTheme="majorHAnsi"/>
                      <w:sz w:val="16"/>
                      <w:szCs w:val="16"/>
                    </w:rPr>
                  </w:pPr>
                  <w:r>
                    <w:rPr>
                      <w:rFonts w:asciiTheme="majorHAnsi" w:hAnsiTheme="majorHAnsi"/>
                      <w:sz w:val="16"/>
                      <w:szCs w:val="16"/>
                    </w:rPr>
                    <w:t>8.4</w:t>
                  </w:r>
                  <w:r w:rsidR="007C5299">
                    <w:rPr>
                      <w:rFonts w:asciiTheme="majorHAnsi" w:hAnsiTheme="majorHAnsi"/>
                      <w:sz w:val="16"/>
                      <w:szCs w:val="16"/>
                    </w:rPr>
                    <w:t>%</w:t>
                  </w:r>
                </w:p>
              </w:tc>
              <w:tc>
                <w:tcPr>
                  <w:tcW w:w="1074" w:type="dxa"/>
                </w:tcPr>
                <w:p w14:paraId="2B6EF445" w14:textId="7D96CAE4" w:rsidR="00830F06" w:rsidRPr="00D9079F" w:rsidRDefault="009B5E2E" w:rsidP="00830F06">
                  <w:pPr>
                    <w:rPr>
                      <w:rFonts w:asciiTheme="majorHAnsi" w:hAnsiTheme="majorHAnsi"/>
                      <w:sz w:val="16"/>
                      <w:szCs w:val="16"/>
                    </w:rPr>
                  </w:pPr>
                  <w:r>
                    <w:rPr>
                      <w:rFonts w:asciiTheme="majorHAnsi" w:hAnsiTheme="majorHAnsi"/>
                      <w:sz w:val="16"/>
                      <w:szCs w:val="16"/>
                    </w:rPr>
                    <w:t>4.2</w:t>
                  </w:r>
                  <w:r w:rsidR="007C5299">
                    <w:rPr>
                      <w:rFonts w:asciiTheme="majorHAnsi" w:hAnsiTheme="majorHAnsi"/>
                      <w:sz w:val="16"/>
                      <w:szCs w:val="16"/>
                    </w:rPr>
                    <w:t>%</w:t>
                  </w:r>
                </w:p>
              </w:tc>
            </w:tr>
            <w:tr w:rsidR="0060598F" w:rsidRPr="00D9079F" w14:paraId="49A71F37" w14:textId="77777777" w:rsidTr="00FC0F5A">
              <w:tc>
                <w:tcPr>
                  <w:tcW w:w="1897" w:type="dxa"/>
                </w:tcPr>
                <w:p w14:paraId="7425D824" w14:textId="77777777" w:rsidR="00830F06" w:rsidRPr="00D9079F" w:rsidRDefault="00830F06" w:rsidP="00830F06">
                  <w:pPr>
                    <w:rPr>
                      <w:rFonts w:asciiTheme="majorHAnsi" w:hAnsiTheme="majorHAnsi"/>
                      <w:sz w:val="16"/>
                      <w:szCs w:val="16"/>
                    </w:rPr>
                  </w:pPr>
                  <w:proofErr w:type="spellStart"/>
                  <w:r w:rsidRPr="00D9079F">
                    <w:rPr>
                      <w:rFonts w:asciiTheme="majorHAnsi" w:hAnsiTheme="majorHAnsi"/>
                      <w:sz w:val="16"/>
                      <w:szCs w:val="16"/>
                    </w:rPr>
                    <w:t>Avg</w:t>
                  </w:r>
                  <w:proofErr w:type="spellEnd"/>
                  <w:r w:rsidRPr="00D9079F">
                    <w:rPr>
                      <w:rFonts w:asciiTheme="majorHAnsi" w:hAnsiTheme="majorHAnsi"/>
                      <w:sz w:val="16"/>
                      <w:szCs w:val="16"/>
                    </w:rPr>
                    <w:t xml:space="preserve">  EBITDA Margin </w:t>
                  </w:r>
                </w:p>
              </w:tc>
              <w:tc>
                <w:tcPr>
                  <w:tcW w:w="1123" w:type="dxa"/>
                </w:tcPr>
                <w:p w14:paraId="6AE1C97F" w14:textId="54664E30" w:rsidR="00830F06" w:rsidRPr="00D9079F" w:rsidRDefault="009B5E2E" w:rsidP="00FD0265">
                  <w:pPr>
                    <w:rPr>
                      <w:rFonts w:asciiTheme="majorHAnsi" w:hAnsiTheme="majorHAnsi"/>
                      <w:sz w:val="16"/>
                      <w:szCs w:val="16"/>
                    </w:rPr>
                  </w:pPr>
                  <w:r>
                    <w:rPr>
                      <w:rFonts w:asciiTheme="majorHAnsi" w:hAnsiTheme="majorHAnsi"/>
                      <w:sz w:val="16"/>
                      <w:szCs w:val="16"/>
                    </w:rPr>
                    <w:t>40.3</w:t>
                  </w:r>
                  <w:r w:rsidR="007C5299">
                    <w:rPr>
                      <w:rFonts w:asciiTheme="majorHAnsi" w:hAnsiTheme="majorHAnsi"/>
                      <w:sz w:val="16"/>
                      <w:szCs w:val="16"/>
                    </w:rPr>
                    <w:t>%</w:t>
                  </w:r>
                </w:p>
              </w:tc>
              <w:tc>
                <w:tcPr>
                  <w:tcW w:w="1074" w:type="dxa"/>
                </w:tcPr>
                <w:p w14:paraId="72FC070B" w14:textId="6912F0A7" w:rsidR="00830F06" w:rsidRPr="00D9079F" w:rsidRDefault="009B5E2E" w:rsidP="00830F06">
                  <w:pPr>
                    <w:rPr>
                      <w:rFonts w:asciiTheme="majorHAnsi" w:hAnsiTheme="majorHAnsi"/>
                      <w:sz w:val="16"/>
                      <w:szCs w:val="16"/>
                    </w:rPr>
                  </w:pPr>
                  <w:r>
                    <w:rPr>
                      <w:rFonts w:asciiTheme="majorHAnsi" w:hAnsiTheme="majorHAnsi"/>
                      <w:sz w:val="16"/>
                      <w:szCs w:val="16"/>
                    </w:rPr>
                    <w:t>38.5</w:t>
                  </w:r>
                  <w:r w:rsidR="007C5299">
                    <w:rPr>
                      <w:rFonts w:asciiTheme="majorHAnsi" w:hAnsiTheme="majorHAnsi"/>
                      <w:sz w:val="16"/>
                      <w:szCs w:val="16"/>
                    </w:rPr>
                    <w:t>%</w:t>
                  </w:r>
                </w:p>
              </w:tc>
            </w:tr>
            <w:tr w:rsidR="0060598F" w:rsidRPr="00D9079F" w14:paraId="5B01660D" w14:textId="77777777" w:rsidTr="00FC0F5A">
              <w:tc>
                <w:tcPr>
                  <w:tcW w:w="1897" w:type="dxa"/>
                </w:tcPr>
                <w:p w14:paraId="2B656250" w14:textId="256511D5" w:rsidR="00830F06" w:rsidRPr="00230BD4" w:rsidRDefault="00830F06" w:rsidP="009B5E2E">
                  <w:pPr>
                    <w:rPr>
                      <w:rFonts w:asciiTheme="majorHAnsi" w:hAnsiTheme="majorHAnsi"/>
                      <w:sz w:val="16"/>
                      <w:szCs w:val="16"/>
                    </w:rPr>
                  </w:pPr>
                  <w:proofErr w:type="spellStart"/>
                  <w:r w:rsidRPr="00230BD4">
                    <w:rPr>
                      <w:rFonts w:asciiTheme="majorHAnsi" w:hAnsiTheme="majorHAnsi"/>
                      <w:sz w:val="16"/>
                      <w:szCs w:val="16"/>
                    </w:rPr>
                    <w:t>Avg</w:t>
                  </w:r>
                  <w:proofErr w:type="spellEnd"/>
                  <w:r w:rsidRPr="00230BD4">
                    <w:rPr>
                      <w:rFonts w:asciiTheme="majorHAnsi" w:hAnsiTheme="majorHAnsi"/>
                      <w:sz w:val="16"/>
                      <w:szCs w:val="16"/>
                    </w:rPr>
                    <w:t xml:space="preserve">  </w:t>
                  </w:r>
                  <w:r w:rsidR="009B5E2E">
                    <w:rPr>
                      <w:rFonts w:asciiTheme="majorHAnsi" w:hAnsiTheme="majorHAnsi"/>
                      <w:sz w:val="16"/>
                      <w:szCs w:val="16"/>
                    </w:rPr>
                    <w:t>NOPAT</w:t>
                  </w:r>
                  <w:r w:rsidRPr="00230BD4">
                    <w:rPr>
                      <w:rFonts w:asciiTheme="majorHAnsi" w:hAnsiTheme="majorHAnsi"/>
                      <w:sz w:val="16"/>
                      <w:szCs w:val="16"/>
                    </w:rPr>
                    <w:t xml:space="preserve"> </w:t>
                  </w:r>
                </w:p>
              </w:tc>
              <w:tc>
                <w:tcPr>
                  <w:tcW w:w="1123" w:type="dxa"/>
                </w:tcPr>
                <w:p w14:paraId="6B796F07" w14:textId="63928627" w:rsidR="00830F06" w:rsidRPr="00D9079F" w:rsidRDefault="009B5E2E" w:rsidP="00830F06">
                  <w:pPr>
                    <w:rPr>
                      <w:rFonts w:asciiTheme="majorHAnsi" w:hAnsiTheme="majorHAnsi"/>
                      <w:sz w:val="16"/>
                      <w:szCs w:val="16"/>
                    </w:rPr>
                  </w:pPr>
                  <w:r>
                    <w:rPr>
                      <w:rFonts w:asciiTheme="majorHAnsi" w:hAnsiTheme="majorHAnsi"/>
                      <w:sz w:val="16"/>
                      <w:szCs w:val="16"/>
                    </w:rPr>
                    <w:t>28</w:t>
                  </w:r>
                  <w:r w:rsidR="00925975">
                    <w:rPr>
                      <w:rFonts w:asciiTheme="majorHAnsi" w:hAnsiTheme="majorHAnsi"/>
                      <w:sz w:val="16"/>
                      <w:szCs w:val="16"/>
                    </w:rPr>
                    <w:t>%</w:t>
                  </w:r>
                </w:p>
              </w:tc>
              <w:tc>
                <w:tcPr>
                  <w:tcW w:w="1074" w:type="dxa"/>
                </w:tcPr>
                <w:p w14:paraId="2CA542D3" w14:textId="0DEC2B01" w:rsidR="00830F06" w:rsidRPr="00D9079F" w:rsidRDefault="009B5E2E" w:rsidP="00830F06">
                  <w:pPr>
                    <w:rPr>
                      <w:rFonts w:asciiTheme="majorHAnsi" w:hAnsiTheme="majorHAnsi"/>
                      <w:sz w:val="16"/>
                      <w:szCs w:val="16"/>
                    </w:rPr>
                  </w:pPr>
                  <w:r>
                    <w:rPr>
                      <w:rFonts w:asciiTheme="majorHAnsi" w:hAnsiTheme="majorHAnsi"/>
                      <w:sz w:val="16"/>
                      <w:szCs w:val="16"/>
                    </w:rPr>
                    <w:t>25.6</w:t>
                  </w:r>
                  <w:r w:rsidR="00925975">
                    <w:rPr>
                      <w:rFonts w:asciiTheme="majorHAnsi" w:hAnsiTheme="majorHAnsi"/>
                      <w:sz w:val="16"/>
                      <w:szCs w:val="16"/>
                    </w:rPr>
                    <w:t>%</w:t>
                  </w:r>
                </w:p>
              </w:tc>
            </w:tr>
            <w:tr w:rsidR="0060598F" w:rsidRPr="00D9079F" w14:paraId="1407D251" w14:textId="77777777" w:rsidTr="00FC0F5A">
              <w:tc>
                <w:tcPr>
                  <w:tcW w:w="1897" w:type="dxa"/>
                </w:tcPr>
                <w:p w14:paraId="5FB4F2E9" w14:textId="77777777" w:rsidR="00830F06" w:rsidRPr="00230BD4" w:rsidRDefault="00830F06" w:rsidP="00830F06">
                  <w:pPr>
                    <w:rPr>
                      <w:rFonts w:asciiTheme="majorHAnsi" w:hAnsiTheme="majorHAnsi"/>
                      <w:sz w:val="16"/>
                      <w:szCs w:val="16"/>
                    </w:rPr>
                  </w:pPr>
                  <w:proofErr w:type="spellStart"/>
                  <w:r w:rsidRPr="00230BD4">
                    <w:rPr>
                      <w:rFonts w:asciiTheme="majorHAnsi" w:hAnsiTheme="majorHAnsi"/>
                      <w:sz w:val="16"/>
                      <w:szCs w:val="16"/>
                    </w:rPr>
                    <w:t>Avg</w:t>
                  </w:r>
                  <w:proofErr w:type="spellEnd"/>
                  <w:r w:rsidRPr="00230BD4">
                    <w:rPr>
                      <w:rFonts w:asciiTheme="majorHAnsi" w:hAnsiTheme="majorHAnsi"/>
                      <w:sz w:val="16"/>
                      <w:szCs w:val="16"/>
                    </w:rPr>
                    <w:t xml:space="preserve">  Debt/Equity </w:t>
                  </w:r>
                </w:p>
              </w:tc>
              <w:tc>
                <w:tcPr>
                  <w:tcW w:w="1123" w:type="dxa"/>
                </w:tcPr>
                <w:p w14:paraId="3BD7CDF4" w14:textId="121354D7" w:rsidR="00830F06" w:rsidRPr="008C630B" w:rsidRDefault="009B5E2E" w:rsidP="00830F06">
                  <w:pPr>
                    <w:rPr>
                      <w:rFonts w:asciiTheme="majorHAnsi" w:hAnsiTheme="majorHAnsi"/>
                      <w:sz w:val="16"/>
                      <w:szCs w:val="16"/>
                      <w:highlight w:val="yellow"/>
                    </w:rPr>
                  </w:pPr>
                  <w:r>
                    <w:rPr>
                      <w:rFonts w:asciiTheme="majorHAnsi" w:hAnsiTheme="majorHAnsi"/>
                      <w:sz w:val="16"/>
                      <w:szCs w:val="16"/>
                    </w:rPr>
                    <w:t>28.47</w:t>
                  </w:r>
                </w:p>
              </w:tc>
              <w:tc>
                <w:tcPr>
                  <w:tcW w:w="1074" w:type="dxa"/>
                </w:tcPr>
                <w:p w14:paraId="6104E666" w14:textId="3582AA0E" w:rsidR="00830F06" w:rsidRPr="008C630B" w:rsidRDefault="00830F06" w:rsidP="00830F06">
                  <w:pPr>
                    <w:rPr>
                      <w:rFonts w:asciiTheme="majorHAnsi" w:hAnsiTheme="majorHAnsi"/>
                      <w:sz w:val="16"/>
                      <w:szCs w:val="16"/>
                      <w:highlight w:val="yellow"/>
                    </w:rPr>
                  </w:pPr>
                </w:p>
              </w:tc>
            </w:tr>
            <w:tr w:rsidR="0060598F" w:rsidRPr="00D9079F" w14:paraId="261F133B" w14:textId="77777777" w:rsidTr="00FC0F5A">
              <w:tc>
                <w:tcPr>
                  <w:tcW w:w="1897" w:type="dxa"/>
                </w:tcPr>
                <w:p w14:paraId="0B1C1930" w14:textId="7822A15F" w:rsidR="00830F06" w:rsidRPr="00D9079F" w:rsidRDefault="00830F06" w:rsidP="009B5E2E">
                  <w:pPr>
                    <w:rPr>
                      <w:rFonts w:asciiTheme="majorHAnsi" w:hAnsiTheme="majorHAnsi"/>
                      <w:sz w:val="16"/>
                      <w:szCs w:val="16"/>
                    </w:rPr>
                  </w:pPr>
                  <w:proofErr w:type="spellStart"/>
                  <w:r w:rsidRPr="00D9079F">
                    <w:rPr>
                      <w:rFonts w:asciiTheme="majorHAnsi" w:hAnsiTheme="majorHAnsi"/>
                      <w:sz w:val="16"/>
                      <w:szCs w:val="16"/>
                    </w:rPr>
                    <w:t>Avg</w:t>
                  </w:r>
                  <w:proofErr w:type="spellEnd"/>
                  <w:r w:rsidRPr="00D9079F">
                    <w:rPr>
                      <w:rFonts w:asciiTheme="majorHAnsi" w:hAnsiTheme="majorHAnsi"/>
                      <w:sz w:val="16"/>
                      <w:szCs w:val="16"/>
                    </w:rPr>
                    <w:t xml:space="preserve">  </w:t>
                  </w:r>
                  <w:r w:rsidR="00FD0265" w:rsidRPr="00D9079F">
                    <w:rPr>
                      <w:rFonts w:asciiTheme="majorHAnsi" w:hAnsiTheme="majorHAnsi"/>
                      <w:sz w:val="16"/>
                      <w:szCs w:val="16"/>
                    </w:rPr>
                    <w:t>FCF</w:t>
                  </w:r>
                  <w:r w:rsidRPr="00D9079F">
                    <w:rPr>
                      <w:rFonts w:asciiTheme="majorHAnsi" w:hAnsiTheme="majorHAnsi"/>
                      <w:sz w:val="16"/>
                      <w:szCs w:val="16"/>
                    </w:rPr>
                    <w:t xml:space="preserve"> / </w:t>
                  </w:r>
                  <w:r w:rsidR="00FD0265" w:rsidRPr="00D9079F">
                    <w:rPr>
                      <w:rFonts w:asciiTheme="majorHAnsi" w:hAnsiTheme="majorHAnsi"/>
                      <w:sz w:val="16"/>
                      <w:szCs w:val="16"/>
                    </w:rPr>
                    <w:t>Margin</w:t>
                  </w:r>
                  <w:r w:rsidRPr="00D9079F">
                    <w:rPr>
                      <w:rFonts w:asciiTheme="majorHAnsi" w:hAnsiTheme="majorHAnsi"/>
                      <w:sz w:val="16"/>
                      <w:szCs w:val="16"/>
                    </w:rPr>
                    <w:t xml:space="preserve"> </w:t>
                  </w:r>
                  <w:r w:rsidR="009B5E2E">
                    <w:rPr>
                      <w:rFonts w:asciiTheme="majorHAnsi" w:hAnsiTheme="majorHAnsi"/>
                      <w:sz w:val="16"/>
                      <w:szCs w:val="16"/>
                    </w:rPr>
                    <w:t xml:space="preserve"> L3yr</w:t>
                  </w:r>
                </w:p>
              </w:tc>
              <w:tc>
                <w:tcPr>
                  <w:tcW w:w="1123" w:type="dxa"/>
                  <w:shd w:val="clear" w:color="auto" w:fill="auto"/>
                </w:tcPr>
                <w:p w14:paraId="4FFEFCE9" w14:textId="0AAA65BB" w:rsidR="00830F06" w:rsidRPr="00D9079F" w:rsidRDefault="009B5E2E" w:rsidP="00830F06">
                  <w:pPr>
                    <w:rPr>
                      <w:rFonts w:asciiTheme="majorHAnsi" w:hAnsiTheme="majorHAnsi"/>
                      <w:sz w:val="16"/>
                      <w:szCs w:val="16"/>
                    </w:rPr>
                  </w:pPr>
                  <w:r>
                    <w:rPr>
                      <w:rFonts w:asciiTheme="majorHAnsi" w:hAnsiTheme="majorHAnsi"/>
                      <w:sz w:val="16"/>
                      <w:szCs w:val="16"/>
                    </w:rPr>
                    <w:t>29.08%</w:t>
                  </w:r>
                </w:p>
              </w:tc>
              <w:tc>
                <w:tcPr>
                  <w:tcW w:w="1074" w:type="dxa"/>
                  <w:shd w:val="clear" w:color="auto" w:fill="auto"/>
                </w:tcPr>
                <w:p w14:paraId="04395283" w14:textId="70C2AFAD" w:rsidR="00830F06" w:rsidRPr="00D9079F" w:rsidRDefault="00830F06" w:rsidP="00830F06">
                  <w:pPr>
                    <w:rPr>
                      <w:rFonts w:asciiTheme="majorHAnsi" w:hAnsiTheme="majorHAnsi"/>
                      <w:sz w:val="16"/>
                      <w:szCs w:val="16"/>
                    </w:rPr>
                  </w:pPr>
                </w:p>
              </w:tc>
            </w:tr>
            <w:tr w:rsidR="00830F06" w:rsidRPr="00D9079F" w14:paraId="42F79EE5" w14:textId="77777777" w:rsidTr="00FC0F5A">
              <w:tc>
                <w:tcPr>
                  <w:tcW w:w="3020" w:type="dxa"/>
                  <w:gridSpan w:val="2"/>
                </w:tcPr>
                <w:p w14:paraId="11317549" w14:textId="1F427D44" w:rsidR="00830F06" w:rsidRPr="00D9079F" w:rsidRDefault="00830F06" w:rsidP="00830F06">
                  <w:pPr>
                    <w:rPr>
                      <w:rFonts w:asciiTheme="majorHAnsi" w:hAnsiTheme="majorHAnsi"/>
                      <w:sz w:val="16"/>
                      <w:szCs w:val="16"/>
                    </w:rPr>
                  </w:pPr>
                  <w:r w:rsidRPr="00D9079F">
                    <w:rPr>
                      <w:rFonts w:asciiTheme="majorHAnsi" w:hAnsiTheme="majorHAnsi"/>
                      <w:sz w:val="16"/>
                      <w:szCs w:val="16"/>
                    </w:rPr>
                    <w:t>Cost of Debt</w:t>
                  </w:r>
                  <w:r w:rsidR="00DD2BB1">
                    <w:rPr>
                      <w:rFonts w:asciiTheme="majorHAnsi" w:hAnsiTheme="majorHAnsi"/>
                      <w:sz w:val="16"/>
                      <w:szCs w:val="16"/>
                    </w:rPr>
                    <w:t xml:space="preserve"> (after tax)</w:t>
                  </w:r>
                </w:p>
              </w:tc>
              <w:tc>
                <w:tcPr>
                  <w:tcW w:w="1074" w:type="dxa"/>
                </w:tcPr>
                <w:p w14:paraId="316D237F" w14:textId="27FC908F" w:rsidR="00830F06" w:rsidRPr="00D9079F" w:rsidRDefault="00DD2BB1" w:rsidP="00830F06">
                  <w:pPr>
                    <w:rPr>
                      <w:rFonts w:asciiTheme="majorHAnsi" w:hAnsiTheme="majorHAnsi"/>
                      <w:sz w:val="16"/>
                      <w:szCs w:val="16"/>
                    </w:rPr>
                  </w:pPr>
                  <w:r>
                    <w:rPr>
                      <w:rFonts w:asciiTheme="majorHAnsi" w:hAnsiTheme="majorHAnsi"/>
                      <w:sz w:val="16"/>
                      <w:szCs w:val="16"/>
                    </w:rPr>
                    <w:t>1.46</w:t>
                  </w:r>
                  <w:r w:rsidR="00925975">
                    <w:rPr>
                      <w:rFonts w:asciiTheme="majorHAnsi" w:hAnsiTheme="majorHAnsi"/>
                      <w:sz w:val="16"/>
                      <w:szCs w:val="16"/>
                    </w:rPr>
                    <w:t>%</w:t>
                  </w:r>
                </w:p>
              </w:tc>
            </w:tr>
            <w:tr w:rsidR="00830F06" w:rsidRPr="00D9079F" w14:paraId="67214880" w14:textId="77777777" w:rsidTr="00FC0F5A">
              <w:tc>
                <w:tcPr>
                  <w:tcW w:w="3020" w:type="dxa"/>
                  <w:gridSpan w:val="2"/>
                </w:tcPr>
                <w:p w14:paraId="30979647" w14:textId="54CC5FD6" w:rsidR="00830F06" w:rsidRPr="00D9079F" w:rsidRDefault="00830F06" w:rsidP="00830F06">
                  <w:pPr>
                    <w:rPr>
                      <w:rFonts w:asciiTheme="majorHAnsi" w:hAnsiTheme="majorHAnsi"/>
                      <w:sz w:val="16"/>
                      <w:szCs w:val="16"/>
                    </w:rPr>
                  </w:pPr>
                  <w:r w:rsidRPr="00D9079F">
                    <w:rPr>
                      <w:rFonts w:asciiTheme="majorHAnsi" w:hAnsiTheme="majorHAnsi"/>
                      <w:sz w:val="16"/>
                      <w:szCs w:val="16"/>
                    </w:rPr>
                    <w:t>Tax Rate</w:t>
                  </w:r>
                  <w:r w:rsidR="00DD2BB1">
                    <w:rPr>
                      <w:rFonts w:asciiTheme="majorHAnsi" w:hAnsiTheme="majorHAnsi"/>
                      <w:sz w:val="16"/>
                      <w:szCs w:val="16"/>
                    </w:rPr>
                    <w:t xml:space="preserve"> last filing</w:t>
                  </w:r>
                </w:p>
              </w:tc>
              <w:tc>
                <w:tcPr>
                  <w:tcW w:w="1074" w:type="dxa"/>
                </w:tcPr>
                <w:p w14:paraId="426CE887" w14:textId="149AAFFE" w:rsidR="00830F06" w:rsidRPr="00D9079F" w:rsidRDefault="00DD2BB1" w:rsidP="00925975">
                  <w:pPr>
                    <w:rPr>
                      <w:rFonts w:asciiTheme="majorHAnsi" w:hAnsiTheme="majorHAnsi"/>
                      <w:sz w:val="16"/>
                      <w:szCs w:val="16"/>
                    </w:rPr>
                  </w:pPr>
                  <w:r>
                    <w:rPr>
                      <w:rFonts w:asciiTheme="majorHAnsi" w:hAnsiTheme="majorHAnsi"/>
                      <w:sz w:val="16"/>
                      <w:szCs w:val="16"/>
                    </w:rPr>
                    <w:t>14.64</w:t>
                  </w:r>
                  <w:r w:rsidR="00925975">
                    <w:rPr>
                      <w:rFonts w:asciiTheme="majorHAnsi" w:hAnsiTheme="majorHAnsi"/>
                      <w:sz w:val="16"/>
                      <w:szCs w:val="16"/>
                    </w:rPr>
                    <w:t>%</w:t>
                  </w:r>
                </w:p>
              </w:tc>
            </w:tr>
            <w:tr w:rsidR="00830F06" w:rsidRPr="00D9079F" w14:paraId="0F9564DE" w14:textId="77777777" w:rsidTr="00FC0F5A">
              <w:tc>
                <w:tcPr>
                  <w:tcW w:w="3020" w:type="dxa"/>
                  <w:gridSpan w:val="2"/>
                </w:tcPr>
                <w:p w14:paraId="02E73EF4" w14:textId="77777777" w:rsidR="00830F06" w:rsidRPr="00D9079F" w:rsidRDefault="00830F06" w:rsidP="00830F06">
                  <w:pPr>
                    <w:rPr>
                      <w:rFonts w:asciiTheme="majorHAnsi" w:hAnsiTheme="majorHAnsi"/>
                      <w:sz w:val="16"/>
                      <w:szCs w:val="16"/>
                    </w:rPr>
                  </w:pPr>
                  <w:r w:rsidRPr="00D9079F">
                    <w:rPr>
                      <w:rFonts w:asciiTheme="majorHAnsi" w:hAnsiTheme="majorHAnsi"/>
                      <w:sz w:val="16"/>
                      <w:szCs w:val="16"/>
                    </w:rPr>
                    <w:t xml:space="preserve">Cost of Equity </w:t>
                  </w:r>
                </w:p>
              </w:tc>
              <w:tc>
                <w:tcPr>
                  <w:tcW w:w="1074" w:type="dxa"/>
                </w:tcPr>
                <w:p w14:paraId="7C66D20E" w14:textId="58D74216" w:rsidR="00830F06" w:rsidRPr="00D9079F" w:rsidRDefault="00DD2BB1" w:rsidP="00830F06">
                  <w:pPr>
                    <w:rPr>
                      <w:rFonts w:asciiTheme="majorHAnsi" w:hAnsiTheme="majorHAnsi"/>
                      <w:sz w:val="16"/>
                      <w:szCs w:val="16"/>
                    </w:rPr>
                  </w:pPr>
                  <w:r>
                    <w:rPr>
                      <w:rFonts w:asciiTheme="majorHAnsi" w:hAnsiTheme="majorHAnsi"/>
                      <w:sz w:val="16"/>
                      <w:szCs w:val="16"/>
                    </w:rPr>
                    <w:t>11.75</w:t>
                  </w:r>
                  <w:r w:rsidR="00925975">
                    <w:rPr>
                      <w:rFonts w:asciiTheme="majorHAnsi" w:hAnsiTheme="majorHAnsi"/>
                      <w:sz w:val="16"/>
                      <w:szCs w:val="16"/>
                    </w:rPr>
                    <w:t>%</w:t>
                  </w:r>
                </w:p>
              </w:tc>
            </w:tr>
            <w:tr w:rsidR="00830F06" w:rsidRPr="00D9079F" w14:paraId="19A1F6C8" w14:textId="77777777" w:rsidTr="00FC0F5A">
              <w:tc>
                <w:tcPr>
                  <w:tcW w:w="3020" w:type="dxa"/>
                  <w:gridSpan w:val="2"/>
                </w:tcPr>
                <w:p w14:paraId="714B53EA" w14:textId="77777777" w:rsidR="00830F06" w:rsidRPr="00D9079F" w:rsidRDefault="00830F06" w:rsidP="00830F06">
                  <w:pPr>
                    <w:rPr>
                      <w:rFonts w:asciiTheme="majorHAnsi" w:hAnsiTheme="majorHAnsi"/>
                      <w:sz w:val="16"/>
                      <w:szCs w:val="16"/>
                    </w:rPr>
                  </w:pPr>
                  <w:r w:rsidRPr="00D9079F">
                    <w:rPr>
                      <w:rFonts w:asciiTheme="majorHAnsi" w:hAnsiTheme="majorHAnsi"/>
                      <w:sz w:val="16"/>
                      <w:szCs w:val="16"/>
                    </w:rPr>
                    <w:t>WACC</w:t>
                  </w:r>
                </w:p>
              </w:tc>
              <w:tc>
                <w:tcPr>
                  <w:tcW w:w="1074" w:type="dxa"/>
                </w:tcPr>
                <w:p w14:paraId="71DF2BD8" w14:textId="6CA3E34F" w:rsidR="00830F06" w:rsidRPr="00D9079F" w:rsidRDefault="00DD2BB1" w:rsidP="00830F06">
                  <w:pPr>
                    <w:rPr>
                      <w:rFonts w:asciiTheme="majorHAnsi" w:hAnsiTheme="majorHAnsi"/>
                      <w:sz w:val="16"/>
                      <w:szCs w:val="16"/>
                    </w:rPr>
                  </w:pPr>
                  <w:r>
                    <w:rPr>
                      <w:rFonts w:asciiTheme="majorHAnsi" w:hAnsiTheme="majorHAnsi"/>
                      <w:sz w:val="16"/>
                      <w:szCs w:val="16"/>
                    </w:rPr>
                    <w:t>10.81</w:t>
                  </w:r>
                  <w:r w:rsidR="00925975">
                    <w:rPr>
                      <w:rFonts w:asciiTheme="majorHAnsi" w:hAnsiTheme="majorHAnsi"/>
                      <w:sz w:val="16"/>
                      <w:szCs w:val="16"/>
                    </w:rPr>
                    <w:t>%</w:t>
                  </w:r>
                </w:p>
              </w:tc>
            </w:tr>
            <w:tr w:rsidR="00830F06" w:rsidRPr="00D9079F" w14:paraId="48232758" w14:textId="77777777" w:rsidTr="00FC0F5A">
              <w:trPr>
                <w:trHeight w:val="197"/>
              </w:trPr>
              <w:tc>
                <w:tcPr>
                  <w:tcW w:w="3020" w:type="dxa"/>
                  <w:gridSpan w:val="2"/>
                </w:tcPr>
                <w:p w14:paraId="75850D20" w14:textId="77777777" w:rsidR="00830F06" w:rsidRPr="00D9079F" w:rsidRDefault="00830F06" w:rsidP="00830F06">
                  <w:pPr>
                    <w:rPr>
                      <w:rFonts w:asciiTheme="majorHAnsi" w:hAnsiTheme="majorHAnsi"/>
                      <w:sz w:val="16"/>
                      <w:szCs w:val="16"/>
                    </w:rPr>
                  </w:pPr>
                  <w:r w:rsidRPr="00D9079F">
                    <w:rPr>
                      <w:rFonts w:asciiTheme="majorHAnsi" w:hAnsiTheme="majorHAnsi"/>
                      <w:sz w:val="16"/>
                      <w:szCs w:val="16"/>
                    </w:rPr>
                    <w:t xml:space="preserve">Perpetuity growth rate </w:t>
                  </w:r>
                </w:p>
              </w:tc>
              <w:tc>
                <w:tcPr>
                  <w:tcW w:w="1074" w:type="dxa"/>
                </w:tcPr>
                <w:p w14:paraId="0C5586DB" w14:textId="4918614A" w:rsidR="00830F06" w:rsidRPr="00D9079F" w:rsidRDefault="00DD2BB1" w:rsidP="00830F06">
                  <w:pPr>
                    <w:rPr>
                      <w:rFonts w:asciiTheme="majorHAnsi" w:hAnsiTheme="majorHAnsi"/>
                      <w:sz w:val="16"/>
                      <w:szCs w:val="16"/>
                    </w:rPr>
                  </w:pPr>
                  <w:r>
                    <w:rPr>
                      <w:rFonts w:asciiTheme="majorHAnsi" w:hAnsiTheme="majorHAnsi"/>
                      <w:sz w:val="16"/>
                      <w:szCs w:val="16"/>
                    </w:rPr>
                    <w:t>4</w:t>
                  </w:r>
                  <w:r w:rsidR="00925975">
                    <w:rPr>
                      <w:rFonts w:asciiTheme="majorHAnsi" w:hAnsiTheme="majorHAnsi"/>
                      <w:sz w:val="16"/>
                      <w:szCs w:val="16"/>
                    </w:rPr>
                    <w:t>%</w:t>
                  </w:r>
                </w:p>
              </w:tc>
            </w:tr>
          </w:tbl>
          <w:p w14:paraId="4363BD08" w14:textId="77777777" w:rsidR="009F0D12" w:rsidRPr="00D9079F" w:rsidRDefault="009F0D12" w:rsidP="009F0D12">
            <w:pPr>
              <w:jc w:val="both"/>
              <w:rPr>
                <w:rFonts w:asciiTheme="majorHAnsi" w:hAnsiTheme="majorHAnsi"/>
                <w:b/>
                <w:sz w:val="16"/>
                <w:szCs w:val="16"/>
              </w:rPr>
            </w:pPr>
            <w:r w:rsidRPr="00D9079F">
              <w:rPr>
                <w:rFonts w:asciiTheme="majorHAnsi" w:hAnsiTheme="majorHAnsi"/>
                <w:b/>
                <w:sz w:val="16"/>
                <w:szCs w:val="16"/>
              </w:rPr>
              <w:t xml:space="preserve">Analyst Opinion </w:t>
            </w:r>
          </w:p>
          <w:tbl>
            <w:tblPr>
              <w:tblStyle w:val="TableGrid"/>
              <w:tblW w:w="0" w:type="auto"/>
              <w:tblLook w:val="04A0" w:firstRow="1" w:lastRow="0" w:firstColumn="1" w:lastColumn="0" w:noHBand="0" w:noVBand="1"/>
            </w:tblPr>
            <w:tblGrid>
              <w:gridCol w:w="1610"/>
              <w:gridCol w:w="1077"/>
              <w:gridCol w:w="1407"/>
            </w:tblGrid>
            <w:tr w:rsidR="009F0D12" w:rsidRPr="00D9079F" w14:paraId="2502AA66" w14:textId="77777777" w:rsidTr="00FB4741">
              <w:tc>
                <w:tcPr>
                  <w:tcW w:w="1610" w:type="dxa"/>
                  <w:shd w:val="clear" w:color="auto" w:fill="DBE5F1" w:themeFill="accent1" w:themeFillTint="33"/>
                </w:tcPr>
                <w:p w14:paraId="6457A1D0" w14:textId="54F600AF" w:rsidR="009F0D12" w:rsidRPr="00D03496" w:rsidRDefault="009F0D12" w:rsidP="00256907">
                  <w:pPr>
                    <w:jc w:val="both"/>
                    <w:rPr>
                      <w:rFonts w:asciiTheme="majorHAnsi" w:hAnsiTheme="majorHAnsi"/>
                      <w:sz w:val="16"/>
                      <w:szCs w:val="16"/>
                    </w:rPr>
                  </w:pPr>
                  <w:r w:rsidRPr="00D03496">
                    <w:rPr>
                      <w:rFonts w:asciiTheme="majorHAnsi" w:hAnsiTheme="majorHAnsi"/>
                      <w:sz w:val="16"/>
                      <w:szCs w:val="16"/>
                    </w:rPr>
                    <w:t>Buy</w:t>
                  </w:r>
                  <w:r w:rsidR="00766C69" w:rsidRPr="00D03496">
                    <w:rPr>
                      <w:rFonts w:asciiTheme="majorHAnsi" w:hAnsiTheme="majorHAnsi"/>
                      <w:sz w:val="16"/>
                      <w:szCs w:val="16"/>
                    </w:rPr>
                    <w:t>:</w:t>
                  </w:r>
                </w:p>
              </w:tc>
              <w:tc>
                <w:tcPr>
                  <w:tcW w:w="1077" w:type="dxa"/>
                  <w:shd w:val="clear" w:color="auto" w:fill="DBE5F1" w:themeFill="accent1" w:themeFillTint="33"/>
                </w:tcPr>
                <w:p w14:paraId="10E79476" w14:textId="7C852CF6" w:rsidR="009F0D12" w:rsidRPr="00D03496" w:rsidRDefault="009F0D12" w:rsidP="00D03496">
                  <w:pPr>
                    <w:jc w:val="both"/>
                    <w:rPr>
                      <w:rFonts w:asciiTheme="majorHAnsi" w:hAnsiTheme="majorHAnsi"/>
                      <w:sz w:val="16"/>
                      <w:szCs w:val="16"/>
                    </w:rPr>
                  </w:pPr>
                  <w:r w:rsidRPr="00D03496">
                    <w:rPr>
                      <w:rFonts w:asciiTheme="majorHAnsi" w:hAnsiTheme="majorHAnsi"/>
                      <w:sz w:val="16"/>
                      <w:szCs w:val="16"/>
                    </w:rPr>
                    <w:t xml:space="preserve">Hold: </w:t>
                  </w:r>
                </w:p>
              </w:tc>
              <w:tc>
                <w:tcPr>
                  <w:tcW w:w="1407" w:type="dxa"/>
                  <w:shd w:val="clear" w:color="auto" w:fill="DBE5F1" w:themeFill="accent1" w:themeFillTint="33"/>
                </w:tcPr>
                <w:p w14:paraId="1F373BED" w14:textId="1C1ACF15" w:rsidR="009F0D12" w:rsidRPr="00D03496" w:rsidRDefault="00766C69" w:rsidP="00D03496">
                  <w:pPr>
                    <w:jc w:val="both"/>
                    <w:rPr>
                      <w:rFonts w:asciiTheme="majorHAnsi" w:hAnsiTheme="majorHAnsi"/>
                      <w:sz w:val="16"/>
                      <w:szCs w:val="16"/>
                    </w:rPr>
                  </w:pPr>
                  <w:r w:rsidRPr="00D03496">
                    <w:rPr>
                      <w:rFonts w:asciiTheme="majorHAnsi" w:hAnsiTheme="majorHAnsi"/>
                      <w:sz w:val="16"/>
                      <w:szCs w:val="16"/>
                    </w:rPr>
                    <w:t>Sell:</w:t>
                  </w:r>
                  <w:r w:rsidR="008C7FEA" w:rsidRPr="00D03496">
                    <w:rPr>
                      <w:rFonts w:asciiTheme="majorHAnsi" w:hAnsiTheme="majorHAnsi"/>
                      <w:sz w:val="16"/>
                      <w:szCs w:val="16"/>
                    </w:rPr>
                    <w:t xml:space="preserve"> </w:t>
                  </w:r>
                  <w:bookmarkStart w:id="0" w:name="_GoBack"/>
                  <w:bookmarkEnd w:id="0"/>
                </w:p>
              </w:tc>
            </w:tr>
            <w:tr w:rsidR="009F0D12" w:rsidRPr="00D9079F" w14:paraId="0A705346" w14:textId="77777777" w:rsidTr="00FB4741">
              <w:tc>
                <w:tcPr>
                  <w:tcW w:w="1610" w:type="dxa"/>
                  <w:shd w:val="clear" w:color="auto" w:fill="DBE5F1" w:themeFill="accent1" w:themeFillTint="33"/>
                </w:tcPr>
                <w:p w14:paraId="7897F5B6" w14:textId="77777777" w:rsidR="009F0D12" w:rsidRPr="00D03496" w:rsidRDefault="009F0D12" w:rsidP="009F0D12">
                  <w:pPr>
                    <w:jc w:val="both"/>
                    <w:rPr>
                      <w:rFonts w:asciiTheme="majorHAnsi" w:hAnsiTheme="majorHAnsi"/>
                      <w:sz w:val="16"/>
                      <w:szCs w:val="16"/>
                    </w:rPr>
                  </w:pPr>
                </w:p>
              </w:tc>
              <w:tc>
                <w:tcPr>
                  <w:tcW w:w="1077" w:type="dxa"/>
                  <w:shd w:val="clear" w:color="auto" w:fill="DBE5F1" w:themeFill="accent1" w:themeFillTint="33"/>
                </w:tcPr>
                <w:p w14:paraId="78BA4ECF" w14:textId="77777777" w:rsidR="009F0D12" w:rsidRPr="00D03496" w:rsidRDefault="009F0D12" w:rsidP="009F0D12">
                  <w:pPr>
                    <w:jc w:val="both"/>
                    <w:rPr>
                      <w:rFonts w:asciiTheme="majorHAnsi" w:hAnsiTheme="majorHAnsi"/>
                      <w:sz w:val="16"/>
                      <w:szCs w:val="16"/>
                    </w:rPr>
                  </w:pPr>
                  <w:r w:rsidRPr="00D03496">
                    <w:rPr>
                      <w:rFonts w:asciiTheme="majorHAnsi" w:hAnsiTheme="majorHAnsi"/>
                      <w:sz w:val="16"/>
                      <w:szCs w:val="16"/>
                    </w:rPr>
                    <w:t xml:space="preserve">Rating </w:t>
                  </w:r>
                </w:p>
              </w:tc>
              <w:tc>
                <w:tcPr>
                  <w:tcW w:w="1407" w:type="dxa"/>
                  <w:shd w:val="clear" w:color="auto" w:fill="DBE5F1" w:themeFill="accent1" w:themeFillTint="33"/>
                </w:tcPr>
                <w:p w14:paraId="1E6E599B" w14:textId="77777777" w:rsidR="009F0D12" w:rsidRPr="00D03496" w:rsidRDefault="009F0D12" w:rsidP="009F0D12">
                  <w:pPr>
                    <w:jc w:val="both"/>
                    <w:rPr>
                      <w:rFonts w:asciiTheme="majorHAnsi" w:hAnsiTheme="majorHAnsi"/>
                      <w:sz w:val="16"/>
                      <w:szCs w:val="16"/>
                    </w:rPr>
                  </w:pPr>
                  <w:r w:rsidRPr="00D03496">
                    <w:rPr>
                      <w:rFonts w:asciiTheme="majorHAnsi" w:hAnsiTheme="majorHAnsi"/>
                      <w:sz w:val="16"/>
                      <w:szCs w:val="16"/>
                    </w:rPr>
                    <w:t xml:space="preserve">Target </w:t>
                  </w:r>
                </w:p>
              </w:tc>
            </w:tr>
            <w:tr w:rsidR="009F0D12" w:rsidRPr="00D9079F" w14:paraId="18B2C8FA" w14:textId="77777777" w:rsidTr="00FB4741">
              <w:tc>
                <w:tcPr>
                  <w:tcW w:w="1610" w:type="dxa"/>
                </w:tcPr>
                <w:p w14:paraId="12374E3E" w14:textId="77777777" w:rsidR="009F0D12" w:rsidRPr="00D03496" w:rsidRDefault="009F0D12" w:rsidP="009F0D12">
                  <w:pPr>
                    <w:jc w:val="both"/>
                    <w:rPr>
                      <w:rFonts w:asciiTheme="majorHAnsi" w:hAnsiTheme="majorHAnsi"/>
                      <w:sz w:val="16"/>
                      <w:szCs w:val="16"/>
                    </w:rPr>
                  </w:pPr>
                  <w:r w:rsidRPr="00D03496">
                    <w:rPr>
                      <w:rFonts w:asciiTheme="majorHAnsi" w:hAnsiTheme="majorHAnsi"/>
                      <w:sz w:val="16"/>
                      <w:szCs w:val="16"/>
                    </w:rPr>
                    <w:t xml:space="preserve">S&amp;P Net Advantage </w:t>
                  </w:r>
                </w:p>
              </w:tc>
              <w:tc>
                <w:tcPr>
                  <w:tcW w:w="1077" w:type="dxa"/>
                </w:tcPr>
                <w:p w14:paraId="6EC161A2" w14:textId="7D8E262D" w:rsidR="009F0D12" w:rsidRPr="00D03496" w:rsidRDefault="007A040E" w:rsidP="009F0D12">
                  <w:pPr>
                    <w:jc w:val="both"/>
                    <w:rPr>
                      <w:rFonts w:asciiTheme="majorHAnsi" w:hAnsiTheme="majorHAnsi"/>
                      <w:sz w:val="16"/>
                      <w:szCs w:val="16"/>
                    </w:rPr>
                  </w:pPr>
                  <w:r w:rsidRPr="00D03496">
                    <w:rPr>
                      <w:rFonts w:asciiTheme="majorHAnsi" w:hAnsiTheme="majorHAnsi"/>
                      <w:sz w:val="16"/>
                      <w:szCs w:val="16"/>
                    </w:rPr>
                    <w:t>Hold</w:t>
                  </w:r>
                </w:p>
              </w:tc>
              <w:tc>
                <w:tcPr>
                  <w:tcW w:w="1407" w:type="dxa"/>
                </w:tcPr>
                <w:p w14:paraId="0BCB7E23" w14:textId="6712E164" w:rsidR="009F0D12" w:rsidRPr="00D03496" w:rsidRDefault="00D672EC" w:rsidP="009F0D12">
                  <w:pPr>
                    <w:jc w:val="both"/>
                    <w:rPr>
                      <w:rFonts w:asciiTheme="majorHAnsi" w:hAnsiTheme="majorHAnsi"/>
                      <w:sz w:val="16"/>
                      <w:szCs w:val="16"/>
                    </w:rPr>
                  </w:pPr>
                  <w:r w:rsidRPr="00D03496">
                    <w:rPr>
                      <w:rFonts w:asciiTheme="majorHAnsi" w:hAnsiTheme="majorHAnsi"/>
                      <w:sz w:val="16"/>
                      <w:szCs w:val="16"/>
                    </w:rPr>
                    <w:t>$60</w:t>
                  </w:r>
                </w:p>
              </w:tc>
            </w:tr>
            <w:tr w:rsidR="00766C69" w:rsidRPr="00D9079F" w14:paraId="35B4D85C" w14:textId="77777777" w:rsidTr="00FB4741">
              <w:trPr>
                <w:trHeight w:val="215"/>
              </w:trPr>
              <w:tc>
                <w:tcPr>
                  <w:tcW w:w="1610" w:type="dxa"/>
                </w:tcPr>
                <w:p w14:paraId="1DD4E482" w14:textId="4558A51F" w:rsidR="00766C69" w:rsidRPr="00D03496" w:rsidRDefault="00766C69" w:rsidP="009F0D12">
                  <w:pPr>
                    <w:jc w:val="both"/>
                    <w:rPr>
                      <w:rFonts w:asciiTheme="majorHAnsi" w:hAnsiTheme="majorHAnsi"/>
                      <w:sz w:val="16"/>
                      <w:szCs w:val="16"/>
                    </w:rPr>
                  </w:pPr>
                  <w:r w:rsidRPr="00D03496">
                    <w:rPr>
                      <w:rFonts w:asciiTheme="majorHAnsi" w:hAnsiTheme="majorHAnsi"/>
                      <w:sz w:val="16"/>
                      <w:szCs w:val="16"/>
                    </w:rPr>
                    <w:t>Morning Star</w:t>
                  </w:r>
                </w:p>
              </w:tc>
              <w:tc>
                <w:tcPr>
                  <w:tcW w:w="1077" w:type="dxa"/>
                </w:tcPr>
                <w:p w14:paraId="0B4EFFDC" w14:textId="413A02D0" w:rsidR="00766C69" w:rsidRPr="00D03496" w:rsidRDefault="007A040E" w:rsidP="009F0D12">
                  <w:pPr>
                    <w:jc w:val="both"/>
                    <w:rPr>
                      <w:rFonts w:asciiTheme="majorHAnsi" w:hAnsiTheme="majorHAnsi"/>
                      <w:sz w:val="16"/>
                      <w:szCs w:val="16"/>
                    </w:rPr>
                  </w:pPr>
                  <w:r w:rsidRPr="00D03496">
                    <w:rPr>
                      <w:rFonts w:asciiTheme="majorHAnsi" w:hAnsiTheme="majorHAnsi"/>
                      <w:sz w:val="16"/>
                      <w:szCs w:val="16"/>
                    </w:rPr>
                    <w:t>***</w:t>
                  </w:r>
                </w:p>
              </w:tc>
              <w:tc>
                <w:tcPr>
                  <w:tcW w:w="1407" w:type="dxa"/>
                </w:tcPr>
                <w:p w14:paraId="70BA49F9" w14:textId="7C8030B5" w:rsidR="00766C69" w:rsidRPr="00D03496" w:rsidRDefault="00D672EC" w:rsidP="009F0D12">
                  <w:pPr>
                    <w:jc w:val="both"/>
                    <w:rPr>
                      <w:rFonts w:asciiTheme="majorHAnsi" w:hAnsiTheme="majorHAnsi"/>
                      <w:sz w:val="16"/>
                      <w:szCs w:val="16"/>
                    </w:rPr>
                  </w:pPr>
                  <w:r w:rsidRPr="00D03496">
                    <w:rPr>
                      <w:rFonts w:asciiTheme="majorHAnsi" w:hAnsiTheme="majorHAnsi"/>
                      <w:sz w:val="16"/>
                      <w:szCs w:val="16"/>
                    </w:rPr>
                    <w:t>$52</w:t>
                  </w:r>
                </w:p>
              </w:tc>
            </w:tr>
            <w:tr w:rsidR="00766C69" w:rsidRPr="00D9079F" w14:paraId="0BBF9B66" w14:textId="77777777" w:rsidTr="00FB4741">
              <w:trPr>
                <w:trHeight w:val="215"/>
              </w:trPr>
              <w:tc>
                <w:tcPr>
                  <w:tcW w:w="1610" w:type="dxa"/>
                </w:tcPr>
                <w:p w14:paraId="0E7E15E7" w14:textId="50B93F2B" w:rsidR="00766C69" w:rsidRPr="00D03496" w:rsidRDefault="00766C69" w:rsidP="009F0D12">
                  <w:pPr>
                    <w:jc w:val="both"/>
                    <w:rPr>
                      <w:rFonts w:asciiTheme="majorHAnsi" w:hAnsiTheme="majorHAnsi"/>
                      <w:sz w:val="16"/>
                      <w:szCs w:val="16"/>
                    </w:rPr>
                  </w:pPr>
                  <w:r w:rsidRPr="00D03496">
                    <w:rPr>
                      <w:rFonts w:asciiTheme="majorHAnsi" w:hAnsiTheme="majorHAnsi"/>
                      <w:sz w:val="16"/>
                      <w:szCs w:val="16"/>
                    </w:rPr>
                    <w:t xml:space="preserve">Value Line </w:t>
                  </w:r>
                </w:p>
              </w:tc>
              <w:tc>
                <w:tcPr>
                  <w:tcW w:w="1077" w:type="dxa"/>
                </w:tcPr>
                <w:p w14:paraId="161AF23F" w14:textId="5508B197" w:rsidR="00766C69" w:rsidRPr="00D03496" w:rsidRDefault="007A040E" w:rsidP="00D672EC">
                  <w:pPr>
                    <w:jc w:val="both"/>
                    <w:rPr>
                      <w:rFonts w:asciiTheme="majorHAnsi" w:hAnsiTheme="majorHAnsi"/>
                      <w:sz w:val="16"/>
                      <w:szCs w:val="16"/>
                    </w:rPr>
                  </w:pPr>
                  <w:r w:rsidRPr="00D03496">
                    <w:rPr>
                      <w:rFonts w:asciiTheme="majorHAnsi" w:hAnsiTheme="majorHAnsi"/>
                      <w:sz w:val="16"/>
                      <w:szCs w:val="16"/>
                    </w:rPr>
                    <w:t xml:space="preserve">T: </w:t>
                  </w:r>
                  <w:r w:rsidR="00D672EC" w:rsidRPr="00D03496">
                    <w:rPr>
                      <w:rFonts w:asciiTheme="majorHAnsi" w:hAnsiTheme="majorHAnsi"/>
                      <w:sz w:val="16"/>
                      <w:szCs w:val="16"/>
                    </w:rPr>
                    <w:t>2</w:t>
                  </w:r>
                  <w:r w:rsidRPr="00D03496">
                    <w:rPr>
                      <w:rFonts w:asciiTheme="majorHAnsi" w:hAnsiTheme="majorHAnsi"/>
                      <w:sz w:val="16"/>
                      <w:szCs w:val="16"/>
                    </w:rPr>
                    <w:t xml:space="preserve"> S: 1</w:t>
                  </w:r>
                </w:p>
              </w:tc>
              <w:tc>
                <w:tcPr>
                  <w:tcW w:w="1407" w:type="dxa"/>
                </w:tcPr>
                <w:p w14:paraId="22CC1EA0" w14:textId="0D10D9A7" w:rsidR="00766C69" w:rsidRPr="00D03496" w:rsidRDefault="00D03496" w:rsidP="009F0D12">
                  <w:pPr>
                    <w:jc w:val="both"/>
                    <w:rPr>
                      <w:rFonts w:asciiTheme="majorHAnsi" w:hAnsiTheme="majorHAnsi"/>
                      <w:sz w:val="16"/>
                      <w:szCs w:val="16"/>
                    </w:rPr>
                  </w:pPr>
                  <w:r w:rsidRPr="00D03496">
                    <w:rPr>
                      <w:rFonts w:asciiTheme="majorHAnsi" w:hAnsiTheme="majorHAnsi"/>
                      <w:sz w:val="16"/>
                      <w:szCs w:val="16"/>
                    </w:rPr>
                    <w:t>$70-60</w:t>
                  </w:r>
                </w:p>
              </w:tc>
            </w:tr>
          </w:tbl>
          <w:p w14:paraId="577D83D9" w14:textId="77777777" w:rsidR="002D3CFC" w:rsidRPr="00D9079F" w:rsidRDefault="002D3CFC" w:rsidP="00443ED9">
            <w:pPr>
              <w:jc w:val="both"/>
              <w:rPr>
                <w:rFonts w:asciiTheme="majorHAnsi" w:hAnsiTheme="majorHAnsi"/>
                <w:b/>
                <w:sz w:val="16"/>
                <w:szCs w:val="16"/>
              </w:rPr>
            </w:pPr>
          </w:p>
        </w:tc>
      </w:tr>
    </w:tbl>
    <w:p w14:paraId="2B589A9D" w14:textId="3436494D" w:rsidR="00830F06" w:rsidRPr="00D9079F" w:rsidRDefault="00830F06" w:rsidP="00443ED9">
      <w:pPr>
        <w:ind w:left="-1440"/>
        <w:jc w:val="both"/>
        <w:rPr>
          <w:rFonts w:asciiTheme="majorHAnsi" w:hAnsiTheme="majorHAnsi"/>
          <w:b/>
          <w:sz w:val="16"/>
          <w:szCs w:val="16"/>
        </w:rPr>
      </w:pPr>
    </w:p>
    <w:tbl>
      <w:tblPr>
        <w:tblStyle w:val="TableGrid"/>
        <w:tblW w:w="11808" w:type="dxa"/>
        <w:tblInd w:w="-1440" w:type="dxa"/>
        <w:tblLayout w:type="fixed"/>
        <w:tblLook w:val="04A0" w:firstRow="1" w:lastRow="0" w:firstColumn="1" w:lastColumn="0" w:noHBand="0" w:noVBand="1"/>
      </w:tblPr>
      <w:tblGrid>
        <w:gridCol w:w="7218"/>
        <w:gridCol w:w="4590"/>
      </w:tblGrid>
      <w:tr w:rsidR="00766C69" w:rsidRPr="00D9079F" w14:paraId="660DEC2C" w14:textId="77777777" w:rsidTr="00FC0F5A">
        <w:tc>
          <w:tcPr>
            <w:tcW w:w="7218" w:type="dxa"/>
            <w:shd w:val="clear" w:color="auto" w:fill="365F91" w:themeFill="accent1" w:themeFillShade="BF"/>
          </w:tcPr>
          <w:p w14:paraId="1BAF6900" w14:textId="27A2E398" w:rsidR="00766C69" w:rsidRPr="00D9079F" w:rsidRDefault="00766C69" w:rsidP="004F2EAA">
            <w:pPr>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Relative Valuation</w:t>
            </w:r>
          </w:p>
        </w:tc>
        <w:tc>
          <w:tcPr>
            <w:tcW w:w="4590" w:type="dxa"/>
            <w:shd w:val="clear" w:color="auto" w:fill="365F91" w:themeFill="accent1" w:themeFillShade="BF"/>
          </w:tcPr>
          <w:p w14:paraId="335BDBD9" w14:textId="109523C3" w:rsidR="00766C69" w:rsidRPr="00D9079F" w:rsidRDefault="00766C69" w:rsidP="00FD34FE">
            <w:pPr>
              <w:jc w:val="both"/>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Total Return</w:t>
            </w:r>
          </w:p>
        </w:tc>
      </w:tr>
      <w:tr w:rsidR="00766C69" w:rsidRPr="00D9079F" w14:paraId="2AA141CB" w14:textId="77777777" w:rsidTr="00FC0F5A">
        <w:tc>
          <w:tcPr>
            <w:tcW w:w="7218" w:type="dxa"/>
          </w:tcPr>
          <w:p w14:paraId="67108435" w14:textId="5035D08D" w:rsidR="00766C69" w:rsidRPr="00934A2F" w:rsidRDefault="003D0867" w:rsidP="00666BEF">
            <w:pPr>
              <w:pStyle w:val="ListParagraph"/>
              <w:ind w:left="0"/>
              <w:jc w:val="both"/>
              <w:rPr>
                <w:rFonts w:asciiTheme="majorHAnsi" w:hAnsiTheme="majorHAnsi"/>
                <w:sz w:val="16"/>
                <w:szCs w:val="16"/>
              </w:rPr>
            </w:pPr>
            <w:r>
              <w:rPr>
                <w:noProof/>
              </w:rPr>
              <w:drawing>
                <wp:inline distT="0" distB="0" distL="0" distR="0" wp14:anchorId="3B8EA25D" wp14:editId="69F7AE43">
                  <wp:extent cx="4446270" cy="14643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46270" cy="1464310"/>
                          </a:xfrm>
                          <a:prstGeom prst="rect">
                            <a:avLst/>
                          </a:prstGeom>
                        </pic:spPr>
                      </pic:pic>
                    </a:graphicData>
                  </a:graphic>
                </wp:inline>
              </w:drawing>
            </w:r>
          </w:p>
        </w:tc>
        <w:tc>
          <w:tcPr>
            <w:tcW w:w="4590" w:type="dxa"/>
          </w:tcPr>
          <w:p w14:paraId="221910A7" w14:textId="570CC825" w:rsidR="00766C69" w:rsidRPr="00D9079F" w:rsidRDefault="001A48A7" w:rsidP="00FC0F5A">
            <w:pPr>
              <w:ind w:right="278"/>
              <w:jc w:val="both"/>
              <w:rPr>
                <w:rFonts w:asciiTheme="majorHAnsi" w:hAnsiTheme="majorHAnsi"/>
                <w:b/>
                <w:sz w:val="16"/>
                <w:szCs w:val="16"/>
              </w:rPr>
            </w:pPr>
            <w:r>
              <w:rPr>
                <w:noProof/>
              </w:rPr>
              <w:drawing>
                <wp:inline distT="0" distB="0" distL="0" distR="0" wp14:anchorId="2067263C" wp14:editId="303289C4">
                  <wp:extent cx="2777490" cy="91059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77490" cy="910590"/>
                          </a:xfrm>
                          <a:prstGeom prst="rect">
                            <a:avLst/>
                          </a:prstGeom>
                        </pic:spPr>
                      </pic:pic>
                    </a:graphicData>
                  </a:graphic>
                </wp:inline>
              </w:drawing>
            </w:r>
            <w:r w:rsidR="00766C69" w:rsidRPr="00D9079F">
              <w:rPr>
                <w:rFonts w:asciiTheme="majorHAnsi" w:hAnsiTheme="majorHAnsi"/>
                <w:b/>
                <w:sz w:val="16"/>
                <w:szCs w:val="16"/>
              </w:rPr>
              <w:t>CSR Characteristics</w:t>
            </w:r>
          </w:p>
          <w:p w14:paraId="62EFF545" w14:textId="4539FE65" w:rsidR="00766C69" w:rsidRPr="003B46E6" w:rsidRDefault="003D0867" w:rsidP="001A48A7">
            <w:pPr>
              <w:ind w:hanging="18"/>
              <w:rPr>
                <w:rFonts w:asciiTheme="majorHAnsi" w:hAnsiTheme="majorHAnsi"/>
                <w:b/>
                <w:sz w:val="14"/>
                <w:szCs w:val="16"/>
              </w:rPr>
            </w:pPr>
            <w:r>
              <w:rPr>
                <w:noProof/>
              </w:rPr>
              <w:drawing>
                <wp:inline distT="0" distB="0" distL="0" distR="0" wp14:anchorId="41320BDB" wp14:editId="37FDB6E9">
                  <wp:extent cx="2777490" cy="815975"/>
                  <wp:effectExtent l="0" t="0" r="381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77490" cy="815975"/>
                          </a:xfrm>
                          <a:prstGeom prst="rect">
                            <a:avLst/>
                          </a:prstGeom>
                        </pic:spPr>
                      </pic:pic>
                    </a:graphicData>
                  </a:graphic>
                </wp:inline>
              </w:drawing>
            </w:r>
            <w:r w:rsidR="002B1DA1" w:rsidRPr="003B46E6">
              <w:rPr>
                <w:rFonts w:asciiTheme="majorHAnsi" w:hAnsiTheme="majorHAnsi"/>
                <w:b/>
                <w:sz w:val="14"/>
                <w:szCs w:val="18"/>
              </w:rPr>
              <w:t xml:space="preserve">Prepared by </w:t>
            </w:r>
            <w:r w:rsidR="001A48A7">
              <w:rPr>
                <w:rFonts w:asciiTheme="majorHAnsi" w:hAnsiTheme="majorHAnsi"/>
                <w:b/>
                <w:sz w:val="14"/>
                <w:szCs w:val="18"/>
              </w:rPr>
              <w:t xml:space="preserve">Edward Laclaustra </w:t>
            </w:r>
            <w:r w:rsidR="002B1DA1" w:rsidRPr="003B46E6">
              <w:rPr>
                <w:rFonts w:asciiTheme="majorHAnsi" w:hAnsiTheme="majorHAnsi"/>
                <w:b/>
                <w:sz w:val="14"/>
                <w:szCs w:val="18"/>
              </w:rPr>
              <w:t>(</w:t>
            </w:r>
            <w:r w:rsidR="001A48A7">
              <w:rPr>
                <w:rFonts w:asciiTheme="majorHAnsi" w:hAnsiTheme="majorHAnsi"/>
                <w:b/>
                <w:sz w:val="14"/>
                <w:szCs w:val="18"/>
              </w:rPr>
              <w:t>Feb 4</w:t>
            </w:r>
            <w:r w:rsidR="002B1DA1" w:rsidRPr="003B46E6">
              <w:rPr>
                <w:rFonts w:asciiTheme="majorHAnsi" w:hAnsiTheme="majorHAnsi"/>
                <w:b/>
                <w:sz w:val="14"/>
                <w:szCs w:val="18"/>
              </w:rPr>
              <w:t>, 201</w:t>
            </w:r>
            <w:r w:rsidR="00666BEF">
              <w:rPr>
                <w:rFonts w:asciiTheme="majorHAnsi" w:hAnsiTheme="majorHAnsi"/>
                <w:b/>
                <w:sz w:val="14"/>
                <w:szCs w:val="18"/>
              </w:rPr>
              <w:t>6</w:t>
            </w:r>
            <w:r w:rsidR="002B1DA1" w:rsidRPr="003B46E6">
              <w:rPr>
                <w:rFonts w:asciiTheme="majorHAnsi" w:hAnsiTheme="majorHAnsi"/>
                <w:b/>
                <w:sz w:val="14"/>
                <w:szCs w:val="18"/>
              </w:rPr>
              <w:t>) using Bloomberg, Value Line, S&amp;P Net Advantage, Morning Star, Yahoo Finance</w:t>
            </w:r>
          </w:p>
        </w:tc>
      </w:tr>
    </w:tbl>
    <w:p w14:paraId="5C1E381E" w14:textId="298219EC" w:rsidR="0027556A" w:rsidRDefault="0027556A" w:rsidP="002B1DA1">
      <w:pPr>
        <w:ind w:hanging="1440"/>
        <w:rPr>
          <w:rFonts w:asciiTheme="majorHAnsi" w:hAnsiTheme="majorHAnsi"/>
          <w:sz w:val="14"/>
          <w:szCs w:val="16"/>
        </w:rPr>
      </w:pPr>
    </w:p>
    <w:p w14:paraId="7F2933B2" w14:textId="77777777" w:rsidR="0027556A" w:rsidRDefault="0027556A">
      <w:pPr>
        <w:rPr>
          <w:rFonts w:asciiTheme="majorHAnsi" w:hAnsiTheme="majorHAnsi"/>
          <w:sz w:val="14"/>
          <w:szCs w:val="16"/>
        </w:rPr>
      </w:pPr>
      <w:r>
        <w:rPr>
          <w:rFonts w:asciiTheme="majorHAnsi" w:hAnsiTheme="majorHAnsi"/>
          <w:sz w:val="14"/>
          <w:szCs w:val="16"/>
        </w:rPr>
        <w:br w:type="page"/>
      </w:r>
    </w:p>
    <w:p w14:paraId="6B4AA3FD" w14:textId="104053C8" w:rsidR="00830F06" w:rsidRPr="00960020" w:rsidRDefault="0027556A" w:rsidP="0027556A">
      <w:pPr>
        <w:ind w:hanging="1440"/>
        <w:jc w:val="center"/>
        <w:rPr>
          <w:rFonts w:asciiTheme="majorHAnsi" w:hAnsiTheme="majorHAnsi"/>
          <w:sz w:val="14"/>
          <w:szCs w:val="16"/>
        </w:rPr>
      </w:pPr>
      <w:r>
        <w:rPr>
          <w:noProof/>
        </w:rPr>
        <w:lastRenderedPageBreak/>
        <w:drawing>
          <wp:inline distT="0" distB="0" distL="0" distR="0" wp14:anchorId="0EDAE8CA" wp14:editId="6CC63CD6">
            <wp:extent cx="5486400" cy="37687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3768725"/>
                    </a:xfrm>
                    <a:prstGeom prst="rect">
                      <a:avLst/>
                    </a:prstGeom>
                  </pic:spPr>
                </pic:pic>
              </a:graphicData>
            </a:graphic>
          </wp:inline>
        </w:drawing>
      </w:r>
    </w:p>
    <w:sectPr w:rsidR="00830F06" w:rsidRPr="00960020" w:rsidSect="00920D13">
      <w:pgSz w:w="12240" w:h="15840"/>
      <w:pgMar w:top="45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LTStd-BoldC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A2BEE"/>
    <w:multiLevelType w:val="hybridMultilevel"/>
    <w:tmpl w:val="EC263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B20D3B"/>
    <w:multiLevelType w:val="multilevel"/>
    <w:tmpl w:val="95AA19D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68127F"/>
    <w:multiLevelType w:val="hybridMultilevel"/>
    <w:tmpl w:val="7320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47A60"/>
    <w:multiLevelType w:val="hybridMultilevel"/>
    <w:tmpl w:val="EBFE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E3153C"/>
    <w:multiLevelType w:val="hybridMultilevel"/>
    <w:tmpl w:val="9ECEB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2AD4605"/>
    <w:multiLevelType w:val="hybridMultilevel"/>
    <w:tmpl w:val="12D00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494DD4"/>
    <w:multiLevelType w:val="hybridMultilevel"/>
    <w:tmpl w:val="26469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2E1D61"/>
    <w:multiLevelType w:val="hybridMultilevel"/>
    <w:tmpl w:val="7D6AA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1"/>
  </w:num>
  <w:num w:numId="4">
    <w:abstractNumId w:val="2"/>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B8"/>
    <w:rsid w:val="0000557E"/>
    <w:rsid w:val="000145A7"/>
    <w:rsid w:val="00022508"/>
    <w:rsid w:val="00026F5E"/>
    <w:rsid w:val="00034A52"/>
    <w:rsid w:val="00050679"/>
    <w:rsid w:val="00056CE9"/>
    <w:rsid w:val="00066CC4"/>
    <w:rsid w:val="00071AC8"/>
    <w:rsid w:val="00071F4F"/>
    <w:rsid w:val="00096901"/>
    <w:rsid w:val="0009757B"/>
    <w:rsid w:val="000B7D53"/>
    <w:rsid w:val="000E0407"/>
    <w:rsid w:val="000E0C3A"/>
    <w:rsid w:val="0013332F"/>
    <w:rsid w:val="001366A3"/>
    <w:rsid w:val="0014778C"/>
    <w:rsid w:val="00192B6F"/>
    <w:rsid w:val="00197A37"/>
    <w:rsid w:val="001A0951"/>
    <w:rsid w:val="001A1781"/>
    <w:rsid w:val="001A48A7"/>
    <w:rsid w:val="001A4CD7"/>
    <w:rsid w:val="001A54DB"/>
    <w:rsid w:val="001C5C89"/>
    <w:rsid w:val="001F411C"/>
    <w:rsid w:val="001F4C8C"/>
    <w:rsid w:val="0021182D"/>
    <w:rsid w:val="002231A8"/>
    <w:rsid w:val="00230BD4"/>
    <w:rsid w:val="00230BFF"/>
    <w:rsid w:val="00231ED5"/>
    <w:rsid w:val="00245DD4"/>
    <w:rsid w:val="002535D2"/>
    <w:rsid w:val="00254456"/>
    <w:rsid w:val="00256907"/>
    <w:rsid w:val="00274740"/>
    <w:rsid w:val="0027556A"/>
    <w:rsid w:val="00284A3E"/>
    <w:rsid w:val="00291662"/>
    <w:rsid w:val="0029559F"/>
    <w:rsid w:val="002B04FE"/>
    <w:rsid w:val="002B1DA1"/>
    <w:rsid w:val="002C75DD"/>
    <w:rsid w:val="002D3CFC"/>
    <w:rsid w:val="002D78A1"/>
    <w:rsid w:val="003073EA"/>
    <w:rsid w:val="003173DA"/>
    <w:rsid w:val="0033512A"/>
    <w:rsid w:val="00371C05"/>
    <w:rsid w:val="00375DB5"/>
    <w:rsid w:val="00384388"/>
    <w:rsid w:val="00392411"/>
    <w:rsid w:val="00392719"/>
    <w:rsid w:val="003B3070"/>
    <w:rsid w:val="003B46E6"/>
    <w:rsid w:val="003D0867"/>
    <w:rsid w:val="003D721D"/>
    <w:rsid w:val="003E5DB4"/>
    <w:rsid w:val="003E7CA1"/>
    <w:rsid w:val="00401063"/>
    <w:rsid w:val="00413761"/>
    <w:rsid w:val="0042162B"/>
    <w:rsid w:val="00441BA8"/>
    <w:rsid w:val="004436C7"/>
    <w:rsid w:val="00443ED9"/>
    <w:rsid w:val="00455F5A"/>
    <w:rsid w:val="00462682"/>
    <w:rsid w:val="00491B06"/>
    <w:rsid w:val="004A62E8"/>
    <w:rsid w:val="004D2D8B"/>
    <w:rsid w:val="004D3729"/>
    <w:rsid w:val="004E6DB4"/>
    <w:rsid w:val="004F0571"/>
    <w:rsid w:val="004F2EAA"/>
    <w:rsid w:val="004F5B56"/>
    <w:rsid w:val="0050052A"/>
    <w:rsid w:val="0051170E"/>
    <w:rsid w:val="00512F91"/>
    <w:rsid w:val="00547B13"/>
    <w:rsid w:val="0056019E"/>
    <w:rsid w:val="00575123"/>
    <w:rsid w:val="00581B35"/>
    <w:rsid w:val="00585C89"/>
    <w:rsid w:val="0059647E"/>
    <w:rsid w:val="005E114B"/>
    <w:rsid w:val="0060598F"/>
    <w:rsid w:val="00630E4C"/>
    <w:rsid w:val="00664D64"/>
    <w:rsid w:val="00666BEF"/>
    <w:rsid w:val="006704F5"/>
    <w:rsid w:val="00674795"/>
    <w:rsid w:val="00676C67"/>
    <w:rsid w:val="00690115"/>
    <w:rsid w:val="006953F0"/>
    <w:rsid w:val="006A07A0"/>
    <w:rsid w:val="006A37B5"/>
    <w:rsid w:val="006A61A4"/>
    <w:rsid w:val="006C1408"/>
    <w:rsid w:val="006E2939"/>
    <w:rsid w:val="006E44B8"/>
    <w:rsid w:val="006E5EA1"/>
    <w:rsid w:val="00706035"/>
    <w:rsid w:val="00743904"/>
    <w:rsid w:val="0076327C"/>
    <w:rsid w:val="00766C69"/>
    <w:rsid w:val="00767EA9"/>
    <w:rsid w:val="00770F8B"/>
    <w:rsid w:val="00772B0A"/>
    <w:rsid w:val="00796063"/>
    <w:rsid w:val="007A040E"/>
    <w:rsid w:val="007B1B21"/>
    <w:rsid w:val="007B2A6D"/>
    <w:rsid w:val="007B6409"/>
    <w:rsid w:val="007C5299"/>
    <w:rsid w:val="007E1D8C"/>
    <w:rsid w:val="007F4659"/>
    <w:rsid w:val="00803484"/>
    <w:rsid w:val="00804E00"/>
    <w:rsid w:val="00815FF3"/>
    <w:rsid w:val="00830F06"/>
    <w:rsid w:val="008318A9"/>
    <w:rsid w:val="00832142"/>
    <w:rsid w:val="00835134"/>
    <w:rsid w:val="00846714"/>
    <w:rsid w:val="00852DFB"/>
    <w:rsid w:val="00857BC1"/>
    <w:rsid w:val="00874223"/>
    <w:rsid w:val="00875430"/>
    <w:rsid w:val="00876232"/>
    <w:rsid w:val="008B72AE"/>
    <w:rsid w:val="008C630B"/>
    <w:rsid w:val="008C7FEA"/>
    <w:rsid w:val="008D49EF"/>
    <w:rsid w:val="00900789"/>
    <w:rsid w:val="009007A6"/>
    <w:rsid w:val="00911AF8"/>
    <w:rsid w:val="00915605"/>
    <w:rsid w:val="00920D13"/>
    <w:rsid w:val="00923CAB"/>
    <w:rsid w:val="00925975"/>
    <w:rsid w:val="00934A2F"/>
    <w:rsid w:val="00951D7A"/>
    <w:rsid w:val="00960020"/>
    <w:rsid w:val="009B1413"/>
    <w:rsid w:val="009B48B9"/>
    <w:rsid w:val="009B5E2E"/>
    <w:rsid w:val="009C2716"/>
    <w:rsid w:val="009C57C6"/>
    <w:rsid w:val="009D5A45"/>
    <w:rsid w:val="009D7A72"/>
    <w:rsid w:val="009F0D12"/>
    <w:rsid w:val="009F2E51"/>
    <w:rsid w:val="00A21885"/>
    <w:rsid w:val="00A30926"/>
    <w:rsid w:val="00A5442D"/>
    <w:rsid w:val="00A56542"/>
    <w:rsid w:val="00A603A6"/>
    <w:rsid w:val="00A63E9D"/>
    <w:rsid w:val="00A8460D"/>
    <w:rsid w:val="00A85575"/>
    <w:rsid w:val="00AA0C48"/>
    <w:rsid w:val="00AA5ED5"/>
    <w:rsid w:val="00AB003F"/>
    <w:rsid w:val="00AC6A2C"/>
    <w:rsid w:val="00AF471E"/>
    <w:rsid w:val="00B14721"/>
    <w:rsid w:val="00B22327"/>
    <w:rsid w:val="00B22694"/>
    <w:rsid w:val="00B502EC"/>
    <w:rsid w:val="00B7642F"/>
    <w:rsid w:val="00B94DBA"/>
    <w:rsid w:val="00BA6F89"/>
    <w:rsid w:val="00BB0C4E"/>
    <w:rsid w:val="00BB0E38"/>
    <w:rsid w:val="00BB3908"/>
    <w:rsid w:val="00BB543E"/>
    <w:rsid w:val="00BB61F8"/>
    <w:rsid w:val="00BC5E50"/>
    <w:rsid w:val="00BE6512"/>
    <w:rsid w:val="00BF2DE5"/>
    <w:rsid w:val="00C15E83"/>
    <w:rsid w:val="00C161B3"/>
    <w:rsid w:val="00C2195E"/>
    <w:rsid w:val="00C352F3"/>
    <w:rsid w:val="00C37AB2"/>
    <w:rsid w:val="00C441B3"/>
    <w:rsid w:val="00C4755F"/>
    <w:rsid w:val="00C8095F"/>
    <w:rsid w:val="00C8649B"/>
    <w:rsid w:val="00C9117C"/>
    <w:rsid w:val="00CC03B8"/>
    <w:rsid w:val="00CC5418"/>
    <w:rsid w:val="00CE09D2"/>
    <w:rsid w:val="00CE4435"/>
    <w:rsid w:val="00CE6C01"/>
    <w:rsid w:val="00CF27D4"/>
    <w:rsid w:val="00CF2F28"/>
    <w:rsid w:val="00D03496"/>
    <w:rsid w:val="00D16B81"/>
    <w:rsid w:val="00D363A8"/>
    <w:rsid w:val="00D50F9B"/>
    <w:rsid w:val="00D570FE"/>
    <w:rsid w:val="00D636EF"/>
    <w:rsid w:val="00D672EC"/>
    <w:rsid w:val="00D9079F"/>
    <w:rsid w:val="00D92C96"/>
    <w:rsid w:val="00DA56AC"/>
    <w:rsid w:val="00DB5A10"/>
    <w:rsid w:val="00DD2BB1"/>
    <w:rsid w:val="00E14AC6"/>
    <w:rsid w:val="00E20C55"/>
    <w:rsid w:val="00E349B1"/>
    <w:rsid w:val="00E3542E"/>
    <w:rsid w:val="00E42CC2"/>
    <w:rsid w:val="00E51FAC"/>
    <w:rsid w:val="00E5675C"/>
    <w:rsid w:val="00E60A49"/>
    <w:rsid w:val="00E8555E"/>
    <w:rsid w:val="00E9081A"/>
    <w:rsid w:val="00E90970"/>
    <w:rsid w:val="00E916A2"/>
    <w:rsid w:val="00E96739"/>
    <w:rsid w:val="00EA31B0"/>
    <w:rsid w:val="00EA5213"/>
    <w:rsid w:val="00EC2755"/>
    <w:rsid w:val="00EC75B4"/>
    <w:rsid w:val="00ED6EC7"/>
    <w:rsid w:val="00F008CC"/>
    <w:rsid w:val="00F04E1E"/>
    <w:rsid w:val="00F130CB"/>
    <w:rsid w:val="00F224A9"/>
    <w:rsid w:val="00F5552B"/>
    <w:rsid w:val="00F56067"/>
    <w:rsid w:val="00F65A7F"/>
    <w:rsid w:val="00F77D0C"/>
    <w:rsid w:val="00F856C9"/>
    <w:rsid w:val="00F90D77"/>
    <w:rsid w:val="00F92EDE"/>
    <w:rsid w:val="00F96F5E"/>
    <w:rsid w:val="00FB4741"/>
    <w:rsid w:val="00FC0F5A"/>
    <w:rsid w:val="00FC20D0"/>
    <w:rsid w:val="00FC33EF"/>
    <w:rsid w:val="00FC4084"/>
    <w:rsid w:val="00FD0265"/>
    <w:rsid w:val="00FD34FE"/>
    <w:rsid w:val="00FF2C25"/>
    <w:rsid w:val="00FF7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A890F"/>
  <w14:defaultImageDpi w14:val="300"/>
  <w15:docId w15:val="{4C6A44EC-7D4C-4A6A-B9CE-2F49C8B3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6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409"/>
    <w:rPr>
      <w:rFonts w:ascii="Lucida Grande" w:hAnsi="Lucida Grande" w:cs="Lucida Grande"/>
      <w:sz w:val="18"/>
      <w:szCs w:val="18"/>
    </w:rPr>
  </w:style>
  <w:style w:type="paragraph" w:styleId="ListParagraph">
    <w:name w:val="List Paragraph"/>
    <w:basedOn w:val="Normal"/>
    <w:uiPriority w:val="34"/>
    <w:qFormat/>
    <w:rsid w:val="001F4C8C"/>
    <w:pPr>
      <w:ind w:left="720"/>
      <w:contextualSpacing/>
    </w:pPr>
  </w:style>
  <w:style w:type="character" w:customStyle="1" w:styleId="apple-converted-space">
    <w:name w:val="apple-converted-space"/>
    <w:basedOn w:val="DefaultParagraphFont"/>
    <w:rsid w:val="00743904"/>
  </w:style>
  <w:style w:type="character" w:styleId="Emphasis">
    <w:name w:val="Emphasis"/>
    <w:basedOn w:val="DefaultParagraphFont"/>
    <w:uiPriority w:val="20"/>
    <w:qFormat/>
    <w:rsid w:val="000B7D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53472">
      <w:bodyDiv w:val="1"/>
      <w:marLeft w:val="0"/>
      <w:marRight w:val="0"/>
      <w:marTop w:val="0"/>
      <w:marBottom w:val="0"/>
      <w:divBdr>
        <w:top w:val="none" w:sz="0" w:space="0" w:color="auto"/>
        <w:left w:val="none" w:sz="0" w:space="0" w:color="auto"/>
        <w:bottom w:val="none" w:sz="0" w:space="0" w:color="auto"/>
        <w:right w:val="none" w:sz="0" w:space="0" w:color="auto"/>
      </w:divBdr>
    </w:div>
    <w:div w:id="838890140">
      <w:bodyDiv w:val="1"/>
      <w:marLeft w:val="0"/>
      <w:marRight w:val="0"/>
      <w:marTop w:val="0"/>
      <w:marBottom w:val="0"/>
      <w:divBdr>
        <w:top w:val="none" w:sz="0" w:space="0" w:color="auto"/>
        <w:left w:val="none" w:sz="0" w:space="0" w:color="auto"/>
        <w:bottom w:val="none" w:sz="0" w:space="0" w:color="auto"/>
        <w:right w:val="none" w:sz="0" w:space="0" w:color="auto"/>
      </w:divBdr>
    </w:div>
    <w:div w:id="1093937758">
      <w:bodyDiv w:val="1"/>
      <w:marLeft w:val="0"/>
      <w:marRight w:val="0"/>
      <w:marTop w:val="0"/>
      <w:marBottom w:val="0"/>
      <w:divBdr>
        <w:top w:val="none" w:sz="0" w:space="0" w:color="auto"/>
        <w:left w:val="none" w:sz="0" w:space="0" w:color="auto"/>
        <w:bottom w:val="none" w:sz="0" w:space="0" w:color="auto"/>
        <w:right w:val="none" w:sz="0" w:space="0" w:color="auto"/>
      </w:divBdr>
    </w:div>
    <w:div w:id="1367943900">
      <w:bodyDiv w:val="1"/>
      <w:marLeft w:val="0"/>
      <w:marRight w:val="0"/>
      <w:marTop w:val="0"/>
      <w:marBottom w:val="0"/>
      <w:divBdr>
        <w:top w:val="none" w:sz="0" w:space="0" w:color="auto"/>
        <w:left w:val="none" w:sz="0" w:space="0" w:color="auto"/>
        <w:bottom w:val="none" w:sz="0" w:space="0" w:color="auto"/>
        <w:right w:val="none" w:sz="0" w:space="0" w:color="auto"/>
      </w:divBdr>
    </w:div>
    <w:div w:id="1478259102">
      <w:bodyDiv w:val="1"/>
      <w:marLeft w:val="0"/>
      <w:marRight w:val="0"/>
      <w:marTop w:val="0"/>
      <w:marBottom w:val="0"/>
      <w:divBdr>
        <w:top w:val="none" w:sz="0" w:space="0" w:color="auto"/>
        <w:left w:val="none" w:sz="0" w:space="0" w:color="auto"/>
        <w:bottom w:val="none" w:sz="0" w:space="0" w:color="auto"/>
        <w:right w:val="none" w:sz="0" w:space="0" w:color="auto"/>
      </w:divBdr>
    </w:div>
    <w:div w:id="1689142757">
      <w:bodyDiv w:val="1"/>
      <w:marLeft w:val="0"/>
      <w:marRight w:val="0"/>
      <w:marTop w:val="0"/>
      <w:marBottom w:val="0"/>
      <w:divBdr>
        <w:top w:val="none" w:sz="0" w:space="0" w:color="auto"/>
        <w:left w:val="none" w:sz="0" w:space="0" w:color="auto"/>
        <w:bottom w:val="none" w:sz="0" w:space="0" w:color="auto"/>
        <w:right w:val="none" w:sz="0" w:space="0" w:color="auto"/>
      </w:divBdr>
    </w:div>
    <w:div w:id="1720936002">
      <w:bodyDiv w:val="1"/>
      <w:marLeft w:val="0"/>
      <w:marRight w:val="0"/>
      <w:marTop w:val="0"/>
      <w:marBottom w:val="0"/>
      <w:divBdr>
        <w:top w:val="none" w:sz="0" w:space="0" w:color="auto"/>
        <w:left w:val="none" w:sz="0" w:space="0" w:color="auto"/>
        <w:bottom w:val="none" w:sz="0" w:space="0" w:color="auto"/>
        <w:right w:val="none" w:sz="0" w:space="0" w:color="auto"/>
      </w:divBdr>
    </w:div>
    <w:div w:id="1879050426">
      <w:bodyDiv w:val="1"/>
      <w:marLeft w:val="0"/>
      <w:marRight w:val="0"/>
      <w:marTop w:val="0"/>
      <w:marBottom w:val="0"/>
      <w:divBdr>
        <w:top w:val="none" w:sz="0" w:space="0" w:color="auto"/>
        <w:left w:val="none" w:sz="0" w:space="0" w:color="auto"/>
        <w:bottom w:val="none" w:sz="0" w:space="0" w:color="auto"/>
        <w:right w:val="none" w:sz="0" w:space="0" w:color="auto"/>
      </w:divBdr>
    </w:div>
    <w:div w:id="1896551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2FB5D-DFF3-457F-BD96-518286F32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KBRA</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Harris</dc:creator>
  <cp:lastModifiedBy>Edward Laclaustra</cp:lastModifiedBy>
  <cp:revision>4</cp:revision>
  <cp:lastPrinted>2016-02-03T00:26:00Z</cp:lastPrinted>
  <dcterms:created xsi:type="dcterms:W3CDTF">2016-02-04T20:28:00Z</dcterms:created>
  <dcterms:modified xsi:type="dcterms:W3CDTF">2016-02-04T21:22:00Z</dcterms:modified>
</cp:coreProperties>
</file>