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005"/>
        <w:gridCol w:w="3397"/>
        <w:gridCol w:w="1984"/>
        <w:gridCol w:w="3314"/>
      </w:tblGrid>
      <w:tr w:rsidR="00E8555E" w:rsidRPr="00E5675C" w14:paraId="3AA29E37" w14:textId="77777777" w:rsidTr="00D8492B">
        <w:trPr>
          <w:trHeight w:val="80"/>
        </w:trPr>
        <w:tc>
          <w:tcPr>
            <w:tcW w:w="3005" w:type="dxa"/>
            <w:shd w:val="clear" w:color="auto" w:fill="365F91" w:themeFill="accent1" w:themeFillShade="BF"/>
          </w:tcPr>
          <w:p w14:paraId="2E49CA38" w14:textId="4D39C9C5" w:rsidR="00E8555E" w:rsidRPr="00E8555E" w:rsidRDefault="00E8555E" w:rsidP="00E8555E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E8555E">
              <w:rPr>
                <w:b/>
                <w:color w:val="FFFFFF" w:themeColor="background1"/>
                <w:sz w:val="16"/>
                <w:szCs w:val="16"/>
              </w:rPr>
              <w:t xml:space="preserve">Company: </w:t>
            </w:r>
            <w:r w:rsidR="0010720B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8492B">
              <w:rPr>
                <w:b/>
                <w:color w:val="FFFFFF" w:themeColor="background1"/>
                <w:sz w:val="16"/>
                <w:szCs w:val="16"/>
              </w:rPr>
              <w:t>Marathon Petroleum</w:t>
            </w:r>
          </w:p>
        </w:tc>
        <w:tc>
          <w:tcPr>
            <w:tcW w:w="3397" w:type="dxa"/>
            <w:shd w:val="clear" w:color="auto" w:fill="365F91" w:themeFill="accent1" w:themeFillShade="BF"/>
          </w:tcPr>
          <w:p w14:paraId="5FDF97F0" w14:textId="7B1E787F" w:rsidR="00E8555E" w:rsidRPr="00E8555E" w:rsidRDefault="00E8555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Ticker:  </w:t>
            </w:r>
            <w:r w:rsidR="00D8492B">
              <w:rPr>
                <w:color w:val="FFFFFF" w:themeColor="background1"/>
                <w:sz w:val="16"/>
                <w:szCs w:val="16"/>
              </w:rPr>
              <w:t>MPC</w:t>
            </w:r>
            <w:r w:rsidR="00EB7E76">
              <w:rPr>
                <w:color w:val="FFFFFF" w:themeColor="background1"/>
                <w:sz w:val="16"/>
                <w:szCs w:val="16"/>
              </w:rPr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t xml:space="preserve">   Current Price:</w:t>
            </w:r>
            <w:r w:rsidR="00D8492B">
              <w:rPr>
                <w:color w:val="FFFFFF" w:themeColor="background1"/>
                <w:sz w:val="16"/>
                <w:szCs w:val="16"/>
              </w:rPr>
              <w:t xml:space="preserve"> $54.93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1FD4CAF9" w14:textId="123EC0DA" w:rsidR="00E8555E" w:rsidRPr="00E8555E" w:rsidRDefault="00E8555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Industry:</w:t>
            </w:r>
            <w:r w:rsidR="00D8492B">
              <w:rPr>
                <w:color w:val="FFFFFF" w:themeColor="background1"/>
                <w:sz w:val="16"/>
                <w:szCs w:val="16"/>
              </w:rPr>
              <w:t xml:space="preserve"> Energy</w:t>
            </w:r>
          </w:p>
        </w:tc>
        <w:tc>
          <w:tcPr>
            <w:tcW w:w="3314" w:type="dxa"/>
            <w:shd w:val="clear" w:color="auto" w:fill="365F91" w:themeFill="accent1" w:themeFillShade="BF"/>
          </w:tcPr>
          <w:p w14:paraId="417B84CE" w14:textId="5E4BCC47" w:rsidR="00E8555E" w:rsidRPr="00E8555E" w:rsidRDefault="00E8555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Sub Industry: </w:t>
            </w:r>
            <w:r w:rsidR="00D8492B" w:rsidRPr="00D8492B">
              <w:rPr>
                <w:color w:val="FFFFFF" w:themeColor="background1"/>
                <w:sz w:val="16"/>
                <w:szCs w:val="16"/>
              </w:rPr>
              <w:t xml:space="preserve">Oil &amp; Gas Refining &amp; Marketing </w:t>
            </w:r>
          </w:p>
        </w:tc>
      </w:tr>
      <w:tr w:rsidR="006E44B8" w:rsidRPr="00E5675C" w14:paraId="185E94E4" w14:textId="77777777" w:rsidTr="00D8492B">
        <w:trPr>
          <w:trHeight w:val="512"/>
        </w:trPr>
        <w:tc>
          <w:tcPr>
            <w:tcW w:w="3005" w:type="dxa"/>
          </w:tcPr>
          <w:p w14:paraId="159CAB82" w14:textId="0AC21B8D" w:rsidR="00E8555E" w:rsidRDefault="00E8555E" w:rsidP="00E85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Price</w:t>
            </w:r>
            <w:r w:rsidR="00C161B3">
              <w:rPr>
                <w:sz w:val="16"/>
                <w:szCs w:val="16"/>
              </w:rPr>
              <w:t>:</w:t>
            </w:r>
            <w:r w:rsidR="00D8492B">
              <w:rPr>
                <w:sz w:val="16"/>
                <w:szCs w:val="16"/>
              </w:rPr>
              <w:t xml:space="preserve"> $</w:t>
            </w:r>
            <w:r w:rsidR="00500BAE">
              <w:rPr>
                <w:sz w:val="16"/>
                <w:szCs w:val="16"/>
              </w:rPr>
              <w:t>65</w:t>
            </w:r>
          </w:p>
          <w:p w14:paraId="366C508D" w14:textId="304AF449" w:rsidR="00E8555E" w:rsidRPr="00E5675C" w:rsidRDefault="00C161B3" w:rsidP="00E85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Stop Loss:</w:t>
            </w:r>
            <w:r w:rsidR="00D8492B">
              <w:rPr>
                <w:sz w:val="16"/>
                <w:szCs w:val="16"/>
              </w:rPr>
              <w:t xml:space="preserve"> $43.94</w:t>
            </w:r>
          </w:p>
          <w:p w14:paraId="7E50A51D" w14:textId="58CBA933" w:rsidR="006E44B8" w:rsidRPr="00E5675C" w:rsidRDefault="00E8555E" w:rsidP="00E85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 Week High/ Low: </w:t>
            </w:r>
            <w:r w:rsidR="00D8492B">
              <w:rPr>
                <w:sz w:val="16"/>
                <w:szCs w:val="16"/>
              </w:rPr>
              <w:t>$37.62-60.38</w:t>
            </w:r>
          </w:p>
        </w:tc>
        <w:tc>
          <w:tcPr>
            <w:tcW w:w="3397" w:type="dxa"/>
          </w:tcPr>
          <w:p w14:paraId="461A4200" w14:textId="2B99488F" w:rsidR="00E8555E" w:rsidRDefault="00E8555E" w:rsidP="00E85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TTM P/E: </w:t>
            </w:r>
            <w:r w:rsidR="00D8492B">
              <w:rPr>
                <w:sz w:val="16"/>
                <w:szCs w:val="16"/>
              </w:rPr>
              <w:t>9.56</w:t>
            </w:r>
          </w:p>
          <w:p w14:paraId="7862C274" w14:textId="487088D1" w:rsidR="00E8555E" w:rsidRPr="00FC20D0" w:rsidRDefault="00E8555E" w:rsidP="00E8555E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Forward P/E: </w:t>
            </w:r>
            <w:r w:rsidR="00D8492B">
              <w:rPr>
                <w:sz w:val="16"/>
                <w:szCs w:val="16"/>
              </w:rPr>
              <w:t>9.05</w:t>
            </w:r>
          </w:p>
          <w:p w14:paraId="5AA3FEF7" w14:textId="1E84DBE6" w:rsidR="006E44B8" w:rsidRPr="00E5675C" w:rsidRDefault="00E8555E" w:rsidP="00E8555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EPS: </w:t>
            </w:r>
            <w:r w:rsidR="00D8492B">
              <w:rPr>
                <w:sz w:val="16"/>
                <w:szCs w:val="16"/>
              </w:rPr>
              <w:t>$5.89</w:t>
            </w:r>
          </w:p>
        </w:tc>
        <w:tc>
          <w:tcPr>
            <w:tcW w:w="1984" w:type="dxa"/>
          </w:tcPr>
          <w:p w14:paraId="25238E11" w14:textId="285A44B3" w:rsidR="00E8555E" w:rsidRDefault="00923CAB" w:rsidP="00E8555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Beta: </w:t>
            </w:r>
            <w:r w:rsidR="00401E94">
              <w:rPr>
                <w:sz w:val="16"/>
                <w:szCs w:val="16"/>
              </w:rPr>
              <w:t>1.</w:t>
            </w:r>
            <w:r w:rsidR="00D8492B">
              <w:rPr>
                <w:rFonts w:hint="eastAsia"/>
                <w:sz w:val="16"/>
                <w:szCs w:val="16"/>
                <w:lang w:eastAsia="zh-CN"/>
              </w:rPr>
              <w:t>31</w:t>
            </w:r>
          </w:p>
          <w:p w14:paraId="61C6D51C" w14:textId="7601505F" w:rsidR="00A30926" w:rsidRDefault="00E8555E" w:rsidP="00E85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 Rating:</w:t>
            </w:r>
            <w:r w:rsidR="00EB7E76">
              <w:rPr>
                <w:sz w:val="16"/>
                <w:szCs w:val="16"/>
              </w:rPr>
              <w:t xml:space="preserve"> </w:t>
            </w:r>
            <w:r w:rsidR="00D8492B">
              <w:rPr>
                <w:sz w:val="16"/>
                <w:szCs w:val="16"/>
              </w:rPr>
              <w:t>BBB</w:t>
            </w:r>
          </w:p>
          <w:p w14:paraId="5BFE3D7B" w14:textId="740178FC" w:rsidR="003073EA" w:rsidRPr="00E5675C" w:rsidRDefault="003073EA" w:rsidP="00E85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Rating Outlook: </w:t>
            </w:r>
            <w:r w:rsidR="00D8492B">
              <w:rPr>
                <w:sz w:val="16"/>
                <w:szCs w:val="16"/>
              </w:rPr>
              <w:t>STABLE</w:t>
            </w:r>
          </w:p>
        </w:tc>
        <w:tc>
          <w:tcPr>
            <w:tcW w:w="3314" w:type="dxa"/>
          </w:tcPr>
          <w:p w14:paraId="438980BC" w14:textId="661FB0C6" w:rsidR="006E44B8" w:rsidRDefault="00133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Market Cap: </w:t>
            </w:r>
            <w:r w:rsidR="00D8492B">
              <w:rPr>
                <w:sz w:val="16"/>
                <w:szCs w:val="16"/>
              </w:rPr>
              <w:t>$29.26</w:t>
            </w:r>
            <w:r w:rsidR="00F56E16">
              <w:rPr>
                <w:sz w:val="16"/>
                <w:szCs w:val="16"/>
              </w:rPr>
              <w:t>(B)</w:t>
            </w:r>
          </w:p>
          <w:p w14:paraId="37B82920" w14:textId="542C32A3" w:rsidR="00C441B3" w:rsidRPr="00501519" w:rsidRDefault="0050151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01519">
              <w:rPr>
                <w:rFonts w:asciiTheme="majorHAnsi" w:hAnsiTheme="majorHAnsi" w:cs="UniversLTStd-BoldCn"/>
                <w:bCs/>
                <w:sz w:val="16"/>
                <w:szCs w:val="16"/>
              </w:rPr>
              <w:t>Avg</w:t>
            </w:r>
            <w:proofErr w:type="spellEnd"/>
            <w:r w:rsidRPr="00501519"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</w:t>
            </w:r>
            <w:proofErr w:type="spellStart"/>
            <w:r w:rsidRPr="00501519">
              <w:rPr>
                <w:rFonts w:asciiTheme="majorHAnsi" w:hAnsiTheme="majorHAnsi" w:cs="UniversLTStd-BoldCn"/>
                <w:bCs/>
                <w:sz w:val="16"/>
                <w:szCs w:val="16"/>
              </w:rPr>
              <w:t>Vol</w:t>
            </w:r>
            <w:proofErr w:type="spellEnd"/>
            <w:r w:rsidRPr="00501519"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(</w:t>
            </w:r>
            <w:r w:rsidR="00C441B3" w:rsidRPr="00501519">
              <w:rPr>
                <w:rFonts w:asciiTheme="majorHAnsi" w:hAnsiTheme="majorHAnsi" w:cs="UniversLTStd-BoldCn"/>
                <w:bCs/>
                <w:sz w:val="16"/>
                <w:szCs w:val="16"/>
              </w:rPr>
              <w:t>12 M</w:t>
            </w:r>
            <w:r w:rsidRPr="00501519">
              <w:rPr>
                <w:rFonts w:asciiTheme="majorHAnsi" w:hAnsiTheme="majorHAnsi" w:cs="UniversLTStd-BoldCn"/>
                <w:bCs/>
                <w:sz w:val="16"/>
                <w:szCs w:val="16"/>
              </w:rPr>
              <w:t>onth</w:t>
            </w:r>
            <w:r w:rsidR="00C441B3" w:rsidRPr="00501519">
              <w:rPr>
                <w:rFonts w:asciiTheme="majorHAnsi" w:hAnsiTheme="majorHAnsi" w:cs="UniversLTStd-BoldCn"/>
                <w:bCs/>
                <w:sz w:val="16"/>
                <w:szCs w:val="16"/>
              </w:rPr>
              <w:t>)</w:t>
            </w:r>
            <w:r w:rsidR="00BF2DE5" w:rsidRPr="00501519">
              <w:rPr>
                <w:rFonts w:asciiTheme="majorHAnsi" w:hAnsiTheme="majorHAnsi" w:cs="UniversLTStd-BoldCn"/>
                <w:bCs/>
                <w:sz w:val="16"/>
                <w:szCs w:val="16"/>
              </w:rPr>
              <w:t>:</w:t>
            </w:r>
            <w:r w:rsidR="00F56E16"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</w:t>
            </w:r>
            <w:r w:rsidR="000F122E"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5.1</w:t>
            </w:r>
            <w:r w:rsidR="00AB159E"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mil</w:t>
            </w:r>
          </w:p>
          <w:p w14:paraId="0D1C791A" w14:textId="70B926BA" w:rsidR="00E5675C" w:rsidRPr="00E5675C" w:rsidRDefault="00E5675C" w:rsidP="00BF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Dividend Yield: </w:t>
            </w:r>
            <w:r w:rsidR="00D8492B">
              <w:rPr>
                <w:sz w:val="16"/>
                <w:szCs w:val="16"/>
              </w:rPr>
              <w:t>2.9%</w:t>
            </w:r>
          </w:p>
        </w:tc>
      </w:tr>
    </w:tbl>
    <w:p w14:paraId="4F402887" w14:textId="77777777" w:rsidR="00443ED9" w:rsidRDefault="00443ED9" w:rsidP="005E114B">
      <w:pPr>
        <w:rPr>
          <w:sz w:val="16"/>
          <w:szCs w:val="16"/>
        </w:rPr>
      </w:pPr>
    </w:p>
    <w:tbl>
      <w:tblPr>
        <w:tblStyle w:val="TableGrid"/>
        <w:tblW w:w="11700" w:type="dxa"/>
        <w:tblInd w:w="-1332" w:type="dxa"/>
        <w:tblLook w:val="04A0" w:firstRow="1" w:lastRow="0" w:firstColumn="1" w:lastColumn="0" w:noHBand="0" w:noVBand="1"/>
      </w:tblPr>
      <w:tblGrid>
        <w:gridCol w:w="11700"/>
      </w:tblGrid>
      <w:tr w:rsidR="00DB5A10" w14:paraId="311194DC" w14:textId="77777777" w:rsidTr="00DB5A10">
        <w:trPr>
          <w:trHeight w:val="197"/>
        </w:trPr>
        <w:tc>
          <w:tcPr>
            <w:tcW w:w="11700" w:type="dxa"/>
            <w:shd w:val="clear" w:color="auto" w:fill="365F91" w:themeFill="accent1" w:themeFillShade="BF"/>
          </w:tcPr>
          <w:p w14:paraId="14342F91" w14:textId="5A8BBA7A" w:rsidR="00DB5A10" w:rsidRPr="00DB5A10" w:rsidRDefault="00DB5A10" w:rsidP="00DB5A10">
            <w:pPr>
              <w:tabs>
                <w:tab w:val="left" w:pos="3690"/>
              </w:tabs>
              <w:jc w:val="both"/>
              <w:rPr>
                <w:color w:val="FFFFFF" w:themeColor="background1"/>
                <w:sz w:val="16"/>
                <w:szCs w:val="16"/>
              </w:rPr>
            </w:pPr>
            <w:r w:rsidRPr="00DB5A10">
              <w:rPr>
                <w:b/>
                <w:color w:val="FFFFFF" w:themeColor="background1"/>
                <w:sz w:val="16"/>
                <w:szCs w:val="16"/>
              </w:rPr>
              <w:t xml:space="preserve">Company Background:  </w:t>
            </w:r>
            <w:r w:rsidRPr="00DB5A10">
              <w:rPr>
                <w:b/>
                <w:color w:val="FFFFFF" w:themeColor="background1"/>
                <w:sz w:val="16"/>
                <w:szCs w:val="16"/>
              </w:rPr>
              <w:tab/>
            </w:r>
          </w:p>
        </w:tc>
      </w:tr>
      <w:tr w:rsidR="00DB5A10" w14:paraId="325C88BE" w14:textId="77777777" w:rsidTr="00DB5A10">
        <w:tc>
          <w:tcPr>
            <w:tcW w:w="11700" w:type="dxa"/>
          </w:tcPr>
          <w:p w14:paraId="6DA30C88" w14:textId="77777777" w:rsidR="00D04F99" w:rsidRDefault="00D04F99" w:rsidP="005E114B">
            <w:pPr>
              <w:rPr>
                <w:sz w:val="16"/>
                <w:szCs w:val="16"/>
              </w:rPr>
            </w:pPr>
          </w:p>
          <w:p w14:paraId="7E12CC32" w14:textId="170AF90C" w:rsidR="00DB5A10" w:rsidRDefault="00E6009F" w:rsidP="009F0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Marathon Petroleum</w:t>
            </w:r>
            <w:r w:rsidR="009F0830" w:rsidRPr="009F0830">
              <w:rPr>
                <w:sz w:val="16"/>
                <w:szCs w:val="16"/>
              </w:rPr>
              <w:t xml:space="preserve"> is the nation's fourth largest refiner, with a crude oil refining capacity of 1.7 million barrels daily in its seven refinery system</w:t>
            </w:r>
            <w:r w:rsidR="00B76988">
              <w:rPr>
                <w:sz w:val="16"/>
                <w:szCs w:val="16"/>
              </w:rPr>
              <w:t>s</w:t>
            </w:r>
            <w:r w:rsidR="009F0830" w:rsidRPr="009F083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Its </w:t>
            </w:r>
            <w:r w:rsidRPr="00E6009F">
              <w:rPr>
                <w:sz w:val="16"/>
                <w:szCs w:val="16"/>
              </w:rPr>
              <w:t>operations consist of three segments: Refining &amp; Marketing; Speedway</w:t>
            </w:r>
            <w:proofErr w:type="gramStart"/>
            <w:r w:rsidRPr="00E6009F">
              <w:rPr>
                <w:sz w:val="16"/>
                <w:szCs w:val="16"/>
              </w:rPr>
              <w:t>;</w:t>
            </w:r>
            <w:proofErr w:type="gramEnd"/>
            <w:r w:rsidRPr="00E6009F">
              <w:rPr>
                <w:sz w:val="16"/>
                <w:szCs w:val="16"/>
              </w:rPr>
              <w:t xml:space="preserve"> and Pipeline Transportation.</w:t>
            </w:r>
            <w:r>
              <w:rPr>
                <w:sz w:val="16"/>
                <w:szCs w:val="16"/>
              </w:rPr>
              <w:t xml:space="preserve"> It o</w:t>
            </w:r>
            <w:r w:rsidR="009F0830" w:rsidRPr="009F0830">
              <w:rPr>
                <w:sz w:val="16"/>
                <w:szCs w:val="16"/>
              </w:rPr>
              <w:t>perates 2,746 Speedway stations in 22 states and sells Marathon branded gasoline at 5,455 independ</w:t>
            </w:r>
            <w:r w:rsidR="00386A22">
              <w:rPr>
                <w:sz w:val="16"/>
                <w:szCs w:val="16"/>
              </w:rPr>
              <w:t xml:space="preserve">ent stations in 19 states. Also </w:t>
            </w:r>
            <w:proofErr w:type="gramStart"/>
            <w:r w:rsidR="009F0830" w:rsidRPr="009F0830">
              <w:rPr>
                <w:sz w:val="16"/>
                <w:szCs w:val="16"/>
              </w:rPr>
              <w:t>has interests</w:t>
            </w:r>
            <w:proofErr w:type="gramEnd"/>
            <w:r w:rsidR="009F0830" w:rsidRPr="009F0830">
              <w:rPr>
                <w:sz w:val="16"/>
                <w:szCs w:val="16"/>
              </w:rPr>
              <w:t xml:space="preserve"> in 8,300 miles of pipelines and in ethanol manufacturing. Owns 73.6% of MPLX LP.</w:t>
            </w:r>
          </w:p>
          <w:p w14:paraId="0A8884D5" w14:textId="509D6924" w:rsidR="009F0830" w:rsidRDefault="009F0830" w:rsidP="009F0830">
            <w:pPr>
              <w:rPr>
                <w:sz w:val="16"/>
                <w:szCs w:val="16"/>
              </w:rPr>
            </w:pPr>
          </w:p>
        </w:tc>
      </w:tr>
      <w:tr w:rsidR="00274740" w14:paraId="4EB61633" w14:textId="77777777" w:rsidTr="00274740">
        <w:tc>
          <w:tcPr>
            <w:tcW w:w="11700" w:type="dxa"/>
            <w:shd w:val="clear" w:color="auto" w:fill="365F91" w:themeFill="accent1" w:themeFillShade="BF"/>
          </w:tcPr>
          <w:p w14:paraId="38206B03" w14:textId="7B341966" w:rsidR="00274740" w:rsidRPr="00274740" w:rsidRDefault="00274740" w:rsidP="00BB61F8">
            <w:pPr>
              <w:tabs>
                <w:tab w:val="left" w:pos="3225"/>
              </w:tabs>
              <w:rPr>
                <w:b/>
                <w:color w:val="FFFFFF" w:themeColor="background1"/>
                <w:sz w:val="16"/>
                <w:szCs w:val="16"/>
              </w:rPr>
            </w:pPr>
            <w:r w:rsidRPr="00274740">
              <w:rPr>
                <w:b/>
                <w:color w:val="FFFFFF" w:themeColor="background1"/>
                <w:sz w:val="16"/>
                <w:szCs w:val="16"/>
              </w:rPr>
              <w:t xml:space="preserve">Industry </w:t>
            </w:r>
            <w:r w:rsidR="00BB3908">
              <w:rPr>
                <w:b/>
                <w:color w:val="FFFFFF" w:themeColor="background1"/>
                <w:sz w:val="16"/>
                <w:szCs w:val="16"/>
              </w:rPr>
              <w:t>Outlook:</w:t>
            </w:r>
            <w:r w:rsidRPr="0027474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274740" w14:paraId="52C52C72" w14:textId="77777777" w:rsidTr="00DB5A10">
        <w:tc>
          <w:tcPr>
            <w:tcW w:w="11700" w:type="dxa"/>
          </w:tcPr>
          <w:p w14:paraId="7146F4FE" w14:textId="77777777" w:rsidR="00274740" w:rsidRDefault="00274740" w:rsidP="005E114B">
            <w:pPr>
              <w:rPr>
                <w:sz w:val="16"/>
                <w:szCs w:val="16"/>
              </w:rPr>
            </w:pPr>
          </w:p>
          <w:p w14:paraId="729B0193" w14:textId="19D88C6C" w:rsidR="0003326A" w:rsidRPr="0003326A" w:rsidRDefault="0003326A" w:rsidP="00033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Pr="0003326A">
              <w:rPr>
                <w:sz w:val="16"/>
                <w:szCs w:val="16"/>
              </w:rPr>
              <w:t>fundamental outlook for the oil &amp;</w:t>
            </w:r>
            <w:r>
              <w:rPr>
                <w:sz w:val="16"/>
                <w:szCs w:val="16"/>
              </w:rPr>
              <w:t xml:space="preserve"> gas refining &amp; marketing (R&amp;M) </w:t>
            </w:r>
            <w:r w:rsidRPr="0003326A">
              <w:rPr>
                <w:sz w:val="16"/>
                <w:szCs w:val="16"/>
              </w:rPr>
              <w:t>sub-industry for</w:t>
            </w:r>
            <w:r>
              <w:rPr>
                <w:sz w:val="16"/>
                <w:szCs w:val="16"/>
              </w:rPr>
              <w:t xml:space="preserve"> the next 12 months is positive, </w:t>
            </w:r>
            <w:r w:rsidR="008717C3">
              <w:rPr>
                <w:sz w:val="16"/>
                <w:szCs w:val="16"/>
              </w:rPr>
              <w:t xml:space="preserve">YTD through June 30, </w:t>
            </w:r>
            <w:r>
              <w:rPr>
                <w:sz w:val="16"/>
                <w:szCs w:val="16"/>
              </w:rPr>
              <w:t xml:space="preserve">the R&amp;M index has risen </w:t>
            </w:r>
            <w:r w:rsidR="008717C3">
              <w:rPr>
                <w:sz w:val="16"/>
                <w:szCs w:val="16"/>
              </w:rPr>
              <w:t xml:space="preserve">16.3% versus a 0.6% </w:t>
            </w:r>
            <w:r w:rsidR="008717C3" w:rsidRPr="008717C3">
              <w:rPr>
                <w:sz w:val="16"/>
                <w:szCs w:val="16"/>
              </w:rPr>
              <w:t xml:space="preserve">gain in the S&amp;P 1500 Composite Index. </w:t>
            </w:r>
            <w:r w:rsidR="008717C3">
              <w:rPr>
                <w:sz w:val="16"/>
                <w:szCs w:val="16"/>
              </w:rPr>
              <w:t xml:space="preserve">The </w:t>
            </w:r>
            <w:r w:rsidR="008717C3" w:rsidRPr="008717C3">
              <w:rPr>
                <w:sz w:val="16"/>
                <w:szCs w:val="16"/>
              </w:rPr>
              <w:t>increased domes</w:t>
            </w:r>
            <w:r w:rsidR="008717C3">
              <w:rPr>
                <w:sz w:val="16"/>
                <w:szCs w:val="16"/>
              </w:rPr>
              <w:t>tic crude oil production helps</w:t>
            </w:r>
            <w:r w:rsidR="008717C3" w:rsidRPr="008717C3">
              <w:rPr>
                <w:sz w:val="16"/>
                <w:szCs w:val="16"/>
              </w:rPr>
              <w:t xml:space="preserve"> to cut reliance on i</w:t>
            </w:r>
            <w:r w:rsidR="008717C3">
              <w:rPr>
                <w:sz w:val="16"/>
                <w:szCs w:val="16"/>
              </w:rPr>
              <w:t>mported crude oil, and also excess industry supply weighs</w:t>
            </w:r>
            <w:r w:rsidR="008717C3" w:rsidRPr="008717C3">
              <w:rPr>
                <w:sz w:val="16"/>
                <w:szCs w:val="16"/>
              </w:rPr>
              <w:t xml:space="preserve"> on pricing, which improves a refiner</w:t>
            </w:r>
            <w:r w:rsidR="008717C3">
              <w:rPr>
                <w:sz w:val="16"/>
                <w:szCs w:val="16"/>
              </w:rPr>
              <w:t xml:space="preserve">'s cost of crude oil purchases. </w:t>
            </w:r>
            <w:r w:rsidR="008717C3" w:rsidRPr="008717C3">
              <w:rPr>
                <w:sz w:val="16"/>
                <w:szCs w:val="16"/>
              </w:rPr>
              <w:t>In addition, rising production of oil sands production from Canada, along with improved pipeline and rail capacity, should enable an increased supply of hea</w:t>
            </w:r>
            <w:r w:rsidR="008717C3">
              <w:rPr>
                <w:sz w:val="16"/>
                <w:szCs w:val="16"/>
              </w:rPr>
              <w:t>vy oil making its way to the</w:t>
            </w:r>
            <w:r w:rsidR="008717C3" w:rsidRPr="008717C3">
              <w:rPr>
                <w:sz w:val="16"/>
                <w:szCs w:val="16"/>
              </w:rPr>
              <w:t xml:space="preserve"> key Gulf Coast refining complex in the U.S. </w:t>
            </w:r>
          </w:p>
          <w:p w14:paraId="2219CC73" w14:textId="77777777" w:rsidR="00274740" w:rsidRDefault="00274740" w:rsidP="005E114B">
            <w:pPr>
              <w:rPr>
                <w:sz w:val="16"/>
                <w:szCs w:val="16"/>
              </w:rPr>
            </w:pPr>
          </w:p>
        </w:tc>
      </w:tr>
      <w:tr w:rsidR="00DB5A10" w14:paraId="6A32B295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22F69EB1" w14:textId="5B91B2A3" w:rsidR="00DB5A10" w:rsidRPr="00DB5A10" w:rsidRDefault="00DB5A10" w:rsidP="00DB5A10">
            <w:pPr>
              <w:tabs>
                <w:tab w:val="left" w:pos="3225"/>
              </w:tabs>
              <w:rPr>
                <w:b/>
                <w:color w:val="FFFFFF" w:themeColor="background1"/>
                <w:sz w:val="16"/>
                <w:szCs w:val="16"/>
              </w:rPr>
            </w:pPr>
            <w:r w:rsidRPr="00DB5A10">
              <w:rPr>
                <w:b/>
                <w:color w:val="FFFFFF" w:themeColor="background1"/>
                <w:sz w:val="16"/>
                <w:szCs w:val="16"/>
              </w:rPr>
              <w:t>Investment Thesis:</w:t>
            </w:r>
            <w:r w:rsidRPr="00DB5A10">
              <w:rPr>
                <w:b/>
                <w:color w:val="FFFFFF" w:themeColor="background1"/>
                <w:sz w:val="16"/>
                <w:szCs w:val="16"/>
              </w:rPr>
              <w:tab/>
            </w:r>
          </w:p>
        </w:tc>
      </w:tr>
      <w:tr w:rsidR="00DB5A10" w14:paraId="4F0CBDAD" w14:textId="77777777" w:rsidTr="00DB5A10">
        <w:tc>
          <w:tcPr>
            <w:tcW w:w="11700" w:type="dxa"/>
          </w:tcPr>
          <w:p w14:paraId="290AAD6A" w14:textId="1D161982" w:rsidR="00DB5A10" w:rsidRDefault="00DB5A10" w:rsidP="005E114B">
            <w:pPr>
              <w:rPr>
                <w:sz w:val="16"/>
                <w:szCs w:val="16"/>
              </w:rPr>
            </w:pPr>
          </w:p>
          <w:p w14:paraId="68204626" w14:textId="04111EE9" w:rsidR="007814A0" w:rsidRPr="00F75698" w:rsidRDefault="00386A22" w:rsidP="00F7569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75698">
              <w:rPr>
                <w:sz w:val="16"/>
                <w:szCs w:val="16"/>
              </w:rPr>
              <w:t>Companies that refine petroleum tend to perform well during periods of low oil pri</w:t>
            </w:r>
            <w:r w:rsidR="007814A0" w:rsidRPr="00F75698">
              <w:rPr>
                <w:sz w:val="16"/>
                <w:szCs w:val="16"/>
              </w:rPr>
              <w:t>ces as lower costs aid earnings</w:t>
            </w:r>
          </w:p>
          <w:p w14:paraId="6A31621E" w14:textId="77777777" w:rsidR="007814A0" w:rsidRPr="00F75698" w:rsidRDefault="007814A0" w:rsidP="00F7569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75698">
              <w:rPr>
                <w:sz w:val="16"/>
                <w:szCs w:val="16"/>
              </w:rPr>
              <w:t>Berkshire Hathaway raised its stake in refiner Phillips 66 a few months ago, improving the confidence of investors for this sub-industry</w:t>
            </w:r>
          </w:p>
          <w:p w14:paraId="2FE1CF8B" w14:textId="77777777" w:rsidR="007814A0" w:rsidRPr="00F75698" w:rsidRDefault="007814A0" w:rsidP="00F7569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75698">
              <w:rPr>
                <w:sz w:val="16"/>
                <w:szCs w:val="16"/>
              </w:rPr>
              <w:t>Marathon Petroleum reported a strong quarter, with earnings growth in all three of its segments, demonstrating why we should select it</w:t>
            </w:r>
          </w:p>
          <w:p w14:paraId="000351B8" w14:textId="4B36D12A" w:rsidR="00F75698" w:rsidRPr="00F75698" w:rsidRDefault="007814A0" w:rsidP="00F7569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eastAsia="zh-CN"/>
              </w:rPr>
            </w:pPr>
            <w:r w:rsidRPr="00F75698">
              <w:rPr>
                <w:sz w:val="16"/>
                <w:szCs w:val="16"/>
              </w:rPr>
              <w:t>A serie</w:t>
            </w:r>
            <w:r w:rsidRPr="00F75698">
              <w:rPr>
                <w:rFonts w:hint="eastAsia"/>
                <w:sz w:val="16"/>
                <w:szCs w:val="16"/>
                <w:lang w:eastAsia="zh-CN"/>
              </w:rPr>
              <w:t>s of successful acquisition</w:t>
            </w:r>
            <w:r w:rsidR="00F75698">
              <w:rPr>
                <w:rFonts w:hint="eastAsia"/>
                <w:sz w:val="16"/>
                <w:szCs w:val="16"/>
                <w:lang w:eastAsia="zh-CN"/>
              </w:rPr>
              <w:t>s</w:t>
            </w:r>
            <w:r w:rsidRPr="00F75698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F75698" w:rsidRPr="00F75698">
              <w:rPr>
                <w:rFonts w:hint="eastAsia"/>
                <w:sz w:val="16"/>
                <w:szCs w:val="16"/>
                <w:lang w:eastAsia="zh-CN"/>
              </w:rPr>
              <w:t xml:space="preserve">nearly double its Speedway retail segment, and </w:t>
            </w:r>
            <w:r w:rsidR="00F75698">
              <w:rPr>
                <w:sz w:val="16"/>
                <w:szCs w:val="16"/>
                <w:lang w:eastAsia="zh-CN"/>
              </w:rPr>
              <w:t>transforms it</w:t>
            </w:r>
            <w:r w:rsidR="00F75698" w:rsidRPr="00F75698">
              <w:rPr>
                <w:sz w:val="16"/>
                <w:szCs w:val="16"/>
                <w:lang w:eastAsia="zh-CN"/>
              </w:rPr>
              <w:t xml:space="preserve"> into primarily a Gulf Coast refiner (62% of capacity in the region)</w:t>
            </w:r>
            <w:r w:rsidR="00F75698" w:rsidRPr="00F75698">
              <w:rPr>
                <w:rFonts w:hint="eastAsia"/>
                <w:sz w:val="16"/>
                <w:szCs w:val="16"/>
                <w:lang w:eastAsia="zh-CN"/>
              </w:rPr>
              <w:t xml:space="preserve">, which leaves it a better position, because </w:t>
            </w:r>
            <w:r w:rsidR="00F75698" w:rsidRPr="00F75698">
              <w:rPr>
                <w:sz w:val="16"/>
                <w:szCs w:val="16"/>
                <w:lang w:eastAsia="zh-CN"/>
              </w:rPr>
              <w:t>greater amounts of discount crude will become available on the Gulf Coast with the st</w:t>
            </w:r>
            <w:r w:rsidR="00F75698">
              <w:rPr>
                <w:sz w:val="16"/>
                <w:szCs w:val="16"/>
                <w:lang w:eastAsia="zh-CN"/>
              </w:rPr>
              <w:t>artup of new pipeline capacity</w:t>
            </w:r>
          </w:p>
          <w:p w14:paraId="3C4475E9" w14:textId="3F27632D" w:rsidR="00F75698" w:rsidRPr="00F75698" w:rsidRDefault="00F75698" w:rsidP="00F7569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Marathon </w:t>
            </w:r>
            <w:r w:rsidRPr="00F75698">
              <w:rPr>
                <w:sz w:val="16"/>
                <w:szCs w:val="16"/>
                <w:lang w:eastAsia="zh-CN"/>
              </w:rPr>
              <w:t>is investing to expand its midstream and retail businesses in an effort to diversify its earnings stream away from the mor</w:t>
            </w:r>
            <w:r>
              <w:rPr>
                <w:sz w:val="16"/>
                <w:szCs w:val="16"/>
                <w:lang w:eastAsia="zh-CN"/>
              </w:rPr>
              <w:t>e volatile refining business</w:t>
            </w:r>
          </w:p>
          <w:p w14:paraId="35F9E681" w14:textId="6BD00C8C" w:rsidR="008717C3" w:rsidRDefault="008717C3" w:rsidP="008717C3">
            <w:pPr>
              <w:rPr>
                <w:rFonts w:hint="eastAsia"/>
                <w:sz w:val="16"/>
                <w:szCs w:val="16"/>
                <w:lang w:eastAsia="zh-CN"/>
              </w:rPr>
            </w:pPr>
          </w:p>
        </w:tc>
      </w:tr>
      <w:tr w:rsidR="00DB5A10" w14:paraId="3604FAC8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36D57562" w14:textId="69893D12" w:rsidR="00DB5A10" w:rsidRDefault="00DB5A10" w:rsidP="00DB5A10">
            <w:pPr>
              <w:tabs>
                <w:tab w:val="left" w:pos="2235"/>
              </w:tabs>
              <w:rPr>
                <w:sz w:val="16"/>
                <w:szCs w:val="16"/>
              </w:rPr>
            </w:pPr>
            <w:r w:rsidRPr="00DB5A10">
              <w:rPr>
                <w:b/>
                <w:color w:val="FFFFFF" w:themeColor="background1"/>
                <w:sz w:val="16"/>
                <w:szCs w:val="16"/>
              </w:rPr>
              <w:t>Investment Risks:</w:t>
            </w:r>
            <w:r w:rsidRPr="00DB5A10">
              <w:rPr>
                <w:b/>
                <w:color w:val="FFFFFF" w:themeColor="background1"/>
                <w:sz w:val="16"/>
                <w:szCs w:val="16"/>
              </w:rPr>
              <w:tab/>
            </w:r>
          </w:p>
        </w:tc>
      </w:tr>
      <w:tr w:rsidR="00DB5A10" w14:paraId="7051B972" w14:textId="77777777" w:rsidTr="00DB5A10">
        <w:tc>
          <w:tcPr>
            <w:tcW w:w="11700" w:type="dxa"/>
          </w:tcPr>
          <w:p w14:paraId="6C10EB0E" w14:textId="77777777" w:rsidR="00DB5A10" w:rsidRDefault="00DB5A10" w:rsidP="005E114B">
            <w:pPr>
              <w:rPr>
                <w:sz w:val="16"/>
                <w:szCs w:val="16"/>
              </w:rPr>
            </w:pPr>
          </w:p>
          <w:p w14:paraId="04C118C5" w14:textId="77777777" w:rsidR="00F31E0C" w:rsidRPr="00F31E0C" w:rsidRDefault="00F31E0C" w:rsidP="00F31E0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Marathon mainly </w:t>
            </w:r>
            <w:r>
              <w:rPr>
                <w:sz w:val="16"/>
                <w:szCs w:val="16"/>
              </w:rPr>
              <w:t>benefits</w:t>
            </w:r>
            <w:r>
              <w:rPr>
                <w:rFonts w:hint="eastAsia"/>
                <w:sz w:val="16"/>
                <w:szCs w:val="16"/>
              </w:rPr>
              <w:t xml:space="preserve"> from the domestic crude discounts, so its risks </w:t>
            </w:r>
            <w:r w:rsidRPr="00F31E0C">
              <w:rPr>
                <w:sz w:val="16"/>
                <w:szCs w:val="16"/>
              </w:rPr>
              <w:t xml:space="preserve">depend on movements in the prices of crude oil and gasoline or diesel </w:t>
            </w:r>
          </w:p>
          <w:p w14:paraId="4ED97161" w14:textId="166625D0" w:rsidR="00F31E0C" w:rsidRPr="00F31E0C" w:rsidRDefault="00F31E0C" w:rsidP="00F31E0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Supply interruptions or increased demand may drive up oil prices</w:t>
            </w:r>
            <w:r>
              <w:rPr>
                <w:rFonts w:hint="eastAsia"/>
                <w:sz w:val="16"/>
                <w:szCs w:val="16"/>
                <w:lang w:eastAsia="zh-CN"/>
              </w:rPr>
              <w:t>, and d</w:t>
            </w:r>
            <w:r w:rsidRPr="00F31E0C">
              <w:rPr>
                <w:sz w:val="16"/>
                <w:szCs w:val="16"/>
                <w:lang w:eastAsia="zh-CN"/>
              </w:rPr>
              <w:t>ema</w:t>
            </w:r>
            <w:r>
              <w:rPr>
                <w:sz w:val="16"/>
                <w:szCs w:val="16"/>
                <w:lang w:eastAsia="zh-CN"/>
              </w:rPr>
              <w:t>nd destruction or economic slow</w:t>
            </w:r>
            <w:r>
              <w:rPr>
                <w:rFonts w:hint="eastAsia"/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downs may</w:t>
            </w:r>
            <w:r w:rsidRPr="00F31E0C">
              <w:rPr>
                <w:sz w:val="16"/>
                <w:szCs w:val="16"/>
                <w:lang w:eastAsia="zh-CN"/>
              </w:rPr>
              <w:t xml:space="preserve"> depress refined product prices </w:t>
            </w:r>
          </w:p>
          <w:p w14:paraId="1A2EA3B1" w14:textId="45E1DC98" w:rsidR="00F31E0C" w:rsidRPr="00F31E0C" w:rsidRDefault="00F31E0C" w:rsidP="00F31E0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31E0C">
              <w:rPr>
                <w:sz w:val="16"/>
                <w:szCs w:val="16"/>
              </w:rPr>
              <w:t>With g</w:t>
            </w:r>
            <w:r>
              <w:rPr>
                <w:sz w:val="16"/>
                <w:szCs w:val="16"/>
              </w:rPr>
              <w:t>reater reli</w:t>
            </w:r>
            <w:r w:rsidRPr="00F31E0C">
              <w:rPr>
                <w:sz w:val="16"/>
                <w:szCs w:val="16"/>
              </w:rPr>
              <w:t>ance on the export market, construction of over- sea</w:t>
            </w:r>
            <w:r>
              <w:rPr>
                <w:sz w:val="16"/>
                <w:szCs w:val="16"/>
              </w:rPr>
              <w:t>s refiners could pose a threat</w:t>
            </w:r>
          </w:p>
          <w:p w14:paraId="78159DC0" w14:textId="3CC89211" w:rsidR="00DB5A10" w:rsidRPr="00F31E0C" w:rsidRDefault="00DB5A10" w:rsidP="00F31E0C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DB5A10" w14:paraId="76F577E7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0A443D6F" w14:textId="4EB2A931" w:rsidR="00DB5A10" w:rsidRPr="00DB5A10" w:rsidRDefault="00DB5A10" w:rsidP="00DB5A10">
            <w:pPr>
              <w:ind w:left="72"/>
              <w:jc w:val="both"/>
              <w:rPr>
                <w:color w:val="FFFFFF" w:themeColor="background1"/>
                <w:sz w:val="16"/>
                <w:szCs w:val="16"/>
              </w:rPr>
            </w:pPr>
            <w:r w:rsidRPr="00DB5A10">
              <w:rPr>
                <w:b/>
                <w:color w:val="FFFFFF" w:themeColor="background1"/>
                <w:sz w:val="16"/>
                <w:szCs w:val="16"/>
              </w:rPr>
              <w:t xml:space="preserve">3-5 take </w:t>
            </w:r>
            <w:r w:rsidR="00274740" w:rsidRPr="00DB5A10">
              <w:rPr>
                <w:b/>
                <w:color w:val="FFFFFF" w:themeColor="background1"/>
                <w:sz w:val="16"/>
                <w:szCs w:val="16"/>
              </w:rPr>
              <w:t>away</w:t>
            </w:r>
            <w:r w:rsidRPr="00DB5A10">
              <w:rPr>
                <w:b/>
                <w:color w:val="FFFFFF" w:themeColor="background1"/>
                <w:sz w:val="16"/>
                <w:szCs w:val="16"/>
              </w:rPr>
              <w:t xml:space="preserve"> from last quarter investor call transcript: </w:t>
            </w:r>
          </w:p>
        </w:tc>
      </w:tr>
      <w:tr w:rsidR="00DB5A10" w14:paraId="75D76709" w14:textId="77777777" w:rsidTr="00DB5A10">
        <w:trPr>
          <w:trHeight w:val="70"/>
        </w:trPr>
        <w:tc>
          <w:tcPr>
            <w:tcW w:w="11700" w:type="dxa"/>
          </w:tcPr>
          <w:p w14:paraId="7A100AF1" w14:textId="3333CC8F" w:rsidR="00DB5A10" w:rsidRDefault="00DB5A10" w:rsidP="005E114B">
            <w:pPr>
              <w:rPr>
                <w:sz w:val="16"/>
                <w:szCs w:val="16"/>
              </w:rPr>
            </w:pPr>
          </w:p>
          <w:p w14:paraId="1B7FF8BF" w14:textId="7D87DFEA" w:rsidR="00DB5A10" w:rsidRDefault="005A43A8" w:rsidP="00CA7C7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The </w:t>
            </w:r>
            <w:r w:rsidRPr="005A43A8">
              <w:rPr>
                <w:sz w:val="16"/>
                <w:szCs w:val="16"/>
                <w:lang w:eastAsia="zh-CN"/>
              </w:rPr>
              <w:t>East Coast retail acquisition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 w:rsidRPr="005A43A8">
              <w:rPr>
                <w:sz w:val="16"/>
                <w:szCs w:val="16"/>
              </w:rPr>
              <w:t xml:space="preserve"> performing well and the business is on track to more than double the $75 million in synergies </w:t>
            </w:r>
            <w:r w:rsidR="00927E43">
              <w:rPr>
                <w:sz w:val="16"/>
                <w:szCs w:val="16"/>
              </w:rPr>
              <w:t>they</w:t>
            </w:r>
            <w:r w:rsidRPr="005A43A8">
              <w:rPr>
                <w:sz w:val="16"/>
                <w:szCs w:val="16"/>
              </w:rPr>
              <w:t xml:space="preserve"> expected in this first year</w:t>
            </w:r>
          </w:p>
          <w:p w14:paraId="6AE1ABAA" w14:textId="30139673" w:rsidR="005A43A8" w:rsidRDefault="005A43A8" w:rsidP="00CA7C7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A43A8">
              <w:rPr>
                <w:sz w:val="16"/>
                <w:szCs w:val="16"/>
              </w:rPr>
              <w:t>Turni</w:t>
            </w:r>
            <w:r>
              <w:rPr>
                <w:sz w:val="16"/>
                <w:szCs w:val="16"/>
              </w:rPr>
              <w:t>ng to the midstream business, Marathon</w:t>
            </w:r>
            <w:r w:rsidRPr="005A43A8">
              <w:rPr>
                <w:sz w:val="16"/>
                <w:szCs w:val="16"/>
              </w:rPr>
              <w:t xml:space="preserve"> look</w:t>
            </w:r>
            <w:r>
              <w:rPr>
                <w:rFonts w:hint="eastAsia"/>
                <w:sz w:val="16"/>
                <w:szCs w:val="16"/>
                <w:lang w:eastAsia="zh-CN"/>
              </w:rPr>
              <w:t>s</w:t>
            </w:r>
            <w:r>
              <w:rPr>
                <w:sz w:val="16"/>
                <w:szCs w:val="16"/>
              </w:rPr>
              <w:t xml:space="preserve"> forward to finalizing the</w:t>
            </w:r>
            <w:r w:rsidRPr="005A43A8">
              <w:rPr>
                <w:sz w:val="16"/>
                <w:szCs w:val="16"/>
              </w:rPr>
              <w:t xml:space="preserve"> combination of MPLX and </w:t>
            </w:r>
            <w:proofErr w:type="spellStart"/>
            <w:r>
              <w:rPr>
                <w:sz w:val="16"/>
                <w:szCs w:val="16"/>
              </w:rPr>
              <w:t>MarkWest</w:t>
            </w:r>
            <w:proofErr w:type="spellEnd"/>
            <w:r>
              <w:rPr>
                <w:sz w:val="16"/>
                <w:szCs w:val="16"/>
              </w:rPr>
              <w:t xml:space="preserve"> later this year and as MPLX's sponsor, they</w:t>
            </w:r>
            <w:r w:rsidRPr="005A43A8">
              <w:rPr>
                <w:sz w:val="16"/>
                <w:szCs w:val="16"/>
              </w:rPr>
              <w:t>'re c</w:t>
            </w:r>
            <w:r w:rsidR="003C3391">
              <w:rPr>
                <w:sz w:val="16"/>
                <w:szCs w:val="16"/>
              </w:rPr>
              <w:t>ommitted to support its success</w:t>
            </w:r>
          </w:p>
          <w:p w14:paraId="09FE9534" w14:textId="5D3A7937" w:rsidR="005A43A8" w:rsidRDefault="003C3391" w:rsidP="00CA7C7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3C3391">
              <w:rPr>
                <w:sz w:val="16"/>
                <w:szCs w:val="16"/>
              </w:rPr>
              <w:t xml:space="preserve">he 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crude oil </w:t>
            </w:r>
            <w:r w:rsidRPr="003C3391">
              <w:rPr>
                <w:sz w:val="16"/>
                <w:szCs w:val="16"/>
              </w:rPr>
              <w:t>market continues to il</w:t>
            </w:r>
            <w:r w:rsidR="00927E43">
              <w:rPr>
                <w:sz w:val="16"/>
                <w:szCs w:val="16"/>
              </w:rPr>
              <w:t>lustrate that it’</w:t>
            </w:r>
            <w:r w:rsidR="00927E43">
              <w:rPr>
                <w:rFonts w:hint="eastAsia"/>
                <w:sz w:val="16"/>
                <w:szCs w:val="16"/>
                <w:lang w:eastAsia="zh-CN"/>
              </w:rPr>
              <w:t>s</w:t>
            </w:r>
            <w:r w:rsidRPr="003C3391">
              <w:rPr>
                <w:sz w:val="16"/>
                <w:szCs w:val="16"/>
              </w:rPr>
              <w:t xml:space="preserve"> going to be lower for longer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, and </w:t>
            </w:r>
            <w:r>
              <w:rPr>
                <w:sz w:val="16"/>
                <w:szCs w:val="16"/>
                <w:lang w:eastAsia="zh-CN"/>
              </w:rPr>
              <w:t>they</w:t>
            </w:r>
            <w:r w:rsidRPr="003C3391">
              <w:rPr>
                <w:sz w:val="16"/>
                <w:szCs w:val="16"/>
                <w:lang w:eastAsia="zh-CN"/>
              </w:rPr>
              <w:t>'re finding some other supply sources, mainly Iraqi crudes</w:t>
            </w:r>
          </w:p>
          <w:p w14:paraId="5930A846" w14:textId="77777777" w:rsidR="003C3391" w:rsidRDefault="003C3391" w:rsidP="00CA7C70">
            <w:pPr>
              <w:pStyle w:val="ListParagraph"/>
              <w:numPr>
                <w:ilvl w:val="0"/>
                <w:numId w:val="4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The demand has </w:t>
            </w:r>
            <w:r w:rsidR="00DF0D9C">
              <w:rPr>
                <w:rFonts w:hint="eastAsia"/>
                <w:sz w:val="16"/>
                <w:szCs w:val="16"/>
                <w:lang w:eastAsia="zh-CN"/>
              </w:rPr>
              <w:t xml:space="preserve">a slowdown in Asia, Brazil. But </w:t>
            </w:r>
            <w:r w:rsidR="00DF0D9C">
              <w:rPr>
                <w:sz w:val="16"/>
                <w:szCs w:val="16"/>
                <w:lang w:eastAsia="zh-CN"/>
              </w:rPr>
              <w:t>Europe continues to be robust</w:t>
            </w:r>
            <w:r w:rsidR="00DF0D9C">
              <w:rPr>
                <w:rFonts w:hint="eastAsia"/>
                <w:sz w:val="16"/>
                <w:szCs w:val="16"/>
                <w:lang w:eastAsia="zh-CN"/>
              </w:rPr>
              <w:t>, and t</w:t>
            </w:r>
            <w:r w:rsidR="00DF0D9C" w:rsidRPr="00DF0D9C">
              <w:rPr>
                <w:sz w:val="16"/>
                <w:szCs w:val="16"/>
                <w:lang w:eastAsia="zh-CN"/>
              </w:rPr>
              <w:t>he Latin American countries for the most part continue to be strong</w:t>
            </w:r>
          </w:p>
          <w:p w14:paraId="4205DC0B" w14:textId="562B60E2" w:rsidR="00DF0D9C" w:rsidRDefault="00DF0D9C" w:rsidP="00DF0D9C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14:paraId="5873EF7F" w14:textId="77777777" w:rsidR="00B7642F" w:rsidRDefault="00B7642F" w:rsidP="005E114B">
      <w:pPr>
        <w:rPr>
          <w:sz w:val="16"/>
          <w:szCs w:val="16"/>
        </w:rPr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7465"/>
        <w:gridCol w:w="4343"/>
      </w:tblGrid>
      <w:tr w:rsidR="00830F06" w14:paraId="730DB2FF" w14:textId="77777777" w:rsidTr="00034A52">
        <w:tc>
          <w:tcPr>
            <w:tcW w:w="7488" w:type="dxa"/>
            <w:shd w:val="clear" w:color="auto" w:fill="365F91" w:themeFill="accent1" w:themeFillShade="BF"/>
          </w:tcPr>
          <w:p w14:paraId="7CF6246B" w14:textId="38A66325" w:rsidR="00830F06" w:rsidRPr="00034A52" w:rsidRDefault="00830F06" w:rsidP="00443ED9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034A52">
              <w:rPr>
                <w:b/>
                <w:color w:val="FFFFFF" w:themeColor="background1"/>
                <w:sz w:val="16"/>
                <w:szCs w:val="16"/>
              </w:rPr>
              <w:t>Financial Performance:</w:t>
            </w:r>
          </w:p>
        </w:tc>
        <w:tc>
          <w:tcPr>
            <w:tcW w:w="4320" w:type="dxa"/>
            <w:shd w:val="clear" w:color="auto" w:fill="365F91" w:themeFill="accent1" w:themeFillShade="BF"/>
          </w:tcPr>
          <w:p w14:paraId="09E00ADF" w14:textId="62365A7B" w:rsidR="00830F06" w:rsidRPr="00034A52" w:rsidRDefault="00830F06" w:rsidP="00443ED9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034A52">
              <w:rPr>
                <w:b/>
                <w:color w:val="FFFFFF" w:themeColor="background1"/>
                <w:sz w:val="16"/>
                <w:szCs w:val="16"/>
              </w:rPr>
              <w:t xml:space="preserve">Discounted Cash Flow </w:t>
            </w:r>
          </w:p>
        </w:tc>
      </w:tr>
      <w:tr w:rsidR="00830F06" w14:paraId="0538015D" w14:textId="77777777" w:rsidTr="00830F06">
        <w:tc>
          <w:tcPr>
            <w:tcW w:w="7488" w:type="dxa"/>
          </w:tcPr>
          <w:p w14:paraId="6973B10F" w14:textId="77777777" w:rsidR="00830F06" w:rsidRPr="002F062C" w:rsidRDefault="00830F06" w:rsidP="00443ED9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1007"/>
              <w:gridCol w:w="990"/>
              <w:gridCol w:w="920"/>
              <w:gridCol w:w="920"/>
              <w:gridCol w:w="920"/>
              <w:gridCol w:w="920"/>
            </w:tblGrid>
            <w:tr w:rsidR="00830F06" w:rsidRPr="002F062C" w14:paraId="23FAEDA0" w14:textId="77777777" w:rsidTr="006B0A61">
              <w:tc>
                <w:tcPr>
                  <w:tcW w:w="1562" w:type="dxa"/>
                  <w:shd w:val="clear" w:color="auto" w:fill="DBE5F1" w:themeFill="accent1" w:themeFillTint="33"/>
                </w:tcPr>
                <w:p w14:paraId="165C82C4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76114568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FA0AD6E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22A182C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43EE2733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Q1-2015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262B9DA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Q2-2015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4080B05E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Q3-2015</w:t>
                  </w:r>
                </w:p>
              </w:tc>
            </w:tr>
            <w:tr w:rsidR="007D4DEC" w:rsidRPr="002F062C" w14:paraId="5835BCA6" w14:textId="77777777" w:rsidTr="006B0A61">
              <w:tc>
                <w:tcPr>
                  <w:tcW w:w="1562" w:type="dxa"/>
                </w:tcPr>
                <w:p w14:paraId="6C7AE70B" w14:textId="713192A3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Revenue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E7B9F" w14:textId="2A08667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76,534.00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D94885" w14:textId="19132DF4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93,897.00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BFF446" w14:textId="1F50A19A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91,132.00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0B1917" w14:textId="735462C4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15,359.00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E6445" w14:textId="075DE088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18,598.00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E96789" w14:textId="377B8777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16,728.00 </w:t>
                  </w:r>
                </w:p>
              </w:tc>
            </w:tr>
            <w:tr w:rsidR="007D4DEC" w:rsidRPr="002F062C" w14:paraId="0D74DF99" w14:textId="77777777" w:rsidTr="006B0A61">
              <w:tc>
                <w:tcPr>
                  <w:tcW w:w="1562" w:type="dxa"/>
                </w:tcPr>
                <w:p w14:paraId="209309E4" w14:textId="77777777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Operating Profit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EF44A6" w14:textId="2B381B81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5,275.00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295F75" w14:textId="39055DF7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3,337.00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3FEC76" w14:textId="7FBC4E6A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3,787.00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5F465A" w14:textId="42C95709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1,426.00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1AE295" w14:textId="0680F7DA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1,290.00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733996" w14:textId="50AE731B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1,509.00 </w:t>
                  </w:r>
                </w:p>
              </w:tc>
            </w:tr>
            <w:tr w:rsidR="007D4DEC" w:rsidRPr="002F062C" w14:paraId="329334DC" w14:textId="77777777" w:rsidTr="006B0A61">
              <w:tc>
                <w:tcPr>
                  <w:tcW w:w="1562" w:type="dxa"/>
                </w:tcPr>
                <w:p w14:paraId="57B2BB96" w14:textId="677DF91A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Operating Margin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D33C82" w14:textId="62BEB2A1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6.89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C55153" w14:textId="18B3038C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3.55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CD87A4" w14:textId="40924A0E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4.16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D951AE" w14:textId="0DBB3FCB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9.28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1F5567" w14:textId="6A28709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6.94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C3E6B" w14:textId="25A749EC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9.02 </w:t>
                  </w:r>
                </w:p>
              </w:tc>
            </w:tr>
            <w:tr w:rsidR="007D4DEC" w:rsidRPr="002F062C" w14:paraId="334202CA" w14:textId="77777777" w:rsidTr="006B0A61">
              <w:tc>
                <w:tcPr>
                  <w:tcW w:w="1562" w:type="dxa"/>
                </w:tcPr>
                <w:p w14:paraId="545FB948" w14:textId="413078AF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Net Income 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53E56E" w14:textId="2B113075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3,389.00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95AAD7" w14:textId="456830A1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2,112.00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C7D9F0" w14:textId="2D387D54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2,524.00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00B23E" w14:textId="31F4913C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891.00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C2B723" w14:textId="2293669F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826.00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87F8D" w14:textId="752ED9A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948.00 </w:t>
                  </w:r>
                </w:p>
              </w:tc>
            </w:tr>
            <w:tr w:rsidR="007D4DEC" w:rsidRPr="002F062C" w14:paraId="100621BB" w14:textId="77777777" w:rsidTr="006B0A61">
              <w:tc>
                <w:tcPr>
                  <w:tcW w:w="1562" w:type="dxa"/>
                </w:tcPr>
                <w:p w14:paraId="0671CC90" w14:textId="688384E3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Revenue Growth 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C1673C" w14:textId="3AA3E968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4.09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A2481B" w14:textId="10B5946E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22.69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B50F71" w14:textId="63363978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(2.94)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1E67DF" w14:textId="00179929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(29.45)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83BFBC" w14:textId="62B084FC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(26.33)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5F7486" w14:textId="4CD2125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(29.76)</w:t>
                  </w:r>
                </w:p>
              </w:tc>
            </w:tr>
            <w:tr w:rsidR="007D4DEC" w:rsidRPr="002F062C" w14:paraId="3CD7B755" w14:textId="77777777" w:rsidTr="006B0A61">
              <w:tc>
                <w:tcPr>
                  <w:tcW w:w="1562" w:type="dxa"/>
                </w:tcPr>
                <w:p w14:paraId="5648CFBC" w14:textId="239BFAAA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EBITDA%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56401B" w14:textId="46EF7044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8.19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E6195D" w14:textId="676E83D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4.85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67B82F" w14:textId="57C5A826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5.61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11D424" w14:textId="6201C3FF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11.65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045D97" w14:textId="53476CBC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8.88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875514" w14:textId="432E390F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12.06 </w:t>
                  </w:r>
                </w:p>
              </w:tc>
            </w:tr>
            <w:tr w:rsidR="007D4DEC" w:rsidRPr="002F062C" w14:paraId="17F9D92A" w14:textId="77777777" w:rsidTr="006B0A61">
              <w:tc>
                <w:tcPr>
                  <w:tcW w:w="1562" w:type="dxa"/>
                </w:tcPr>
                <w:p w14:paraId="3AA11444" w14:textId="14101E59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Operating Profit 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934D1E" w14:textId="1153D975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6.89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025EA0" w14:textId="5CE2E8DE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3.55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F4FB16" w14:textId="62F1EAF9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4.16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516877" w14:textId="4E686F78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9.28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215F3E" w14:textId="06A9DBE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6.94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FA856" w14:textId="2CDC700E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9.02 </w:t>
                  </w:r>
                </w:p>
              </w:tc>
            </w:tr>
            <w:tr w:rsidR="007D4DEC" w:rsidRPr="002F062C" w14:paraId="22A784BE" w14:textId="77777777" w:rsidTr="006B0A61">
              <w:tc>
                <w:tcPr>
                  <w:tcW w:w="1562" w:type="dxa"/>
                </w:tcPr>
                <w:p w14:paraId="670CE5B7" w14:textId="116DBC2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Net Income Margin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D585ED" w14:textId="2E8AB891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4.43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7FDD3E" w14:textId="515A4471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2.25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576F03" w14:textId="200C10C7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2.77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4A979D" w14:textId="4F99BF13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5.80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A72D7D" w14:textId="49EE4A12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4.44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88EAE0" w14:textId="6D998D07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5.67 </w:t>
                  </w:r>
                </w:p>
              </w:tc>
            </w:tr>
            <w:tr w:rsidR="007D4DEC" w:rsidRPr="002F062C" w14:paraId="111BB78D" w14:textId="77777777" w:rsidTr="006B0A61">
              <w:tc>
                <w:tcPr>
                  <w:tcW w:w="1562" w:type="dxa"/>
                </w:tcPr>
                <w:p w14:paraId="0F9C400C" w14:textId="71B82D20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D/E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51C9B9" w14:textId="215B91A8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27.77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B4B557" w14:textId="116DA1E4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29.97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9DC39D" w14:textId="31CC456D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58.27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66455C" w14:textId="2BCB8875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56.29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7FC6C4" w14:textId="1427D7B0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54.50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94011" w14:textId="6ECF5FE3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51.78 </w:t>
                  </w:r>
                </w:p>
              </w:tc>
            </w:tr>
            <w:tr w:rsidR="007D4DEC" w:rsidRPr="002F062C" w14:paraId="4BD993C7" w14:textId="77777777" w:rsidTr="006B0A61">
              <w:tc>
                <w:tcPr>
                  <w:tcW w:w="1562" w:type="dxa"/>
                </w:tcPr>
                <w:p w14:paraId="6F5D5ADC" w14:textId="771CD14F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Interest Coverage 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73A46D" w14:textId="6FFB65F9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--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77E933" w14:textId="530A3BB1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--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3A3040" w14:textId="192B67B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--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5A0893" w14:textId="3B37CCA2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--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7DCE0" w14:textId="5BE0E5BA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--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B13F64" w14:textId="0C27EE23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-- </w:t>
                  </w:r>
                </w:p>
              </w:tc>
            </w:tr>
            <w:tr w:rsidR="007D4DEC" w:rsidRPr="002F062C" w14:paraId="3EBC0A0A" w14:textId="77777777" w:rsidTr="006B0A61">
              <w:tc>
                <w:tcPr>
                  <w:tcW w:w="1562" w:type="dxa"/>
                </w:tcPr>
                <w:p w14:paraId="61AE1051" w14:textId="3FE666AE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EPS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B4D0DC" w14:textId="35FBEA4A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4.98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BD752B" w14:textId="71D159D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3.35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44C62B" w14:textId="24BEE74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4.42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732767" w14:textId="2FCD30E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1.63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BB74B5" w14:textId="79ABD4F1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1.52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7918E0" w14:textId="5269E124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1.77 </w:t>
                  </w:r>
                </w:p>
              </w:tc>
            </w:tr>
            <w:tr w:rsidR="007D4DEC" w:rsidRPr="002F062C" w14:paraId="235E2086" w14:textId="77777777" w:rsidTr="006B0A61">
              <w:tc>
                <w:tcPr>
                  <w:tcW w:w="1562" w:type="dxa"/>
                </w:tcPr>
                <w:p w14:paraId="64A6EBFE" w14:textId="619DEBB4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 Ratio 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B86E80" w14:textId="65125A3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6.69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740EAD" w14:textId="48476BBE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13.10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63C52A" w14:textId="6B8B5027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11.80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8F8638" w14:textId="33C0C0F0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10.26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1CE165" w14:textId="68B6046E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10.48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FFAB5F" w14:textId="68AF7132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8.06 </w:t>
                  </w:r>
                </w:p>
              </w:tc>
            </w:tr>
            <w:tr w:rsidR="007D4DEC" w:rsidRPr="002F062C" w14:paraId="6A512B42" w14:textId="77777777" w:rsidTr="006B0A61">
              <w:tc>
                <w:tcPr>
                  <w:tcW w:w="1562" w:type="dxa"/>
                </w:tcPr>
                <w:p w14:paraId="30EB3D41" w14:textId="716FA7E5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Current Ratio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99ACE5" w14:textId="00BE65BC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1.59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8AB591" w14:textId="093A83FB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1.30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64567E" w14:textId="2238C88A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1.32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6D8F2" w14:textId="6FEB449E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1.32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CD8618" w14:textId="340BB9F9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1.31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9E19D1" w14:textId="777F78FF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1.41 </w:t>
                  </w:r>
                </w:p>
              </w:tc>
            </w:tr>
            <w:tr w:rsidR="007D4DEC" w:rsidRPr="002F062C" w14:paraId="059E3A59" w14:textId="77777777" w:rsidTr="006B0A61">
              <w:tc>
                <w:tcPr>
                  <w:tcW w:w="1562" w:type="dxa"/>
                </w:tcPr>
                <w:p w14:paraId="49C83FCA" w14:textId="1511D8EF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ROE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43F7CF" w14:textId="0E6D34CA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31.97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86885B" w14:textId="18ECBEE8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18.68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29E1D3" w14:textId="2760DD4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23.29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C94287" w14:textId="5E952B69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29.67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0A1DF2" w14:textId="2F678CFE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28.63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2B8BC8" w14:textId="25A549DF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29.95 </w:t>
                  </w:r>
                </w:p>
              </w:tc>
            </w:tr>
            <w:tr w:rsidR="007D4DEC" w:rsidRPr="002F062C" w14:paraId="3DD5E939" w14:textId="77777777" w:rsidTr="006B0A61">
              <w:tc>
                <w:tcPr>
                  <w:tcW w:w="1562" w:type="dxa"/>
                </w:tcPr>
                <w:p w14:paraId="5964CDC4" w14:textId="4C35077B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ROA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36B8CA" w14:textId="615E744D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12.80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5BD607" w14:textId="519A4DC7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7.60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2EB0AB" w14:textId="419DBE0E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8.58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3C8011" w14:textId="633D32AF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10.84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09CDE3" w14:textId="2C7E5887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10.62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2C62C5" w14:textId="384885F9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11.20 </w:t>
                  </w:r>
                </w:p>
              </w:tc>
            </w:tr>
            <w:tr w:rsidR="007D4DEC" w:rsidRPr="002F062C" w14:paraId="5907048A" w14:textId="77777777" w:rsidTr="006B0A61">
              <w:tc>
                <w:tcPr>
                  <w:tcW w:w="1562" w:type="dxa"/>
                </w:tcPr>
                <w:p w14:paraId="3D304A41" w14:textId="7D46039C" w:rsidR="007D4DEC" w:rsidRDefault="007D4DEC" w:rsidP="002F06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Dividend Per Share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9D7DBA" w14:textId="60D210C5" w:rsidR="007D4DEC" w:rsidRPr="002F062C" w:rsidRDefault="007D4DEC" w:rsidP="002F062C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0.60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ED0171" w14:textId="4E033E55" w:rsidR="007D4DEC" w:rsidRPr="002F062C" w:rsidRDefault="007D4DEC" w:rsidP="002F062C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0.77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5D20BA" w14:textId="2840028D" w:rsidR="007D4DEC" w:rsidRPr="002F062C" w:rsidRDefault="007D4DEC" w:rsidP="002F062C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0.92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BD21ED" w14:textId="57E420D5" w:rsidR="007D4DEC" w:rsidRPr="002F062C" w:rsidRDefault="007D4DEC" w:rsidP="002F062C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0.25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CB5295" w14:textId="703985A6" w:rsidR="007D4DEC" w:rsidRPr="002F062C" w:rsidRDefault="007D4DEC" w:rsidP="002F062C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0.25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2BF947" w14:textId="624FCA15" w:rsidR="007D4DEC" w:rsidRPr="002F062C" w:rsidRDefault="007D4DEC" w:rsidP="002F062C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 xml:space="preserve"> 0.32 </w:t>
                  </w:r>
                </w:p>
              </w:tc>
            </w:tr>
          </w:tbl>
          <w:p w14:paraId="6F98E45C" w14:textId="77777777" w:rsidR="00830F06" w:rsidRPr="002F062C" w:rsidRDefault="00830F06" w:rsidP="00443E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14:paraId="3276E349" w14:textId="77777777" w:rsidR="00830F06" w:rsidRPr="002F062C" w:rsidRDefault="00830F06" w:rsidP="00443ED9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1129"/>
              <w:gridCol w:w="1080"/>
            </w:tblGrid>
            <w:tr w:rsidR="0060598F" w:rsidRPr="002F062C" w14:paraId="4C54BF94" w14:textId="77777777" w:rsidTr="0060598F">
              <w:tc>
                <w:tcPr>
                  <w:tcW w:w="1908" w:type="dxa"/>
                  <w:shd w:val="clear" w:color="auto" w:fill="DBE5F1" w:themeFill="accent1" w:themeFillTint="33"/>
                </w:tcPr>
                <w:p w14:paraId="15FA463B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shd w:val="clear" w:color="auto" w:fill="DBE5F1" w:themeFill="accent1" w:themeFillTint="33"/>
                </w:tcPr>
                <w:p w14:paraId="3D650FB0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2001-14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6917AD00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2015-19</w:t>
                  </w:r>
                </w:p>
              </w:tc>
            </w:tr>
            <w:tr w:rsidR="0060598F" w:rsidRPr="002F062C" w14:paraId="5A9DD5F4" w14:textId="77777777" w:rsidTr="0010720B">
              <w:tc>
                <w:tcPr>
                  <w:tcW w:w="1908" w:type="dxa"/>
                </w:tcPr>
                <w:p w14:paraId="6A465DCA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Avg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Revenue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growth </w:t>
                  </w:r>
                </w:p>
              </w:tc>
              <w:tc>
                <w:tcPr>
                  <w:tcW w:w="1129" w:type="dxa"/>
                </w:tcPr>
                <w:p w14:paraId="28890419" w14:textId="7BDD3B18" w:rsidR="00830F06" w:rsidRDefault="00630775" w:rsidP="00830F06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</w:rPr>
                    <w:t>12.73</w:t>
                  </w:r>
                  <w:r w:rsidR="00BD4639">
                    <w:rPr>
                      <w:rFonts w:hint="eastAsia"/>
                      <w:sz w:val="16"/>
                      <w:szCs w:val="16"/>
                      <w:lang w:eastAsia="zh-CN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14:paraId="2B6EF445" w14:textId="7EF31288" w:rsidR="00830F06" w:rsidRDefault="00630775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6.24</w:t>
                  </w:r>
                  <w:r w:rsidR="00874A7B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60598F" w:rsidRPr="002F062C" w14:paraId="49A71F37" w14:textId="77777777" w:rsidTr="0010720B">
              <w:tc>
                <w:tcPr>
                  <w:tcW w:w="1908" w:type="dxa"/>
                </w:tcPr>
                <w:p w14:paraId="7425D824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Avg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EBITDA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Margin </w:t>
                  </w:r>
                </w:p>
              </w:tc>
              <w:tc>
                <w:tcPr>
                  <w:tcW w:w="1129" w:type="dxa"/>
                </w:tcPr>
                <w:p w14:paraId="6AE1C97F" w14:textId="0772C3A0" w:rsidR="00830F06" w:rsidRDefault="00630775" w:rsidP="00830F06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5.59</w:t>
                  </w:r>
                  <w:r w:rsidR="00BD4639">
                    <w:rPr>
                      <w:rFonts w:hint="eastAsia"/>
                      <w:sz w:val="16"/>
                      <w:szCs w:val="16"/>
                      <w:lang w:eastAsia="zh-CN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14:paraId="72FC070B" w14:textId="16B303DE" w:rsidR="00830F06" w:rsidRDefault="00630775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7.36</w:t>
                  </w:r>
                  <w:r w:rsidR="00874A7B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60598F" w:rsidRPr="002F062C" w14:paraId="5B01660D" w14:textId="77777777" w:rsidTr="0010720B">
              <w:tc>
                <w:tcPr>
                  <w:tcW w:w="1908" w:type="dxa"/>
                </w:tcPr>
                <w:p w14:paraId="2B656250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Avg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Net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Income Margin </w:t>
                  </w:r>
                </w:p>
              </w:tc>
              <w:tc>
                <w:tcPr>
                  <w:tcW w:w="1129" w:type="dxa"/>
                </w:tcPr>
                <w:p w14:paraId="6B796F07" w14:textId="7AADC754" w:rsidR="00830F06" w:rsidRDefault="00630775" w:rsidP="00830F06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2.65</w:t>
                  </w:r>
                  <w:r w:rsidR="00BD4639">
                    <w:rPr>
                      <w:rFonts w:hint="eastAsia"/>
                      <w:sz w:val="16"/>
                      <w:szCs w:val="16"/>
                      <w:lang w:eastAsia="zh-CN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14:paraId="2CA542D3" w14:textId="55E08F5A" w:rsidR="00830F06" w:rsidRDefault="00630775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3.97</w:t>
                  </w:r>
                  <w:r w:rsidR="00874A7B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60598F" w:rsidRPr="002F062C" w14:paraId="1407D251" w14:textId="77777777" w:rsidTr="0010720B">
              <w:tc>
                <w:tcPr>
                  <w:tcW w:w="1908" w:type="dxa"/>
                </w:tcPr>
                <w:p w14:paraId="5FB4F2E9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Avg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Debt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/Equity </w:t>
                  </w:r>
                </w:p>
              </w:tc>
              <w:tc>
                <w:tcPr>
                  <w:tcW w:w="1129" w:type="dxa"/>
                </w:tcPr>
                <w:p w14:paraId="3BD7CDF4" w14:textId="2B9775A3" w:rsidR="00830F06" w:rsidRDefault="00014EFE" w:rsidP="00830F06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20.7</w:t>
                  </w:r>
                  <w:r w:rsidR="00BD4639">
                    <w:rPr>
                      <w:rFonts w:hint="eastAsia"/>
                      <w:sz w:val="16"/>
                      <w:szCs w:val="16"/>
                      <w:lang w:eastAsia="zh-CN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14:paraId="6104E666" w14:textId="4722BE5E" w:rsidR="00830F06" w:rsidRDefault="00630775" w:rsidP="00830F06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27.06</w:t>
                  </w:r>
                  <w:r w:rsidR="00BD4639">
                    <w:rPr>
                      <w:rFonts w:hint="eastAsia"/>
                      <w:sz w:val="16"/>
                      <w:szCs w:val="16"/>
                      <w:lang w:eastAsia="zh-CN"/>
                    </w:rPr>
                    <w:t>%</w:t>
                  </w:r>
                </w:p>
              </w:tc>
            </w:tr>
            <w:tr w:rsidR="0060598F" w:rsidRPr="002F062C" w14:paraId="261F133B" w14:textId="77777777" w:rsidTr="0010720B">
              <w:tc>
                <w:tcPr>
                  <w:tcW w:w="1908" w:type="dxa"/>
                </w:tcPr>
                <w:p w14:paraId="0B1C1930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Avg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Interest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/ EBITDA </w:t>
                  </w:r>
                </w:p>
              </w:tc>
              <w:tc>
                <w:tcPr>
                  <w:tcW w:w="1129" w:type="dxa"/>
                </w:tcPr>
                <w:p w14:paraId="4FFEFCE9" w14:textId="525F0193" w:rsidR="00830F06" w:rsidRDefault="00014EFE" w:rsidP="00830F06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4.28</w:t>
                  </w:r>
                  <w:r w:rsidR="00BD4639">
                    <w:rPr>
                      <w:rFonts w:hint="eastAsia"/>
                      <w:sz w:val="16"/>
                      <w:szCs w:val="16"/>
                      <w:lang w:eastAsia="zh-CN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14:paraId="04395283" w14:textId="32C4AA79" w:rsidR="00830F06" w:rsidRDefault="00014EFE" w:rsidP="00830F06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4.36</w:t>
                  </w:r>
                  <w:r w:rsidR="00BE10B7">
                    <w:rPr>
                      <w:rFonts w:hint="eastAsia"/>
                      <w:sz w:val="16"/>
                      <w:szCs w:val="16"/>
                      <w:lang w:eastAsia="zh-CN"/>
                    </w:rPr>
                    <w:t>%</w:t>
                  </w:r>
                </w:p>
              </w:tc>
            </w:tr>
            <w:tr w:rsidR="00830F06" w:rsidRPr="002F062C" w14:paraId="42F79EE5" w14:textId="77777777" w:rsidTr="0010720B">
              <w:tc>
                <w:tcPr>
                  <w:tcW w:w="3037" w:type="dxa"/>
                  <w:gridSpan w:val="2"/>
                </w:tcPr>
                <w:p w14:paraId="11317549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 of Debt</w:t>
                  </w:r>
                </w:p>
              </w:tc>
              <w:tc>
                <w:tcPr>
                  <w:tcW w:w="1080" w:type="dxa"/>
                </w:tcPr>
                <w:p w14:paraId="316D237F" w14:textId="6ADEE59E" w:rsidR="00830F06" w:rsidRDefault="007B6D7D" w:rsidP="00830F06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2.0</w:t>
                  </w:r>
                  <w:r w:rsidR="00BE10B7">
                    <w:rPr>
                      <w:rFonts w:hint="eastAsia"/>
                      <w:sz w:val="16"/>
                      <w:szCs w:val="16"/>
                      <w:lang w:eastAsia="zh-CN"/>
                    </w:rPr>
                    <w:t>%</w:t>
                  </w:r>
                </w:p>
              </w:tc>
            </w:tr>
            <w:tr w:rsidR="00830F06" w:rsidRPr="002F062C" w14:paraId="67214880" w14:textId="77777777" w:rsidTr="0010720B">
              <w:tc>
                <w:tcPr>
                  <w:tcW w:w="3037" w:type="dxa"/>
                  <w:gridSpan w:val="2"/>
                </w:tcPr>
                <w:p w14:paraId="30979647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Tax Rate</w:t>
                  </w:r>
                </w:p>
              </w:tc>
              <w:tc>
                <w:tcPr>
                  <w:tcW w:w="1080" w:type="dxa"/>
                </w:tcPr>
                <w:p w14:paraId="426CE887" w14:textId="3AB93CF8" w:rsidR="00830F06" w:rsidRDefault="007B6D7D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  <w:r w:rsidR="00D0612C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830F06" w:rsidRPr="002F062C" w14:paraId="0F9564DE" w14:textId="77777777" w:rsidTr="0010720B">
              <w:tc>
                <w:tcPr>
                  <w:tcW w:w="3037" w:type="dxa"/>
                  <w:gridSpan w:val="2"/>
                </w:tcPr>
                <w:p w14:paraId="02E73EF4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Cost of Equity </w:t>
                  </w:r>
                </w:p>
              </w:tc>
              <w:tc>
                <w:tcPr>
                  <w:tcW w:w="1080" w:type="dxa"/>
                </w:tcPr>
                <w:p w14:paraId="7C66D20E" w14:textId="5B37C488" w:rsidR="00830F06" w:rsidRDefault="005D533F" w:rsidP="00830F06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11.7</w:t>
                  </w:r>
                  <w:r w:rsidR="00BE10B7">
                    <w:rPr>
                      <w:rFonts w:hint="eastAsia"/>
                      <w:sz w:val="16"/>
                      <w:szCs w:val="16"/>
                      <w:lang w:eastAsia="zh-CN"/>
                    </w:rPr>
                    <w:t>%</w:t>
                  </w:r>
                </w:p>
              </w:tc>
            </w:tr>
            <w:tr w:rsidR="00830F06" w:rsidRPr="002F062C" w14:paraId="19A1F6C8" w14:textId="77777777" w:rsidTr="0010720B">
              <w:tc>
                <w:tcPr>
                  <w:tcW w:w="3037" w:type="dxa"/>
                  <w:gridSpan w:val="2"/>
                </w:tcPr>
                <w:p w14:paraId="714B53EA" w14:textId="77777777" w:rsidR="00830F06" w:rsidRDefault="00830F06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WACC</w:t>
                  </w:r>
                </w:p>
              </w:tc>
              <w:tc>
                <w:tcPr>
                  <w:tcW w:w="1080" w:type="dxa"/>
                </w:tcPr>
                <w:p w14:paraId="71DF2BD8" w14:textId="3EDF9CE6" w:rsidR="00830F06" w:rsidRDefault="005D533F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9.6</w:t>
                  </w:r>
                  <w:r w:rsidR="00D0612C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830F06" w:rsidRPr="002F062C" w14:paraId="48232758" w14:textId="77777777" w:rsidTr="002D3CFC">
              <w:trPr>
                <w:trHeight w:val="197"/>
              </w:trPr>
              <w:tc>
                <w:tcPr>
                  <w:tcW w:w="3037" w:type="dxa"/>
                  <w:gridSpan w:val="2"/>
                </w:tcPr>
                <w:p w14:paraId="75850D20" w14:textId="0C27CA3A" w:rsidR="00830F06" w:rsidRDefault="0012425D" w:rsidP="001242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Perpetuity Growth Rate (Terminal)</w:t>
                  </w:r>
                </w:p>
              </w:tc>
              <w:tc>
                <w:tcPr>
                  <w:tcW w:w="1080" w:type="dxa"/>
                </w:tcPr>
                <w:p w14:paraId="0C5586DB" w14:textId="328CDA1A" w:rsidR="00830F06" w:rsidRDefault="005D533F" w:rsidP="00830F0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4.1</w:t>
                  </w:r>
                  <w:r w:rsidR="00D0612C">
                    <w:rPr>
                      <w:sz w:val="16"/>
                      <w:szCs w:val="16"/>
                    </w:rPr>
                    <w:t>%</w:t>
                  </w:r>
                </w:p>
              </w:tc>
            </w:tr>
          </w:tbl>
          <w:p w14:paraId="4363BD08" w14:textId="77777777" w:rsidR="009F0D12" w:rsidRPr="002F062C" w:rsidRDefault="009F0D12" w:rsidP="009F0D12">
            <w:pPr>
              <w:jc w:val="both"/>
              <w:rPr>
                <w:sz w:val="16"/>
                <w:szCs w:val="16"/>
              </w:rPr>
            </w:pPr>
            <w:r w:rsidRPr="002F062C">
              <w:rPr>
                <w:sz w:val="16"/>
                <w:szCs w:val="16"/>
              </w:rPr>
              <w:t xml:space="preserve">Analyst Opinion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1363"/>
              <w:gridCol w:w="1363"/>
            </w:tblGrid>
            <w:tr w:rsidR="009F0D12" w:rsidRPr="002F062C" w14:paraId="2502AA66" w14:textId="77777777" w:rsidTr="0010720B">
              <w:tc>
                <w:tcPr>
                  <w:tcW w:w="1363" w:type="dxa"/>
                  <w:shd w:val="clear" w:color="auto" w:fill="DBE5F1" w:themeFill="accent1" w:themeFillTint="33"/>
                </w:tcPr>
                <w:p w14:paraId="6457A1D0" w14:textId="14A03748" w:rsidR="009F0D12" w:rsidRPr="009D7A72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9D7A72">
                    <w:rPr>
                      <w:sz w:val="16"/>
                      <w:szCs w:val="16"/>
                    </w:rPr>
                    <w:t xml:space="preserve">Buy: </w:t>
                  </w:r>
                  <w:r w:rsidR="000528A3">
                    <w:rPr>
                      <w:rFonts w:hint="eastAs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3" w:type="dxa"/>
                  <w:shd w:val="clear" w:color="auto" w:fill="DBE5F1" w:themeFill="accent1" w:themeFillTint="33"/>
                </w:tcPr>
                <w:p w14:paraId="10E79476" w14:textId="73B2C43C" w:rsidR="009F0D12" w:rsidRPr="009D7A72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9D7A72">
                    <w:rPr>
                      <w:sz w:val="16"/>
                      <w:szCs w:val="16"/>
                    </w:rPr>
                    <w:t xml:space="preserve">Hold: </w:t>
                  </w:r>
                  <w:r w:rsidR="000528A3">
                    <w:rPr>
                      <w:rFonts w:hint="eastAs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3" w:type="dxa"/>
                  <w:shd w:val="clear" w:color="auto" w:fill="DBE5F1" w:themeFill="accent1" w:themeFillTint="33"/>
                </w:tcPr>
                <w:p w14:paraId="1F373BED" w14:textId="428EEA07" w:rsidR="009F0D12" w:rsidRPr="009D7A72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9D7A72">
                    <w:rPr>
                      <w:sz w:val="16"/>
                      <w:szCs w:val="16"/>
                    </w:rPr>
                    <w:t xml:space="preserve">Sell: </w:t>
                  </w:r>
                  <w:r w:rsidR="000528A3"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724FC07A" w14:textId="77777777" w:rsidR="009F0D12" w:rsidRPr="002F062C" w:rsidRDefault="009F0D12" w:rsidP="009F0D12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TableGrid"/>
              <w:tblW w:w="4117" w:type="dxa"/>
              <w:tblLook w:val="04A0" w:firstRow="1" w:lastRow="0" w:firstColumn="1" w:lastColumn="0" w:noHBand="0" w:noVBand="1"/>
            </w:tblPr>
            <w:tblGrid>
              <w:gridCol w:w="1721"/>
              <w:gridCol w:w="1048"/>
              <w:gridCol w:w="1348"/>
            </w:tblGrid>
            <w:tr w:rsidR="009F0D12" w:rsidRPr="002F062C" w14:paraId="0A705346" w14:textId="77777777" w:rsidTr="00D363A8">
              <w:tc>
                <w:tcPr>
                  <w:tcW w:w="1800" w:type="dxa"/>
                  <w:shd w:val="clear" w:color="auto" w:fill="DBE5F1" w:themeFill="accent1" w:themeFillTint="33"/>
                </w:tcPr>
                <w:p w14:paraId="7897F5B6" w14:textId="77777777" w:rsidR="009F0D12" w:rsidRPr="009D7A72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DBE5F1" w:themeFill="accent1" w:themeFillTint="33"/>
                </w:tcPr>
                <w:p w14:paraId="78BA4ECF" w14:textId="77777777" w:rsidR="009F0D12" w:rsidRPr="009D7A72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9D7A72">
                    <w:rPr>
                      <w:sz w:val="16"/>
                      <w:szCs w:val="16"/>
                    </w:rPr>
                    <w:t xml:space="preserve">Rating 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</w:tcPr>
                <w:p w14:paraId="1E6E599B" w14:textId="77777777" w:rsidR="009F0D12" w:rsidRPr="009D7A72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9D7A72">
                    <w:rPr>
                      <w:sz w:val="16"/>
                      <w:szCs w:val="16"/>
                    </w:rPr>
                    <w:t xml:space="preserve">Target </w:t>
                  </w:r>
                </w:p>
              </w:tc>
            </w:tr>
            <w:tr w:rsidR="009F0D12" w:rsidRPr="002F062C" w14:paraId="18B2C8FA" w14:textId="77777777" w:rsidTr="00D363A8">
              <w:tc>
                <w:tcPr>
                  <w:tcW w:w="1800" w:type="dxa"/>
                </w:tcPr>
                <w:p w14:paraId="12374E3E" w14:textId="77777777" w:rsidR="009F0D12" w:rsidRPr="009D7A72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9D7A72">
                    <w:rPr>
                      <w:sz w:val="16"/>
                      <w:szCs w:val="16"/>
                    </w:rPr>
                    <w:t xml:space="preserve">S&amp;P Net Advantage </w:t>
                  </w:r>
                </w:p>
              </w:tc>
              <w:tc>
                <w:tcPr>
                  <w:tcW w:w="900" w:type="dxa"/>
                </w:tcPr>
                <w:p w14:paraId="6EC161A2" w14:textId="5E44792C" w:rsidR="009F0D12" w:rsidRPr="009D7A72" w:rsidRDefault="00A717BA" w:rsidP="009F0D1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star</w:t>
                  </w:r>
                </w:p>
              </w:tc>
              <w:tc>
                <w:tcPr>
                  <w:tcW w:w="1417" w:type="dxa"/>
                </w:tcPr>
                <w:p w14:paraId="0BCB7E23" w14:textId="6460525C" w:rsidR="009F0D12" w:rsidRPr="009D7A72" w:rsidRDefault="007D12F0" w:rsidP="009F0D1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$</w:t>
                  </w:r>
                  <w:r w:rsidR="00A717BA">
                    <w:rPr>
                      <w:sz w:val="16"/>
                      <w:szCs w:val="16"/>
                    </w:rPr>
                    <w:t>54</w:t>
                  </w:r>
                </w:p>
              </w:tc>
            </w:tr>
            <w:tr w:rsidR="009F0D12" w:rsidRPr="002F062C" w14:paraId="35B4D85C" w14:textId="77777777" w:rsidTr="00D363A8">
              <w:trPr>
                <w:trHeight w:val="215"/>
              </w:trPr>
              <w:tc>
                <w:tcPr>
                  <w:tcW w:w="1800" w:type="dxa"/>
                </w:tcPr>
                <w:p w14:paraId="1DD4E482" w14:textId="4558A51F" w:rsidR="009F0D12" w:rsidRPr="009D7A72" w:rsidRDefault="0029559F" w:rsidP="009F0D1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Morning Star</w:t>
                  </w:r>
                </w:p>
              </w:tc>
              <w:tc>
                <w:tcPr>
                  <w:tcW w:w="900" w:type="dxa"/>
                </w:tcPr>
                <w:p w14:paraId="0B4EFFDC" w14:textId="59C26F18" w:rsidR="009F0D12" w:rsidRPr="009D7A72" w:rsidRDefault="000528A3" w:rsidP="009F0D1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 </w:t>
                  </w:r>
                  <w:r w:rsidR="00AB159E">
                    <w:rPr>
                      <w:sz w:val="16"/>
                      <w:szCs w:val="16"/>
                    </w:rPr>
                    <w:t>star</w:t>
                  </w:r>
                </w:p>
              </w:tc>
              <w:tc>
                <w:tcPr>
                  <w:tcW w:w="1417" w:type="dxa"/>
                </w:tcPr>
                <w:p w14:paraId="70BA49F9" w14:textId="36A11C43" w:rsidR="009F0D12" w:rsidRPr="009D7A72" w:rsidRDefault="00EF1E8D" w:rsidP="009F0D12">
                  <w:pPr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$6</w:t>
                  </w:r>
                  <w:r w:rsidR="000528A3">
                    <w:rPr>
                      <w:sz w:val="16"/>
                      <w:szCs w:val="16"/>
                      <w:lang w:eastAsia="zh-CN"/>
                    </w:rPr>
                    <w:t>5</w:t>
                  </w:r>
                </w:p>
              </w:tc>
            </w:tr>
            <w:tr w:rsidR="009F0D12" w:rsidRPr="002F062C" w14:paraId="0BBF9B66" w14:textId="77777777" w:rsidTr="00D363A8">
              <w:trPr>
                <w:trHeight w:val="215"/>
              </w:trPr>
              <w:tc>
                <w:tcPr>
                  <w:tcW w:w="1800" w:type="dxa"/>
                </w:tcPr>
                <w:p w14:paraId="0E7E15E7" w14:textId="50B93F2B" w:rsidR="009F0D12" w:rsidRPr="009D7A72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Value Line </w:t>
                  </w:r>
                </w:p>
              </w:tc>
              <w:tc>
                <w:tcPr>
                  <w:tcW w:w="900" w:type="dxa"/>
                </w:tcPr>
                <w:p w14:paraId="161AF23F" w14:textId="66B49E83" w:rsidR="009F0D12" w:rsidRPr="009D7A72" w:rsidRDefault="007D12F0" w:rsidP="009F0D1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Timeliness</w:t>
                  </w:r>
                  <w:r w:rsidR="001D3CAE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22CC1EA0" w14:textId="3DB5F54F" w:rsidR="009F0D12" w:rsidRPr="009D7A72" w:rsidRDefault="000528A3" w:rsidP="009F0D1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$55-85</w:t>
                  </w:r>
                </w:p>
              </w:tc>
            </w:tr>
          </w:tbl>
          <w:p w14:paraId="577D83D9" w14:textId="77777777" w:rsidR="002D3CFC" w:rsidRPr="002F062C" w:rsidRDefault="002D3CFC" w:rsidP="00443ED9">
            <w:pPr>
              <w:jc w:val="both"/>
              <w:rPr>
                <w:sz w:val="16"/>
                <w:szCs w:val="16"/>
              </w:rPr>
            </w:pPr>
          </w:p>
        </w:tc>
      </w:tr>
    </w:tbl>
    <w:p w14:paraId="2B589A9D" w14:textId="77777777" w:rsidR="00830F06" w:rsidRDefault="00830F06" w:rsidP="00443ED9">
      <w:pPr>
        <w:ind w:left="-1440"/>
        <w:jc w:val="both"/>
        <w:rPr>
          <w:b/>
          <w:sz w:val="16"/>
          <w:szCs w:val="16"/>
        </w:rPr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7473"/>
        <w:gridCol w:w="4392"/>
      </w:tblGrid>
      <w:tr w:rsidR="004F2EAA" w14:paraId="660DEC2C" w14:textId="77777777" w:rsidTr="00034A52">
        <w:tc>
          <w:tcPr>
            <w:tcW w:w="7488" w:type="dxa"/>
            <w:shd w:val="clear" w:color="auto" w:fill="365F91" w:themeFill="accent1" w:themeFillShade="BF"/>
          </w:tcPr>
          <w:p w14:paraId="1BAF6900" w14:textId="27A2E398" w:rsidR="004F2EAA" w:rsidRPr="00900789" w:rsidRDefault="004F2EAA" w:rsidP="004F2EAA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00789">
              <w:rPr>
                <w:b/>
                <w:color w:val="FFFFFF" w:themeColor="background1"/>
                <w:sz w:val="16"/>
                <w:szCs w:val="16"/>
              </w:rPr>
              <w:t>Relative Valuation</w:t>
            </w:r>
          </w:p>
        </w:tc>
        <w:tc>
          <w:tcPr>
            <w:tcW w:w="4320" w:type="dxa"/>
            <w:shd w:val="clear" w:color="auto" w:fill="365F91" w:themeFill="accent1" w:themeFillShade="BF"/>
          </w:tcPr>
          <w:p w14:paraId="335BDBD9" w14:textId="160EB620" w:rsidR="004F2EAA" w:rsidRPr="00034A52" w:rsidRDefault="000E0407" w:rsidP="0010720B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0E0407">
              <w:rPr>
                <w:b/>
                <w:color w:val="FFFFFF" w:themeColor="background1"/>
                <w:sz w:val="16"/>
                <w:szCs w:val="16"/>
              </w:rPr>
              <w:t>Total Return</w:t>
            </w:r>
          </w:p>
        </w:tc>
      </w:tr>
      <w:tr w:rsidR="004F2EAA" w14:paraId="2AA141CB" w14:textId="77777777" w:rsidTr="00DF0D9C">
        <w:trPr>
          <w:trHeight w:val="2591"/>
        </w:trPr>
        <w:tc>
          <w:tcPr>
            <w:tcW w:w="7488" w:type="dxa"/>
          </w:tcPr>
          <w:p w14:paraId="3F2A33BE" w14:textId="77777777" w:rsidR="004F2EAA" w:rsidRDefault="004F2EAA" w:rsidP="0010720B">
            <w:pPr>
              <w:jc w:val="both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7247" w:type="dxa"/>
              <w:tblLook w:val="04A0" w:firstRow="1" w:lastRow="0" w:firstColumn="1" w:lastColumn="0" w:noHBand="0" w:noVBand="1"/>
            </w:tblPr>
            <w:tblGrid>
              <w:gridCol w:w="1521"/>
              <w:gridCol w:w="1048"/>
              <w:gridCol w:w="1134"/>
              <w:gridCol w:w="1134"/>
              <w:gridCol w:w="1178"/>
              <w:gridCol w:w="1232"/>
            </w:tblGrid>
            <w:tr w:rsidR="007D4DEC" w14:paraId="03A7F5D8" w14:textId="77777777" w:rsidTr="007D4DEC">
              <w:tc>
                <w:tcPr>
                  <w:tcW w:w="1521" w:type="dxa"/>
                  <w:shd w:val="clear" w:color="auto" w:fill="DBE5F1" w:themeFill="accent1" w:themeFillTint="33"/>
                </w:tcPr>
                <w:p w14:paraId="18F981FE" w14:textId="77777777" w:rsidR="007D4DEC" w:rsidRDefault="007D4DEC" w:rsidP="004F2E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FY2014</w:t>
                  </w:r>
                </w:p>
              </w:tc>
              <w:tc>
                <w:tcPr>
                  <w:tcW w:w="1048" w:type="dxa"/>
                  <w:shd w:val="clear" w:color="auto" w:fill="DBE5F1" w:themeFill="accent1" w:themeFillTint="33"/>
                </w:tcPr>
                <w:p w14:paraId="36FCBD39" w14:textId="718CC7E0" w:rsidR="007D4DEC" w:rsidRDefault="007D4DEC" w:rsidP="009755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Phillips 66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</w:tcPr>
                <w:p w14:paraId="18F40648" w14:textId="4CDA39D0" w:rsidR="007D4DEC" w:rsidRDefault="007D4DEC" w:rsidP="009755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Valero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</w:tcPr>
                <w:p w14:paraId="64A1B213" w14:textId="4F731DDE" w:rsidR="007D4DEC" w:rsidRDefault="007D4DEC" w:rsidP="009755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Tesoro</w:t>
                  </w:r>
                </w:p>
              </w:tc>
              <w:tc>
                <w:tcPr>
                  <w:tcW w:w="1178" w:type="dxa"/>
                  <w:shd w:val="clear" w:color="auto" w:fill="DBE5F1" w:themeFill="accent1" w:themeFillTint="33"/>
                </w:tcPr>
                <w:p w14:paraId="2A396C67" w14:textId="384FC983" w:rsidR="007D4DEC" w:rsidRDefault="007D4DEC" w:rsidP="009755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Industry</w:t>
                  </w:r>
                </w:p>
              </w:tc>
              <w:tc>
                <w:tcPr>
                  <w:tcW w:w="1232" w:type="dxa"/>
                  <w:shd w:val="clear" w:color="auto" w:fill="DBE5F1" w:themeFill="accent1" w:themeFillTint="33"/>
                </w:tcPr>
                <w:p w14:paraId="78007BAA" w14:textId="381248CF" w:rsidR="007D4DEC" w:rsidRDefault="003C3EC1" w:rsidP="0097552E">
                  <w:pPr>
                    <w:jc w:val="center"/>
                    <w:rPr>
                      <w:rFonts w:hint="eastAsia"/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</w:rPr>
                    <w:t>Marathon</w:t>
                  </w:r>
                </w:p>
              </w:tc>
            </w:tr>
            <w:tr w:rsidR="007D4DEC" w14:paraId="5DA42BF7" w14:textId="77777777" w:rsidTr="007D4DEC">
              <w:tc>
                <w:tcPr>
                  <w:tcW w:w="1521" w:type="dxa"/>
                </w:tcPr>
                <w:p w14:paraId="5D8F0BAD" w14:textId="77777777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P/E</w:t>
                  </w:r>
                </w:p>
              </w:tc>
              <w:tc>
                <w:tcPr>
                  <w:tcW w:w="1048" w:type="dxa"/>
                  <w:vAlign w:val="bottom"/>
                </w:tcPr>
                <w:p w14:paraId="53BFCC21" w14:textId="54F3EE83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13.31</w:t>
                  </w:r>
                </w:p>
              </w:tc>
              <w:tc>
                <w:tcPr>
                  <w:tcW w:w="1134" w:type="dxa"/>
                  <w:vAlign w:val="bottom"/>
                </w:tcPr>
                <w:p w14:paraId="0006F77E" w14:textId="24A1580C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8.03</w:t>
                  </w:r>
                </w:p>
              </w:tc>
              <w:tc>
                <w:tcPr>
                  <w:tcW w:w="1134" w:type="dxa"/>
                  <w:vAlign w:val="bottom"/>
                </w:tcPr>
                <w:p w14:paraId="265146A9" w14:textId="23C526CE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8.56</w:t>
                  </w:r>
                </w:p>
              </w:tc>
              <w:tc>
                <w:tcPr>
                  <w:tcW w:w="1178" w:type="dxa"/>
                  <w:vAlign w:val="bottom"/>
                </w:tcPr>
                <w:p w14:paraId="1710897B" w14:textId="730679F7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11.20</w:t>
                  </w:r>
                </w:p>
              </w:tc>
              <w:tc>
                <w:tcPr>
                  <w:tcW w:w="1232" w:type="dxa"/>
                  <w:vAlign w:val="bottom"/>
                </w:tcPr>
                <w:p w14:paraId="7076EAC1" w14:textId="48236FF7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9.67</w:t>
                  </w:r>
                </w:p>
              </w:tc>
            </w:tr>
            <w:tr w:rsidR="007D4DEC" w14:paraId="3CF28431" w14:textId="77777777" w:rsidTr="007D4DEC">
              <w:tc>
                <w:tcPr>
                  <w:tcW w:w="1521" w:type="dxa"/>
                </w:tcPr>
                <w:p w14:paraId="7E3790DF" w14:textId="77777777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P/B</w:t>
                  </w:r>
                </w:p>
              </w:tc>
              <w:tc>
                <w:tcPr>
                  <w:tcW w:w="1048" w:type="dxa"/>
                  <w:vAlign w:val="bottom"/>
                </w:tcPr>
                <w:p w14:paraId="34BDBBAA" w14:textId="02E6EACA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1134" w:type="dxa"/>
                  <w:vAlign w:val="bottom"/>
                </w:tcPr>
                <w:p w14:paraId="6DD53DF3" w14:textId="335333F8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1.60</w:t>
                  </w:r>
                </w:p>
              </w:tc>
              <w:tc>
                <w:tcPr>
                  <w:tcW w:w="1134" w:type="dxa"/>
                  <w:vAlign w:val="bottom"/>
                </w:tcPr>
                <w:p w14:paraId="28B68146" w14:textId="2A77F629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2.55</w:t>
                  </w:r>
                </w:p>
              </w:tc>
              <w:tc>
                <w:tcPr>
                  <w:tcW w:w="1178" w:type="dxa"/>
                  <w:vAlign w:val="bottom"/>
                </w:tcPr>
                <w:p w14:paraId="7C8A26C7" w14:textId="31305C68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2.35</w:t>
                  </w:r>
                </w:p>
              </w:tc>
              <w:tc>
                <w:tcPr>
                  <w:tcW w:w="1232" w:type="dxa"/>
                  <w:vAlign w:val="bottom"/>
                </w:tcPr>
                <w:p w14:paraId="5AFEA404" w14:textId="232ABC32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2.42</w:t>
                  </w:r>
                </w:p>
              </w:tc>
            </w:tr>
            <w:tr w:rsidR="007D4DEC" w14:paraId="0617F604" w14:textId="77777777" w:rsidTr="007D4DEC">
              <w:tc>
                <w:tcPr>
                  <w:tcW w:w="1521" w:type="dxa"/>
                </w:tcPr>
                <w:p w14:paraId="3EC6238B" w14:textId="77777777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Dividend Yield </w:t>
                  </w:r>
                </w:p>
              </w:tc>
              <w:tc>
                <w:tcPr>
                  <w:tcW w:w="1048" w:type="dxa"/>
                  <w:vAlign w:val="bottom"/>
                </w:tcPr>
                <w:p w14:paraId="524E59DF" w14:textId="6098F18A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2.29</w:t>
                  </w:r>
                </w:p>
              </w:tc>
              <w:tc>
                <w:tcPr>
                  <w:tcW w:w="1134" w:type="dxa"/>
                  <w:vAlign w:val="bottom"/>
                </w:tcPr>
                <w:p w14:paraId="22DA99B4" w14:textId="023B5CD2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1134" w:type="dxa"/>
                  <w:vAlign w:val="bottom"/>
                </w:tcPr>
                <w:p w14:paraId="37475220" w14:textId="4194BB11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1.45</w:t>
                  </w:r>
                </w:p>
              </w:tc>
              <w:tc>
                <w:tcPr>
                  <w:tcW w:w="1178" w:type="dxa"/>
                  <w:vAlign w:val="bottom"/>
                </w:tcPr>
                <w:p w14:paraId="46267742" w14:textId="07748517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5.29</w:t>
                  </w:r>
                </w:p>
              </w:tc>
              <w:tc>
                <w:tcPr>
                  <w:tcW w:w="1232" w:type="dxa"/>
                  <w:vAlign w:val="bottom"/>
                </w:tcPr>
                <w:p w14:paraId="4CB9EC74" w14:textId="6F9AA489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1.93</w:t>
                  </w:r>
                </w:p>
              </w:tc>
            </w:tr>
            <w:tr w:rsidR="007D4DEC" w14:paraId="4505851E" w14:textId="77777777" w:rsidTr="007D4DEC">
              <w:tc>
                <w:tcPr>
                  <w:tcW w:w="1521" w:type="dxa"/>
                </w:tcPr>
                <w:p w14:paraId="6045AE39" w14:textId="77777777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PEG Ratio </w:t>
                  </w:r>
                </w:p>
              </w:tc>
              <w:tc>
                <w:tcPr>
                  <w:tcW w:w="1048" w:type="dxa"/>
                  <w:vAlign w:val="bottom"/>
                </w:tcPr>
                <w:p w14:paraId="6C39B871" w14:textId="1646B3FC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2.27</w:t>
                  </w:r>
                </w:p>
              </w:tc>
              <w:tc>
                <w:tcPr>
                  <w:tcW w:w="1134" w:type="dxa"/>
                  <w:vAlign w:val="bottom"/>
                </w:tcPr>
                <w:p w14:paraId="7D65AAED" w14:textId="3AC9EEE8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2.94</w:t>
                  </w:r>
                </w:p>
              </w:tc>
              <w:tc>
                <w:tcPr>
                  <w:tcW w:w="1134" w:type="dxa"/>
                  <w:vAlign w:val="bottom"/>
                </w:tcPr>
                <w:p w14:paraId="405B4B3F" w14:textId="5C0B1B52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0.50</w:t>
                  </w:r>
                </w:p>
              </w:tc>
              <w:tc>
                <w:tcPr>
                  <w:tcW w:w="1178" w:type="dxa"/>
                  <w:vAlign w:val="bottom"/>
                </w:tcPr>
                <w:p w14:paraId="09628130" w14:textId="4CEBC778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1.74</w:t>
                  </w:r>
                </w:p>
              </w:tc>
              <w:tc>
                <w:tcPr>
                  <w:tcW w:w="1232" w:type="dxa"/>
                  <w:vAlign w:val="bottom"/>
                </w:tcPr>
                <w:p w14:paraId="2302C4FD" w14:textId="77D3E12F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3.50</w:t>
                  </w:r>
                </w:p>
              </w:tc>
            </w:tr>
            <w:tr w:rsidR="007D4DEC" w14:paraId="06FF3325" w14:textId="77777777" w:rsidTr="007D4DEC">
              <w:tc>
                <w:tcPr>
                  <w:tcW w:w="1521" w:type="dxa"/>
                </w:tcPr>
                <w:p w14:paraId="7FD0AD7B" w14:textId="77777777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EPS</w:t>
                  </w:r>
                </w:p>
              </w:tc>
              <w:tc>
                <w:tcPr>
                  <w:tcW w:w="1048" w:type="dxa"/>
                  <w:vAlign w:val="bottom"/>
                </w:tcPr>
                <w:p w14:paraId="039C42DF" w14:textId="4C29A129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8.64</w:t>
                  </w:r>
                </w:p>
              </w:tc>
              <w:tc>
                <w:tcPr>
                  <w:tcW w:w="1134" w:type="dxa"/>
                  <w:vAlign w:val="bottom"/>
                </w:tcPr>
                <w:p w14:paraId="1CBE09CE" w14:textId="6B554133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9.55</w:t>
                  </w:r>
                </w:p>
              </w:tc>
              <w:tc>
                <w:tcPr>
                  <w:tcW w:w="1134" w:type="dxa"/>
                  <w:vAlign w:val="bottom"/>
                </w:tcPr>
                <w:p w14:paraId="418ADE6E" w14:textId="3369E8AC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13.15</w:t>
                  </w:r>
                </w:p>
              </w:tc>
              <w:tc>
                <w:tcPr>
                  <w:tcW w:w="1178" w:type="dxa"/>
                  <w:vAlign w:val="bottom"/>
                </w:tcPr>
                <w:p w14:paraId="0783FD74" w14:textId="569914A1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4.99</w:t>
                  </w:r>
                </w:p>
              </w:tc>
              <w:tc>
                <w:tcPr>
                  <w:tcW w:w="1232" w:type="dxa"/>
                  <w:vAlign w:val="bottom"/>
                </w:tcPr>
                <w:p w14:paraId="6D9EF64C" w14:textId="65BAF591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6.36</w:t>
                  </w:r>
                </w:p>
              </w:tc>
            </w:tr>
            <w:tr w:rsidR="007D4DEC" w14:paraId="777301C1" w14:textId="77777777" w:rsidTr="007D4DEC">
              <w:tc>
                <w:tcPr>
                  <w:tcW w:w="1521" w:type="dxa"/>
                </w:tcPr>
                <w:p w14:paraId="0759BE0E" w14:textId="5BF8D697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Rev Growth (1 </w:t>
                  </w:r>
                  <w:proofErr w:type="spellStart"/>
                  <w:r>
                    <w:rPr>
                      <w:sz w:val="16"/>
                      <w:szCs w:val="16"/>
                    </w:rPr>
                    <w:t>Yr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48" w:type="dxa"/>
                  <w:vAlign w:val="bottom"/>
                </w:tcPr>
                <w:p w14:paraId="18DCC7A0" w14:textId="506BB489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(7.11)</w:t>
                  </w:r>
                </w:p>
              </w:tc>
              <w:tc>
                <w:tcPr>
                  <w:tcW w:w="1134" w:type="dxa"/>
                  <w:vAlign w:val="bottom"/>
                </w:tcPr>
                <w:p w14:paraId="68E302DD" w14:textId="4EF9C515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(5.24)</w:t>
                  </w:r>
                </w:p>
              </w:tc>
              <w:tc>
                <w:tcPr>
                  <w:tcW w:w="1134" w:type="dxa"/>
                  <w:vAlign w:val="bottom"/>
                </w:tcPr>
                <w:p w14:paraId="67F1CBE6" w14:textId="364BFB20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8.06</w:t>
                  </w:r>
                </w:p>
              </w:tc>
              <w:tc>
                <w:tcPr>
                  <w:tcW w:w="1178" w:type="dxa"/>
                  <w:vAlign w:val="bottom"/>
                </w:tcPr>
                <w:p w14:paraId="42281ACF" w14:textId="0BDA837A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4.52</w:t>
                  </w:r>
                </w:p>
              </w:tc>
              <w:tc>
                <w:tcPr>
                  <w:tcW w:w="1232" w:type="dxa"/>
                  <w:vAlign w:val="bottom"/>
                </w:tcPr>
                <w:p w14:paraId="17995264" w14:textId="58F2A215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(2.94)</w:t>
                  </w:r>
                </w:p>
              </w:tc>
            </w:tr>
            <w:tr w:rsidR="007D4DEC" w14:paraId="616F0554" w14:textId="77777777" w:rsidTr="007D4DEC">
              <w:tc>
                <w:tcPr>
                  <w:tcW w:w="1521" w:type="dxa"/>
                </w:tcPr>
                <w:p w14:paraId="12174486" w14:textId="19744DCD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NI Growth (1 </w:t>
                  </w:r>
                  <w:proofErr w:type="spellStart"/>
                  <w:r>
                    <w:rPr>
                      <w:sz w:val="16"/>
                      <w:szCs w:val="16"/>
                    </w:rPr>
                    <w:t>Yrs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1048" w:type="dxa"/>
                  <w:vAlign w:val="bottom"/>
                </w:tcPr>
                <w:p w14:paraId="21AC8274" w14:textId="24FACCBE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27.80</w:t>
                  </w:r>
                </w:p>
              </w:tc>
              <w:tc>
                <w:tcPr>
                  <w:tcW w:w="1134" w:type="dxa"/>
                  <w:vAlign w:val="bottom"/>
                </w:tcPr>
                <w:p w14:paraId="72155156" w14:textId="7F1CBA63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33.46</w:t>
                  </w:r>
                </w:p>
              </w:tc>
              <w:tc>
                <w:tcPr>
                  <w:tcW w:w="1134" w:type="dxa"/>
                  <w:vAlign w:val="bottom"/>
                </w:tcPr>
                <w:p w14:paraId="36DE4F19" w14:textId="5E9A8DF4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104.61</w:t>
                  </w:r>
                </w:p>
              </w:tc>
              <w:tc>
                <w:tcPr>
                  <w:tcW w:w="1178" w:type="dxa"/>
                  <w:vAlign w:val="bottom"/>
                </w:tcPr>
                <w:p w14:paraId="098D397E" w14:textId="68150246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32.78</w:t>
                  </w:r>
                </w:p>
              </w:tc>
              <w:tc>
                <w:tcPr>
                  <w:tcW w:w="1232" w:type="dxa"/>
                  <w:vAlign w:val="bottom"/>
                </w:tcPr>
                <w:p w14:paraId="09E34E39" w14:textId="2534960E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19.51</w:t>
                  </w:r>
                </w:p>
              </w:tc>
            </w:tr>
            <w:tr w:rsidR="007D4DEC" w14:paraId="339AECB6" w14:textId="77777777" w:rsidTr="007D4DEC">
              <w:tc>
                <w:tcPr>
                  <w:tcW w:w="1521" w:type="dxa"/>
                </w:tcPr>
                <w:p w14:paraId="7B2C49BE" w14:textId="77777777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Operating Margin </w:t>
                  </w:r>
                </w:p>
              </w:tc>
              <w:tc>
                <w:tcPr>
                  <w:tcW w:w="1048" w:type="dxa"/>
                  <w:vAlign w:val="bottom"/>
                </w:tcPr>
                <w:p w14:paraId="6D16033E" w14:textId="18AC3BA1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8.21</w:t>
                  </w:r>
                </w:p>
              </w:tc>
              <w:tc>
                <w:tcPr>
                  <w:tcW w:w="1134" w:type="dxa"/>
                  <w:vAlign w:val="bottom"/>
                </w:tcPr>
                <w:p w14:paraId="0087603B" w14:textId="7B8285D4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9.47</w:t>
                  </w:r>
                </w:p>
              </w:tc>
              <w:tc>
                <w:tcPr>
                  <w:tcW w:w="1134" w:type="dxa"/>
                  <w:vAlign w:val="bottom"/>
                </w:tcPr>
                <w:p w14:paraId="648370E7" w14:textId="307BB181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16.69</w:t>
                  </w:r>
                </w:p>
              </w:tc>
              <w:tc>
                <w:tcPr>
                  <w:tcW w:w="1178" w:type="dxa"/>
                  <w:vAlign w:val="bottom"/>
                </w:tcPr>
                <w:p w14:paraId="218F33F9" w14:textId="2E9718A4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9.10</w:t>
                  </w:r>
                </w:p>
              </w:tc>
              <w:tc>
                <w:tcPr>
                  <w:tcW w:w="1232" w:type="dxa"/>
                  <w:vAlign w:val="bottom"/>
                </w:tcPr>
                <w:p w14:paraId="0DC9A589" w14:textId="0E20B859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9.02</w:t>
                  </w:r>
                </w:p>
              </w:tc>
            </w:tr>
            <w:tr w:rsidR="007D4DEC" w14:paraId="064AA80D" w14:textId="77777777" w:rsidTr="007D4DEC">
              <w:tc>
                <w:tcPr>
                  <w:tcW w:w="1521" w:type="dxa"/>
                </w:tcPr>
                <w:p w14:paraId="5977E240" w14:textId="77777777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Debt / Equity </w:t>
                  </w:r>
                </w:p>
              </w:tc>
              <w:tc>
                <w:tcPr>
                  <w:tcW w:w="1048" w:type="dxa"/>
                  <w:vAlign w:val="bottom"/>
                </w:tcPr>
                <w:p w14:paraId="672F8CCF" w14:textId="5C176A7C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37.25</w:t>
                  </w:r>
                </w:p>
              </w:tc>
              <w:tc>
                <w:tcPr>
                  <w:tcW w:w="1134" w:type="dxa"/>
                  <w:vAlign w:val="bottom"/>
                </w:tcPr>
                <w:p w14:paraId="2639E00E" w14:textId="51189D87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33.75</w:t>
                  </w:r>
                </w:p>
              </w:tc>
              <w:tc>
                <w:tcPr>
                  <w:tcW w:w="1134" w:type="dxa"/>
                  <w:vAlign w:val="bottom"/>
                </w:tcPr>
                <w:p w14:paraId="1555406C" w14:textId="5BE2A7B3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48.24</w:t>
                  </w:r>
                </w:p>
              </w:tc>
              <w:tc>
                <w:tcPr>
                  <w:tcW w:w="1178" w:type="dxa"/>
                  <w:vAlign w:val="bottom"/>
                </w:tcPr>
                <w:p w14:paraId="02951FB8" w14:textId="7405BBC7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51.36</w:t>
                  </w:r>
                </w:p>
              </w:tc>
              <w:tc>
                <w:tcPr>
                  <w:tcW w:w="1232" w:type="dxa"/>
                  <w:vAlign w:val="bottom"/>
                </w:tcPr>
                <w:p w14:paraId="2DEE76F7" w14:textId="2AA016F5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51.78</w:t>
                  </w:r>
                </w:p>
              </w:tc>
            </w:tr>
            <w:tr w:rsidR="007D4DEC" w14:paraId="36B329ED" w14:textId="77777777" w:rsidTr="007D4DEC">
              <w:tc>
                <w:tcPr>
                  <w:tcW w:w="1521" w:type="dxa"/>
                </w:tcPr>
                <w:p w14:paraId="791DB0D1" w14:textId="77777777" w:rsidR="007D4DEC" w:rsidRDefault="007D4DEC" w:rsidP="006B0A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Market Cap</w:t>
                  </w:r>
                </w:p>
              </w:tc>
              <w:tc>
                <w:tcPr>
                  <w:tcW w:w="1048" w:type="dxa"/>
                  <w:vAlign w:val="bottom"/>
                </w:tcPr>
                <w:p w14:paraId="031547AD" w14:textId="5A9D8793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49,343.23</w:t>
                  </w:r>
                </w:p>
              </w:tc>
              <w:tc>
                <w:tcPr>
                  <w:tcW w:w="1134" w:type="dxa"/>
                  <w:vAlign w:val="bottom"/>
                </w:tcPr>
                <w:p w14:paraId="626B742A" w14:textId="50790D13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34,008.59</w:t>
                  </w:r>
                </w:p>
              </w:tc>
              <w:tc>
                <w:tcPr>
                  <w:tcW w:w="1134" w:type="dxa"/>
                  <w:vAlign w:val="bottom"/>
                </w:tcPr>
                <w:p w14:paraId="4F545191" w14:textId="4EF76226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13,653.49</w:t>
                  </w:r>
                </w:p>
              </w:tc>
              <w:tc>
                <w:tcPr>
                  <w:tcW w:w="1178" w:type="dxa"/>
                  <w:vAlign w:val="bottom"/>
                </w:tcPr>
                <w:p w14:paraId="70C9FE24" w14:textId="7630790C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13,813.42</w:t>
                  </w:r>
                </w:p>
              </w:tc>
              <w:tc>
                <w:tcPr>
                  <w:tcW w:w="1232" w:type="dxa"/>
                  <w:vAlign w:val="bottom"/>
                </w:tcPr>
                <w:p w14:paraId="10279C73" w14:textId="7B010795" w:rsidR="007D4DEC" w:rsidRDefault="007D4DEC" w:rsidP="007D4DEC">
                  <w:pPr>
                    <w:jc w:val="center"/>
                    <w:rPr>
                      <w:sz w:val="16"/>
                      <w:szCs w:val="16"/>
                    </w:rPr>
                  </w:pPr>
                  <w:r w:rsidRPr="007D4DEC">
                    <w:rPr>
                      <w:sz w:val="16"/>
                      <w:szCs w:val="16"/>
                    </w:rPr>
                    <w:t>29,606.39</w:t>
                  </w:r>
                </w:p>
              </w:tc>
            </w:tr>
          </w:tbl>
          <w:p w14:paraId="67108435" w14:textId="3EF34397" w:rsidR="00D8492B" w:rsidRDefault="00D8492B" w:rsidP="0010720B">
            <w:pPr>
              <w:jc w:val="both"/>
              <w:rPr>
                <w:b/>
                <w:sz w:val="16"/>
                <w:szCs w:val="16"/>
              </w:rPr>
            </w:pPr>
            <w:r w:rsidRPr="00D8492B">
              <w:rPr>
                <w:b/>
                <w:sz w:val="16"/>
                <w:szCs w:val="16"/>
              </w:rPr>
              <w:t xml:space="preserve">Sources: Bloomberg, S&amp;P </w:t>
            </w:r>
            <w:proofErr w:type="spellStart"/>
            <w:r w:rsidRPr="00D8492B">
              <w:rPr>
                <w:b/>
                <w:sz w:val="16"/>
                <w:szCs w:val="16"/>
              </w:rPr>
              <w:t>NetAdvantage</w:t>
            </w:r>
            <w:proofErr w:type="spellEnd"/>
            <w:r w:rsidRPr="00D8492B">
              <w:rPr>
                <w:b/>
                <w:sz w:val="16"/>
                <w:szCs w:val="16"/>
              </w:rPr>
              <w:t xml:space="preserve">, VLIS, Morningstar </w:t>
            </w:r>
          </w:p>
        </w:tc>
        <w:tc>
          <w:tcPr>
            <w:tcW w:w="4320" w:type="dxa"/>
          </w:tcPr>
          <w:p w14:paraId="7FACE228" w14:textId="170AD80A" w:rsidR="004F2EAA" w:rsidRDefault="004F2EAA" w:rsidP="0010720B">
            <w:pPr>
              <w:jc w:val="both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4094" w:type="dxa"/>
              <w:tblLook w:val="04A0" w:firstRow="1" w:lastRow="0" w:firstColumn="1" w:lastColumn="0" w:noHBand="0" w:noVBand="1"/>
            </w:tblPr>
            <w:tblGrid>
              <w:gridCol w:w="1422"/>
              <w:gridCol w:w="900"/>
              <w:gridCol w:w="810"/>
              <w:gridCol w:w="962"/>
            </w:tblGrid>
            <w:tr w:rsidR="00EA5213" w14:paraId="39927E41" w14:textId="77777777" w:rsidTr="0060598F">
              <w:tc>
                <w:tcPr>
                  <w:tcW w:w="1422" w:type="dxa"/>
                  <w:shd w:val="clear" w:color="auto" w:fill="DBE5F1" w:themeFill="accent1" w:themeFillTint="33"/>
                </w:tcPr>
                <w:p w14:paraId="405B542F" w14:textId="7C67957F" w:rsidR="00EA5213" w:rsidRDefault="00EA5213" w:rsidP="00EA521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DBE5F1" w:themeFill="accent1" w:themeFillTint="33"/>
                </w:tcPr>
                <w:p w14:paraId="0AB96B2A" w14:textId="32559707" w:rsidR="00EA5213" w:rsidRDefault="00667760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MPC</w:t>
                  </w:r>
                </w:p>
              </w:tc>
              <w:tc>
                <w:tcPr>
                  <w:tcW w:w="810" w:type="dxa"/>
                  <w:shd w:val="clear" w:color="auto" w:fill="DBE5F1" w:themeFill="accent1" w:themeFillTint="33"/>
                </w:tcPr>
                <w:p w14:paraId="0650E6CE" w14:textId="77777777" w:rsidR="00EA5213" w:rsidRDefault="00EA5213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Sector </w:t>
                  </w:r>
                </w:p>
              </w:tc>
              <w:tc>
                <w:tcPr>
                  <w:tcW w:w="962" w:type="dxa"/>
                  <w:shd w:val="clear" w:color="auto" w:fill="DBE5F1" w:themeFill="accent1" w:themeFillTint="33"/>
                </w:tcPr>
                <w:p w14:paraId="68B31751" w14:textId="77777777" w:rsidR="00EA5213" w:rsidRDefault="00EA5213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S&amp;P 500</w:t>
                  </w:r>
                </w:p>
              </w:tc>
            </w:tr>
            <w:tr w:rsidR="00EA5213" w14:paraId="47681D86" w14:textId="77777777" w:rsidTr="00371C05">
              <w:tc>
                <w:tcPr>
                  <w:tcW w:w="1422" w:type="dxa"/>
                </w:tcPr>
                <w:p w14:paraId="440258CF" w14:textId="77777777" w:rsidR="00EA5213" w:rsidRDefault="00EA5213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YTD</w:t>
                  </w:r>
                </w:p>
              </w:tc>
              <w:tc>
                <w:tcPr>
                  <w:tcW w:w="900" w:type="dxa"/>
                </w:tcPr>
                <w:p w14:paraId="2915C4D5" w14:textId="2253482E" w:rsidR="00EA5213" w:rsidRDefault="008F5A79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29.8%</w:t>
                  </w:r>
                </w:p>
              </w:tc>
              <w:tc>
                <w:tcPr>
                  <w:tcW w:w="810" w:type="dxa"/>
                </w:tcPr>
                <w:p w14:paraId="432CEBBB" w14:textId="04951D5A" w:rsidR="00EA5213" w:rsidRDefault="008F5A79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-13.48</w:t>
                  </w:r>
                  <w:r w:rsidR="002039D4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62" w:type="dxa"/>
                </w:tcPr>
                <w:p w14:paraId="2D5C424C" w14:textId="270BB77D" w:rsidR="00EA5213" w:rsidRDefault="008F5A79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3.44</w:t>
                  </w:r>
                  <w:r w:rsidR="005210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EA5213" w14:paraId="0876038A" w14:textId="77777777" w:rsidTr="00371C05">
              <w:tc>
                <w:tcPr>
                  <w:tcW w:w="1422" w:type="dxa"/>
                </w:tcPr>
                <w:p w14:paraId="1F90980B" w14:textId="77777777" w:rsidR="00EA5213" w:rsidRDefault="00EA5213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Last 3 Years </w:t>
                  </w:r>
                </w:p>
              </w:tc>
              <w:tc>
                <w:tcPr>
                  <w:tcW w:w="900" w:type="dxa"/>
                </w:tcPr>
                <w:p w14:paraId="0925A661" w14:textId="7AC21286" w:rsidR="00EA5213" w:rsidRDefault="008F5A79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29.81</w:t>
                  </w:r>
                  <w:r w:rsidR="0052106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10" w:type="dxa"/>
                </w:tcPr>
                <w:p w14:paraId="046C9C8D" w14:textId="785084C6" w:rsidR="00EA5213" w:rsidRDefault="008F5A79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1.73</w:t>
                  </w:r>
                  <w:r w:rsidR="002039D4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62" w:type="dxa"/>
                </w:tcPr>
                <w:p w14:paraId="55BE815F" w14:textId="33B7C1C0" w:rsidR="00EA5213" w:rsidRDefault="008F5A79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17.67</w:t>
                  </w:r>
                  <w:r w:rsidR="002039D4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EA5213" w14:paraId="28B8CB1E" w14:textId="77777777" w:rsidTr="00371C05">
              <w:tc>
                <w:tcPr>
                  <w:tcW w:w="1422" w:type="dxa"/>
                </w:tcPr>
                <w:p w14:paraId="3272796F" w14:textId="77777777" w:rsidR="00EA5213" w:rsidRDefault="00EA5213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Last 5 Years </w:t>
                  </w:r>
                </w:p>
              </w:tc>
              <w:tc>
                <w:tcPr>
                  <w:tcW w:w="900" w:type="dxa"/>
                </w:tcPr>
                <w:p w14:paraId="6CA968EB" w14:textId="6794C193" w:rsidR="00EA5213" w:rsidRDefault="008F5A79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29.76</w:t>
                  </w:r>
                  <w:r w:rsidR="002039D4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10" w:type="dxa"/>
                </w:tcPr>
                <w:p w14:paraId="3A2AF828" w14:textId="4A02FB99" w:rsidR="00EA5213" w:rsidRDefault="008F5A79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0.86</w:t>
                  </w:r>
                  <w:r w:rsidR="002039D4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62" w:type="dxa"/>
                </w:tcPr>
                <w:p w14:paraId="1D7EE8E1" w14:textId="5E3A9D27" w:rsidR="00EA5213" w:rsidRDefault="008F5A79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14.01</w:t>
                  </w:r>
                  <w:r w:rsidR="002039D4">
                    <w:rPr>
                      <w:sz w:val="16"/>
                      <w:szCs w:val="16"/>
                    </w:rPr>
                    <w:t>%</w:t>
                  </w:r>
                </w:p>
              </w:tc>
            </w:tr>
          </w:tbl>
          <w:p w14:paraId="51BB9526" w14:textId="77777777" w:rsidR="00096901" w:rsidRDefault="00096901" w:rsidP="0010720B">
            <w:pPr>
              <w:jc w:val="both"/>
              <w:rPr>
                <w:b/>
                <w:sz w:val="16"/>
                <w:szCs w:val="16"/>
              </w:rPr>
            </w:pPr>
          </w:p>
          <w:p w14:paraId="221910A7" w14:textId="368D2A1A" w:rsidR="009F0D12" w:rsidRDefault="009F0D12" w:rsidP="0010720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CSR Characteristics</w:t>
            </w:r>
          </w:p>
          <w:tbl>
            <w:tblPr>
              <w:tblStyle w:val="TableGrid"/>
              <w:tblW w:w="4166" w:type="dxa"/>
              <w:tblLook w:val="04A0" w:firstRow="1" w:lastRow="0" w:firstColumn="1" w:lastColumn="0" w:noHBand="0" w:noVBand="1"/>
            </w:tblPr>
            <w:tblGrid>
              <w:gridCol w:w="2497"/>
              <w:gridCol w:w="862"/>
              <w:gridCol w:w="807"/>
            </w:tblGrid>
            <w:tr w:rsidR="00EB73D7" w14:paraId="331C9CF3" w14:textId="77777777" w:rsidTr="002D655C">
              <w:tc>
                <w:tcPr>
                  <w:tcW w:w="2497" w:type="dxa"/>
                  <w:shd w:val="clear" w:color="auto" w:fill="DBE5F1" w:themeFill="accent1" w:themeFillTint="33"/>
                </w:tcPr>
                <w:p w14:paraId="434A59A4" w14:textId="77777777" w:rsidR="00EB73D7" w:rsidRDefault="00EB73D7" w:rsidP="002D65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  <w:shd w:val="clear" w:color="auto" w:fill="DBE5F1" w:themeFill="accent1" w:themeFillTint="33"/>
                </w:tcPr>
                <w:p w14:paraId="165DC052" w14:textId="3A3920B4" w:rsidR="00EB73D7" w:rsidRDefault="003C3EC1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MPC</w:t>
                  </w:r>
                  <w:r w:rsidR="00EB73D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07" w:type="dxa"/>
                  <w:shd w:val="clear" w:color="auto" w:fill="DBE5F1" w:themeFill="accent1" w:themeFillTint="33"/>
                </w:tcPr>
                <w:p w14:paraId="25A7D82A" w14:textId="77777777" w:rsidR="00EB73D7" w:rsidRDefault="00EB73D7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Industry  </w:t>
                  </w:r>
                </w:p>
              </w:tc>
            </w:tr>
            <w:tr w:rsidR="00EB73D7" w14:paraId="5846D050" w14:textId="77777777" w:rsidTr="002D655C">
              <w:tc>
                <w:tcPr>
                  <w:tcW w:w="2497" w:type="dxa"/>
                </w:tcPr>
                <w:p w14:paraId="6BBDDA03" w14:textId="77777777" w:rsidR="00EB73D7" w:rsidRDefault="00EB73D7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ESG Disclosure Score</w:t>
                  </w:r>
                </w:p>
              </w:tc>
              <w:tc>
                <w:tcPr>
                  <w:tcW w:w="862" w:type="dxa"/>
                </w:tcPr>
                <w:p w14:paraId="6D6186B8" w14:textId="709EEE11" w:rsidR="00EB73D7" w:rsidRDefault="008F5A79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31.41</w:t>
                  </w:r>
                </w:p>
              </w:tc>
              <w:tc>
                <w:tcPr>
                  <w:tcW w:w="807" w:type="dxa"/>
                </w:tcPr>
                <w:p w14:paraId="517A34C2" w14:textId="5936F57A" w:rsidR="00EB73D7" w:rsidRDefault="005F606E" w:rsidP="002D655C">
                  <w:pPr>
                    <w:rPr>
                      <w:sz w:val="16"/>
                      <w:szCs w:val="16"/>
                    </w:rPr>
                  </w:pPr>
                  <w:r w:rsidRPr="005F606E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8F5A79">
                    <w:rPr>
                      <w:rFonts w:hint="eastAsia"/>
                      <w:sz w:val="16"/>
                      <w:szCs w:val="16"/>
                    </w:rPr>
                    <w:t>9.97</w:t>
                  </w:r>
                </w:p>
              </w:tc>
            </w:tr>
            <w:tr w:rsidR="00EB73D7" w14:paraId="7A94F7D3" w14:textId="77777777" w:rsidTr="002D655C">
              <w:tc>
                <w:tcPr>
                  <w:tcW w:w="2497" w:type="dxa"/>
                </w:tcPr>
                <w:p w14:paraId="2FB28519" w14:textId="77777777" w:rsidR="00EB73D7" w:rsidRDefault="00EB73D7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Governance Disclosure Score</w:t>
                  </w:r>
                </w:p>
              </w:tc>
              <w:tc>
                <w:tcPr>
                  <w:tcW w:w="862" w:type="dxa"/>
                </w:tcPr>
                <w:p w14:paraId="6EA8E978" w14:textId="4273481A" w:rsidR="00EB73D7" w:rsidRDefault="008F5A79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55.36</w:t>
                  </w:r>
                </w:p>
              </w:tc>
              <w:tc>
                <w:tcPr>
                  <w:tcW w:w="807" w:type="dxa"/>
                </w:tcPr>
                <w:p w14:paraId="6111952E" w14:textId="1CD28F84" w:rsidR="00EB73D7" w:rsidRDefault="008F5A79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51.39</w:t>
                  </w:r>
                </w:p>
              </w:tc>
            </w:tr>
            <w:tr w:rsidR="00EB73D7" w14:paraId="4A0DF326" w14:textId="77777777" w:rsidTr="002D655C">
              <w:tc>
                <w:tcPr>
                  <w:tcW w:w="2497" w:type="dxa"/>
                </w:tcPr>
                <w:p w14:paraId="3FF44BFE" w14:textId="77777777" w:rsidR="00EB73D7" w:rsidRDefault="00EB73D7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Social Disclosure Score</w:t>
                  </w:r>
                </w:p>
              </w:tc>
              <w:tc>
                <w:tcPr>
                  <w:tcW w:w="862" w:type="dxa"/>
                </w:tcPr>
                <w:p w14:paraId="1A14304F" w14:textId="61D18588" w:rsidR="00EB73D7" w:rsidRDefault="008F5A79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24.56</w:t>
                  </w:r>
                </w:p>
              </w:tc>
              <w:tc>
                <w:tcPr>
                  <w:tcW w:w="807" w:type="dxa"/>
                </w:tcPr>
                <w:p w14:paraId="138E02CB" w14:textId="52E4ECBB" w:rsidR="00EB73D7" w:rsidRDefault="008F5A79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22.22</w:t>
                  </w:r>
                </w:p>
              </w:tc>
            </w:tr>
            <w:tr w:rsidR="00EB73D7" w14:paraId="390BAB0E" w14:textId="77777777" w:rsidTr="002D655C">
              <w:tc>
                <w:tcPr>
                  <w:tcW w:w="2497" w:type="dxa"/>
                </w:tcPr>
                <w:p w14:paraId="1435C4A3" w14:textId="77777777" w:rsidR="00EB73D7" w:rsidRDefault="00EB73D7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Environmental Disclosure Score</w:t>
                  </w:r>
                </w:p>
              </w:tc>
              <w:tc>
                <w:tcPr>
                  <w:tcW w:w="862" w:type="dxa"/>
                </w:tcPr>
                <w:p w14:paraId="6DC54DCB" w14:textId="7562AAEA" w:rsidR="00EB73D7" w:rsidRDefault="008F5A79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24.03</w:t>
                  </w:r>
                </w:p>
              </w:tc>
              <w:tc>
                <w:tcPr>
                  <w:tcW w:w="807" w:type="dxa"/>
                </w:tcPr>
                <w:p w14:paraId="454667DF" w14:textId="0BE86FB7" w:rsidR="00EB73D7" w:rsidRDefault="008F5A79" w:rsidP="002D655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16.28</w:t>
                  </w:r>
                </w:p>
              </w:tc>
            </w:tr>
          </w:tbl>
          <w:p w14:paraId="62EFF545" w14:textId="4D54DB31" w:rsidR="009F0D12" w:rsidRDefault="00DF0D9C" w:rsidP="0010720B">
            <w:pPr>
              <w:jc w:val="both"/>
              <w:rPr>
                <w:rFonts w:hint="eastAsia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Prepared By: </w:t>
            </w:r>
            <w:proofErr w:type="spellStart"/>
            <w:r>
              <w:rPr>
                <w:b/>
                <w:sz w:val="16"/>
                <w:szCs w:val="16"/>
              </w:rPr>
              <w:t>Jifeng</w:t>
            </w:r>
            <w:proofErr w:type="spellEnd"/>
            <w:r>
              <w:rPr>
                <w:b/>
                <w:sz w:val="16"/>
                <w:szCs w:val="16"/>
              </w:rPr>
              <w:t xml:space="preserve"> Hu, 11/18</w:t>
            </w:r>
            <w:r w:rsidRPr="00D8492B">
              <w:rPr>
                <w:b/>
                <w:sz w:val="16"/>
                <w:szCs w:val="16"/>
              </w:rPr>
              <w:t>/2015 </w:t>
            </w:r>
          </w:p>
        </w:tc>
      </w:tr>
    </w:tbl>
    <w:p w14:paraId="5C1E381E" w14:textId="36A09156" w:rsidR="00830F06" w:rsidRDefault="00830F06" w:rsidP="00D8492B">
      <w:pPr>
        <w:jc w:val="both"/>
        <w:rPr>
          <w:rFonts w:hint="eastAsia"/>
          <w:b/>
          <w:sz w:val="16"/>
          <w:szCs w:val="16"/>
          <w:lang w:eastAsia="zh-CN"/>
        </w:rPr>
      </w:pPr>
    </w:p>
    <w:sectPr w:rsidR="00830F06" w:rsidSect="00920D13"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LTStd-Bold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87B"/>
    <w:multiLevelType w:val="hybridMultilevel"/>
    <w:tmpl w:val="BD90D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D323D"/>
    <w:multiLevelType w:val="hybridMultilevel"/>
    <w:tmpl w:val="2DC6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D4605"/>
    <w:multiLevelType w:val="hybridMultilevel"/>
    <w:tmpl w:val="12D00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5E15"/>
    <w:multiLevelType w:val="hybridMultilevel"/>
    <w:tmpl w:val="2656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7C3"/>
    <w:multiLevelType w:val="hybridMultilevel"/>
    <w:tmpl w:val="CA9C8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8"/>
    <w:rsid w:val="000145A7"/>
    <w:rsid w:val="00014EFE"/>
    <w:rsid w:val="00022508"/>
    <w:rsid w:val="00026F5E"/>
    <w:rsid w:val="0003326A"/>
    <w:rsid w:val="00034A52"/>
    <w:rsid w:val="000528A3"/>
    <w:rsid w:val="00056CE9"/>
    <w:rsid w:val="00066CC4"/>
    <w:rsid w:val="00071F4F"/>
    <w:rsid w:val="00096901"/>
    <w:rsid w:val="000A0DE5"/>
    <w:rsid w:val="000E0407"/>
    <w:rsid w:val="000E0C3A"/>
    <w:rsid w:val="000F122E"/>
    <w:rsid w:val="0010720B"/>
    <w:rsid w:val="0012425D"/>
    <w:rsid w:val="0013332F"/>
    <w:rsid w:val="001366A3"/>
    <w:rsid w:val="0014778C"/>
    <w:rsid w:val="00197A37"/>
    <w:rsid w:val="001A0951"/>
    <w:rsid w:val="001A4CD7"/>
    <w:rsid w:val="001A54DB"/>
    <w:rsid w:val="001C5C89"/>
    <w:rsid w:val="001D3CAE"/>
    <w:rsid w:val="001F411C"/>
    <w:rsid w:val="001F4C8C"/>
    <w:rsid w:val="002039D4"/>
    <w:rsid w:val="002105B2"/>
    <w:rsid w:val="00231ED5"/>
    <w:rsid w:val="00245DD4"/>
    <w:rsid w:val="002535D2"/>
    <w:rsid w:val="00254456"/>
    <w:rsid w:val="00263A2E"/>
    <w:rsid w:val="00274740"/>
    <w:rsid w:val="0029559F"/>
    <w:rsid w:val="002A0663"/>
    <w:rsid w:val="002B04FE"/>
    <w:rsid w:val="002D3CFC"/>
    <w:rsid w:val="002D655C"/>
    <w:rsid w:val="002F062C"/>
    <w:rsid w:val="003073EA"/>
    <w:rsid w:val="003173DA"/>
    <w:rsid w:val="0033512A"/>
    <w:rsid w:val="00357218"/>
    <w:rsid w:val="00371C05"/>
    <w:rsid w:val="00375DB5"/>
    <w:rsid w:val="00384388"/>
    <w:rsid w:val="00386A22"/>
    <w:rsid w:val="00392411"/>
    <w:rsid w:val="00392719"/>
    <w:rsid w:val="003A37CB"/>
    <w:rsid w:val="003B3070"/>
    <w:rsid w:val="003C3391"/>
    <w:rsid w:val="003C3EC1"/>
    <w:rsid w:val="003E5DB4"/>
    <w:rsid w:val="003E7CA1"/>
    <w:rsid w:val="00401063"/>
    <w:rsid w:val="00401E94"/>
    <w:rsid w:val="00417CC5"/>
    <w:rsid w:val="00443ED9"/>
    <w:rsid w:val="00462682"/>
    <w:rsid w:val="004D3729"/>
    <w:rsid w:val="004D7282"/>
    <w:rsid w:val="004F2EAA"/>
    <w:rsid w:val="004F53DC"/>
    <w:rsid w:val="0050052A"/>
    <w:rsid w:val="00500BAE"/>
    <w:rsid w:val="00501519"/>
    <w:rsid w:val="00521066"/>
    <w:rsid w:val="00532418"/>
    <w:rsid w:val="00547B13"/>
    <w:rsid w:val="0056019E"/>
    <w:rsid w:val="00575123"/>
    <w:rsid w:val="005A43A8"/>
    <w:rsid w:val="005D4654"/>
    <w:rsid w:val="005D533F"/>
    <w:rsid w:val="005E114B"/>
    <w:rsid w:val="005E4CAC"/>
    <w:rsid w:val="005F606E"/>
    <w:rsid w:val="0060598F"/>
    <w:rsid w:val="00630775"/>
    <w:rsid w:val="00667760"/>
    <w:rsid w:val="00674795"/>
    <w:rsid w:val="006953F0"/>
    <w:rsid w:val="006A37B5"/>
    <w:rsid w:val="006A61A4"/>
    <w:rsid w:val="006B0A61"/>
    <w:rsid w:val="006C1408"/>
    <w:rsid w:val="006E2939"/>
    <w:rsid w:val="006E44B8"/>
    <w:rsid w:val="006E5EA1"/>
    <w:rsid w:val="0076327C"/>
    <w:rsid w:val="007814A0"/>
    <w:rsid w:val="00786CCC"/>
    <w:rsid w:val="007B2A6D"/>
    <w:rsid w:val="007B6409"/>
    <w:rsid w:val="007B6D7D"/>
    <w:rsid w:val="007D12F0"/>
    <w:rsid w:val="007D4DEC"/>
    <w:rsid w:val="007F4659"/>
    <w:rsid w:val="00804E00"/>
    <w:rsid w:val="00815FF3"/>
    <w:rsid w:val="00830F06"/>
    <w:rsid w:val="00832142"/>
    <w:rsid w:val="00835134"/>
    <w:rsid w:val="0085115D"/>
    <w:rsid w:val="00857BC1"/>
    <w:rsid w:val="008717C3"/>
    <w:rsid w:val="00874223"/>
    <w:rsid w:val="00874A7B"/>
    <w:rsid w:val="008B72AE"/>
    <w:rsid w:val="008D49EF"/>
    <w:rsid w:val="008F5A79"/>
    <w:rsid w:val="00900789"/>
    <w:rsid w:val="009007A6"/>
    <w:rsid w:val="00911AF8"/>
    <w:rsid w:val="00913FF8"/>
    <w:rsid w:val="00915605"/>
    <w:rsid w:val="00920D13"/>
    <w:rsid w:val="00923CAB"/>
    <w:rsid w:val="00927E43"/>
    <w:rsid w:val="0097552E"/>
    <w:rsid w:val="009C57C6"/>
    <w:rsid w:val="009D5A45"/>
    <w:rsid w:val="009D7A72"/>
    <w:rsid w:val="009F0830"/>
    <w:rsid w:val="009F0D12"/>
    <w:rsid w:val="009F2E51"/>
    <w:rsid w:val="00A10BEF"/>
    <w:rsid w:val="00A217ED"/>
    <w:rsid w:val="00A30926"/>
    <w:rsid w:val="00A56542"/>
    <w:rsid w:val="00A603A6"/>
    <w:rsid w:val="00A63E9D"/>
    <w:rsid w:val="00A717BA"/>
    <w:rsid w:val="00A8460D"/>
    <w:rsid w:val="00A85575"/>
    <w:rsid w:val="00AA0C48"/>
    <w:rsid w:val="00AA5ED5"/>
    <w:rsid w:val="00AB003F"/>
    <w:rsid w:val="00AB159E"/>
    <w:rsid w:val="00B22327"/>
    <w:rsid w:val="00B335E6"/>
    <w:rsid w:val="00B502EC"/>
    <w:rsid w:val="00B52573"/>
    <w:rsid w:val="00B7642F"/>
    <w:rsid w:val="00B76988"/>
    <w:rsid w:val="00B94DBA"/>
    <w:rsid w:val="00BA6F89"/>
    <w:rsid w:val="00BA7CED"/>
    <w:rsid w:val="00BB3908"/>
    <w:rsid w:val="00BB61F8"/>
    <w:rsid w:val="00BC3AB4"/>
    <w:rsid w:val="00BC5E50"/>
    <w:rsid w:val="00BD4639"/>
    <w:rsid w:val="00BE10B7"/>
    <w:rsid w:val="00BF2DE5"/>
    <w:rsid w:val="00C15E83"/>
    <w:rsid w:val="00C161B3"/>
    <w:rsid w:val="00C2195E"/>
    <w:rsid w:val="00C352F3"/>
    <w:rsid w:val="00C441B3"/>
    <w:rsid w:val="00C9117C"/>
    <w:rsid w:val="00C97C4E"/>
    <w:rsid w:val="00CA7C70"/>
    <w:rsid w:val="00CC0565"/>
    <w:rsid w:val="00CE4435"/>
    <w:rsid w:val="00CF27D4"/>
    <w:rsid w:val="00CF2F28"/>
    <w:rsid w:val="00D04F99"/>
    <w:rsid w:val="00D0612C"/>
    <w:rsid w:val="00D16B81"/>
    <w:rsid w:val="00D363A8"/>
    <w:rsid w:val="00D570FE"/>
    <w:rsid w:val="00D636EF"/>
    <w:rsid w:val="00D8492B"/>
    <w:rsid w:val="00DA56AC"/>
    <w:rsid w:val="00DB5A10"/>
    <w:rsid w:val="00DB5E73"/>
    <w:rsid w:val="00DB7B0E"/>
    <w:rsid w:val="00DF0D9C"/>
    <w:rsid w:val="00E14AC6"/>
    <w:rsid w:val="00E349B1"/>
    <w:rsid w:val="00E3542E"/>
    <w:rsid w:val="00E51FAC"/>
    <w:rsid w:val="00E5675C"/>
    <w:rsid w:val="00E6009F"/>
    <w:rsid w:val="00E8555E"/>
    <w:rsid w:val="00E90970"/>
    <w:rsid w:val="00E96657"/>
    <w:rsid w:val="00E96739"/>
    <w:rsid w:val="00EA31B0"/>
    <w:rsid w:val="00EA5213"/>
    <w:rsid w:val="00EB73D7"/>
    <w:rsid w:val="00EB7E76"/>
    <w:rsid w:val="00EC2755"/>
    <w:rsid w:val="00EC75B4"/>
    <w:rsid w:val="00EF1E8D"/>
    <w:rsid w:val="00F04E1E"/>
    <w:rsid w:val="00F272C6"/>
    <w:rsid w:val="00F31E0C"/>
    <w:rsid w:val="00F56067"/>
    <w:rsid w:val="00F56E16"/>
    <w:rsid w:val="00F65A7F"/>
    <w:rsid w:val="00F75698"/>
    <w:rsid w:val="00F77D0C"/>
    <w:rsid w:val="00F856C9"/>
    <w:rsid w:val="00F92EDE"/>
    <w:rsid w:val="00F96F5E"/>
    <w:rsid w:val="00FC20D0"/>
    <w:rsid w:val="00FC33EF"/>
    <w:rsid w:val="00FC4084"/>
    <w:rsid w:val="00FF2C25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3A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C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492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C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492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20180-977E-9A48-B636-487C655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899</Words>
  <Characters>5128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Harris</dc:creator>
  <cp:keywords/>
  <dc:description/>
  <cp:lastModifiedBy>胡 记丰</cp:lastModifiedBy>
  <cp:revision>14</cp:revision>
  <dcterms:created xsi:type="dcterms:W3CDTF">2015-10-27T14:07:00Z</dcterms:created>
  <dcterms:modified xsi:type="dcterms:W3CDTF">2015-11-19T00:28:00Z</dcterms:modified>
</cp:coreProperties>
</file>