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283"/>
        <w:gridCol w:w="2835"/>
        <w:gridCol w:w="1843"/>
        <w:gridCol w:w="3739"/>
      </w:tblGrid>
      <w:tr w:rsidR="00BD22CE" w:rsidRPr="00E5675C" w14:paraId="3AA29E37" w14:textId="77777777" w:rsidTr="00BD22CE">
        <w:trPr>
          <w:trHeight w:val="80"/>
        </w:trPr>
        <w:tc>
          <w:tcPr>
            <w:tcW w:w="3283" w:type="dxa"/>
            <w:shd w:val="clear" w:color="auto" w:fill="365F91" w:themeFill="accent1" w:themeFillShade="BF"/>
          </w:tcPr>
          <w:p w14:paraId="2E49CA38" w14:textId="54DBCD72" w:rsidR="000E4C0C" w:rsidRPr="00E8555E" w:rsidRDefault="00E8555E" w:rsidP="00CA4BBF">
            <w:pPr>
              <w:rPr>
                <w:b/>
                <w:color w:val="FFFFFF" w:themeColor="background1"/>
                <w:sz w:val="16"/>
                <w:szCs w:val="16"/>
                <w:lang w:eastAsia="zh-CN"/>
              </w:rPr>
            </w:pPr>
            <w:r w:rsidRPr="00E8555E">
              <w:rPr>
                <w:b/>
                <w:color w:val="FFFFFF" w:themeColor="background1"/>
                <w:sz w:val="16"/>
                <w:szCs w:val="16"/>
              </w:rPr>
              <w:t xml:space="preserve">Company: </w:t>
            </w:r>
            <w:r w:rsidR="0010720B">
              <w:rPr>
                <w:b/>
                <w:color w:val="FFFFFF" w:themeColor="background1"/>
                <w:sz w:val="16"/>
                <w:szCs w:val="16"/>
              </w:rPr>
              <w:t xml:space="preserve"> </w:t>
            </w:r>
            <w:r w:rsidR="00BD22CE">
              <w:rPr>
                <w:b/>
                <w:color w:val="FFFFFF" w:themeColor="background1"/>
                <w:sz w:val="16"/>
                <w:szCs w:val="16"/>
                <w:lang w:eastAsia="zh-CN"/>
              </w:rPr>
              <w:t>Magellan Midstream Partners</w:t>
            </w:r>
          </w:p>
        </w:tc>
        <w:tc>
          <w:tcPr>
            <w:tcW w:w="2835" w:type="dxa"/>
            <w:shd w:val="clear" w:color="auto" w:fill="365F91" w:themeFill="accent1" w:themeFillShade="BF"/>
          </w:tcPr>
          <w:p w14:paraId="5FDF97F0" w14:textId="140D3638" w:rsidR="00E8555E" w:rsidRPr="00E8555E" w:rsidRDefault="00E8555E">
            <w:pPr>
              <w:rPr>
                <w:color w:val="FFFFFF" w:themeColor="background1"/>
                <w:sz w:val="16"/>
                <w:szCs w:val="16"/>
                <w:lang w:eastAsia="zh-CN"/>
              </w:rPr>
            </w:pPr>
            <w:r>
              <w:rPr>
                <w:color w:val="FFFFFF" w:themeColor="background1"/>
                <w:sz w:val="16"/>
                <w:szCs w:val="16"/>
              </w:rPr>
              <w:t xml:space="preserve">Ticker:  </w:t>
            </w:r>
            <w:r w:rsidR="00BD22CE">
              <w:rPr>
                <w:color w:val="FFFFFF" w:themeColor="background1"/>
                <w:sz w:val="16"/>
                <w:szCs w:val="16"/>
              </w:rPr>
              <w:t xml:space="preserve">MMP     </w:t>
            </w:r>
            <w:r>
              <w:rPr>
                <w:color w:val="FFFFFF" w:themeColor="background1"/>
                <w:sz w:val="16"/>
                <w:szCs w:val="16"/>
              </w:rPr>
              <w:t xml:space="preserve"> Current Price:</w:t>
            </w:r>
            <w:r w:rsidR="00CA4BBF">
              <w:rPr>
                <w:color w:val="FFFFFF" w:themeColor="background1"/>
                <w:sz w:val="16"/>
                <w:szCs w:val="16"/>
              </w:rPr>
              <w:t xml:space="preserve"> $</w:t>
            </w:r>
            <w:r w:rsidR="00B6610C">
              <w:rPr>
                <w:rFonts w:hint="eastAsia"/>
                <w:color w:val="FFFFFF" w:themeColor="background1"/>
                <w:sz w:val="16"/>
                <w:szCs w:val="16"/>
                <w:lang w:eastAsia="zh-CN"/>
              </w:rPr>
              <w:t>64.</w:t>
            </w:r>
            <w:r w:rsidR="00DC41DC">
              <w:rPr>
                <w:rFonts w:hint="eastAsia"/>
                <w:color w:val="FFFFFF" w:themeColor="background1"/>
                <w:sz w:val="16"/>
                <w:szCs w:val="16"/>
                <w:lang w:eastAsia="zh-CN"/>
              </w:rPr>
              <w:t>76</w:t>
            </w:r>
          </w:p>
        </w:tc>
        <w:tc>
          <w:tcPr>
            <w:tcW w:w="1843" w:type="dxa"/>
            <w:shd w:val="clear" w:color="auto" w:fill="365F91" w:themeFill="accent1" w:themeFillShade="BF"/>
          </w:tcPr>
          <w:p w14:paraId="1FD4CAF9" w14:textId="1EBFF6D5" w:rsidR="00E8555E" w:rsidRPr="00E8555E" w:rsidRDefault="00E8555E">
            <w:pPr>
              <w:rPr>
                <w:color w:val="FFFFFF" w:themeColor="background1"/>
                <w:sz w:val="16"/>
                <w:szCs w:val="16"/>
                <w:lang w:eastAsia="zh-CN"/>
              </w:rPr>
            </w:pPr>
            <w:r>
              <w:rPr>
                <w:color w:val="FFFFFF" w:themeColor="background1"/>
                <w:sz w:val="16"/>
                <w:szCs w:val="16"/>
              </w:rPr>
              <w:t>Industry:</w:t>
            </w:r>
            <w:r w:rsidR="00BD22CE">
              <w:rPr>
                <w:color w:val="FFFFFF" w:themeColor="background1"/>
                <w:sz w:val="16"/>
                <w:szCs w:val="16"/>
              </w:rPr>
              <w:t xml:space="preserve"> Energy</w:t>
            </w:r>
          </w:p>
        </w:tc>
        <w:tc>
          <w:tcPr>
            <w:tcW w:w="3739" w:type="dxa"/>
            <w:shd w:val="clear" w:color="auto" w:fill="365F91" w:themeFill="accent1" w:themeFillShade="BF"/>
          </w:tcPr>
          <w:p w14:paraId="417B84CE" w14:textId="24BFA7A0" w:rsidR="00E8555E" w:rsidRPr="00E8555E" w:rsidRDefault="00E8555E" w:rsidP="00287C09">
            <w:pPr>
              <w:rPr>
                <w:color w:val="FFFFFF" w:themeColor="background1"/>
                <w:sz w:val="16"/>
                <w:szCs w:val="16"/>
                <w:lang w:eastAsia="zh-CN"/>
              </w:rPr>
            </w:pPr>
            <w:r>
              <w:rPr>
                <w:color w:val="FFFFFF" w:themeColor="background1"/>
                <w:sz w:val="16"/>
                <w:szCs w:val="16"/>
              </w:rPr>
              <w:t xml:space="preserve">Sub Industry: </w:t>
            </w:r>
            <w:r w:rsidR="00BD22CE" w:rsidRPr="00BD22CE">
              <w:rPr>
                <w:color w:val="FFFFFF" w:themeColor="background1"/>
                <w:sz w:val="16"/>
                <w:szCs w:val="16"/>
                <w:lang w:eastAsia="zh-CN"/>
              </w:rPr>
              <w:t>Oil &amp; Gas Storage &amp; Transportation </w:t>
            </w:r>
          </w:p>
        </w:tc>
      </w:tr>
      <w:tr w:rsidR="00BD22CE" w:rsidRPr="00E5675C" w14:paraId="185E94E4" w14:textId="77777777" w:rsidTr="00BD22CE">
        <w:trPr>
          <w:trHeight w:val="512"/>
        </w:trPr>
        <w:tc>
          <w:tcPr>
            <w:tcW w:w="3283" w:type="dxa"/>
          </w:tcPr>
          <w:p w14:paraId="159CAB82" w14:textId="41E165D4" w:rsidR="00E8555E" w:rsidRDefault="00E8555E" w:rsidP="00E8555E">
            <w:pPr>
              <w:rPr>
                <w:sz w:val="16"/>
                <w:szCs w:val="16"/>
                <w:lang w:eastAsia="zh-CN"/>
              </w:rPr>
            </w:pPr>
            <w:r>
              <w:rPr>
                <w:sz w:val="16"/>
                <w:szCs w:val="16"/>
              </w:rPr>
              <w:t>Target Price</w:t>
            </w:r>
            <w:r w:rsidR="00C161B3">
              <w:rPr>
                <w:sz w:val="16"/>
                <w:szCs w:val="16"/>
              </w:rPr>
              <w:t>:</w:t>
            </w:r>
            <w:r w:rsidR="00D8492B">
              <w:rPr>
                <w:sz w:val="16"/>
                <w:szCs w:val="16"/>
              </w:rPr>
              <w:t xml:space="preserve"> $</w:t>
            </w:r>
            <w:r w:rsidR="00BD22CE">
              <w:rPr>
                <w:rFonts w:hint="eastAsia"/>
                <w:sz w:val="16"/>
                <w:szCs w:val="16"/>
                <w:lang w:eastAsia="zh-CN"/>
              </w:rPr>
              <w:t>78</w:t>
            </w:r>
          </w:p>
          <w:p w14:paraId="366C508D" w14:textId="69B2A340" w:rsidR="00E8555E" w:rsidRPr="00E5675C" w:rsidRDefault="00C161B3" w:rsidP="00E8555E">
            <w:pPr>
              <w:rPr>
                <w:rFonts w:hint="eastAsia"/>
                <w:sz w:val="16"/>
                <w:szCs w:val="16"/>
                <w:lang w:eastAsia="zh-CN"/>
              </w:rPr>
            </w:pPr>
            <w:r>
              <w:rPr>
                <w:sz w:val="16"/>
                <w:szCs w:val="16"/>
              </w:rPr>
              <w:t>Stop Loss:</w:t>
            </w:r>
            <w:r w:rsidR="00287C09">
              <w:rPr>
                <w:sz w:val="16"/>
                <w:szCs w:val="16"/>
              </w:rPr>
              <w:t xml:space="preserve"> $</w:t>
            </w:r>
            <w:r w:rsidR="00DC41DC">
              <w:rPr>
                <w:rFonts w:hint="eastAsia"/>
                <w:sz w:val="16"/>
                <w:szCs w:val="16"/>
                <w:lang w:eastAsia="zh-CN"/>
              </w:rPr>
              <w:t>51.8</w:t>
            </w:r>
            <w:r w:rsidR="00D7103F">
              <w:rPr>
                <w:rFonts w:hint="eastAsia"/>
                <w:sz w:val="16"/>
                <w:szCs w:val="16"/>
                <w:lang w:eastAsia="zh-CN"/>
              </w:rPr>
              <w:t>0</w:t>
            </w:r>
          </w:p>
          <w:p w14:paraId="7E50A51D" w14:textId="0875FC5C" w:rsidR="006E44B8" w:rsidRPr="00E5675C" w:rsidRDefault="00E8555E" w:rsidP="00E8555E">
            <w:pPr>
              <w:rPr>
                <w:sz w:val="16"/>
                <w:szCs w:val="16"/>
                <w:lang w:eastAsia="zh-CN"/>
              </w:rPr>
            </w:pPr>
            <w:r>
              <w:rPr>
                <w:sz w:val="16"/>
                <w:szCs w:val="16"/>
              </w:rPr>
              <w:t xml:space="preserve">52 Week High/ Low: </w:t>
            </w:r>
            <w:r w:rsidR="008304CC">
              <w:rPr>
                <w:sz w:val="16"/>
                <w:szCs w:val="16"/>
              </w:rPr>
              <w:t>$</w:t>
            </w:r>
            <w:r w:rsidR="00747220">
              <w:rPr>
                <w:rFonts w:hint="eastAsia"/>
                <w:sz w:val="16"/>
                <w:szCs w:val="16"/>
                <w:lang w:eastAsia="zh-CN"/>
              </w:rPr>
              <w:t>54.51-</w:t>
            </w:r>
            <w:r w:rsidR="00747220">
              <w:rPr>
                <w:sz w:val="16"/>
                <w:szCs w:val="16"/>
                <w:lang w:eastAsia="zh-CN"/>
              </w:rPr>
              <w:t>85.49</w:t>
            </w:r>
          </w:p>
        </w:tc>
        <w:tc>
          <w:tcPr>
            <w:tcW w:w="2835" w:type="dxa"/>
          </w:tcPr>
          <w:p w14:paraId="461A4200" w14:textId="136C583F" w:rsidR="00E8555E" w:rsidRDefault="00E8555E" w:rsidP="00E8555E">
            <w:pPr>
              <w:rPr>
                <w:sz w:val="16"/>
                <w:szCs w:val="16"/>
                <w:lang w:eastAsia="zh-CN"/>
              </w:rPr>
            </w:pPr>
            <w:r>
              <w:rPr>
                <w:sz w:val="16"/>
                <w:szCs w:val="16"/>
              </w:rPr>
              <w:t xml:space="preserve">TTM P/E: </w:t>
            </w:r>
            <w:r w:rsidR="00BD22CE">
              <w:rPr>
                <w:rFonts w:hint="eastAsia"/>
                <w:sz w:val="16"/>
                <w:szCs w:val="16"/>
                <w:lang w:eastAsia="zh-CN"/>
              </w:rPr>
              <w:t>17.2</w:t>
            </w:r>
          </w:p>
          <w:p w14:paraId="7862C274" w14:textId="500450E4" w:rsidR="00E8555E" w:rsidRPr="00FC20D0" w:rsidRDefault="00E8555E" w:rsidP="00E8555E">
            <w:pPr>
              <w:rPr>
                <w:sz w:val="16"/>
                <w:szCs w:val="16"/>
                <w:highlight w:val="yellow"/>
                <w:lang w:eastAsia="zh-CN"/>
              </w:rPr>
            </w:pPr>
            <w:r>
              <w:rPr>
                <w:sz w:val="16"/>
                <w:szCs w:val="16"/>
              </w:rPr>
              <w:t xml:space="preserve">Forward P/E: </w:t>
            </w:r>
            <w:r w:rsidR="00747220">
              <w:rPr>
                <w:sz w:val="16"/>
                <w:szCs w:val="16"/>
              </w:rPr>
              <w:t>1</w:t>
            </w:r>
            <w:r w:rsidR="00E0583C">
              <w:rPr>
                <w:rFonts w:hint="eastAsia"/>
                <w:sz w:val="16"/>
                <w:szCs w:val="16"/>
                <w:lang w:eastAsia="zh-CN"/>
              </w:rPr>
              <w:t>6.6</w:t>
            </w:r>
          </w:p>
          <w:p w14:paraId="5AA3FEF7" w14:textId="383E2D2B" w:rsidR="006E44B8" w:rsidRPr="00E5675C" w:rsidRDefault="00E8555E" w:rsidP="00E8555E">
            <w:pPr>
              <w:rPr>
                <w:sz w:val="16"/>
                <w:szCs w:val="16"/>
                <w:lang w:eastAsia="zh-CN"/>
              </w:rPr>
            </w:pPr>
            <w:r>
              <w:rPr>
                <w:sz w:val="16"/>
                <w:szCs w:val="16"/>
              </w:rPr>
              <w:t xml:space="preserve">EPS: </w:t>
            </w:r>
            <w:r w:rsidR="00747220">
              <w:rPr>
                <w:sz w:val="16"/>
                <w:szCs w:val="16"/>
              </w:rPr>
              <w:t>$3.59</w:t>
            </w:r>
          </w:p>
        </w:tc>
        <w:tc>
          <w:tcPr>
            <w:tcW w:w="1843" w:type="dxa"/>
          </w:tcPr>
          <w:p w14:paraId="25238E11" w14:textId="21EB5D6C" w:rsidR="00E8555E" w:rsidRDefault="00923CAB" w:rsidP="00E8555E">
            <w:pPr>
              <w:rPr>
                <w:sz w:val="16"/>
                <w:szCs w:val="16"/>
                <w:lang w:eastAsia="zh-CN"/>
              </w:rPr>
            </w:pPr>
            <w:r>
              <w:rPr>
                <w:sz w:val="16"/>
                <w:szCs w:val="16"/>
              </w:rPr>
              <w:t xml:space="preserve">Beta: </w:t>
            </w:r>
            <w:r w:rsidR="00BD22CE">
              <w:rPr>
                <w:rFonts w:hint="eastAsia"/>
                <w:sz w:val="16"/>
                <w:szCs w:val="16"/>
                <w:lang w:eastAsia="zh-CN"/>
              </w:rPr>
              <w:t>0.55</w:t>
            </w:r>
          </w:p>
          <w:p w14:paraId="61C6D51C" w14:textId="701044B3" w:rsidR="00A30926" w:rsidRDefault="00E8555E" w:rsidP="00E8555E">
            <w:pPr>
              <w:rPr>
                <w:sz w:val="16"/>
                <w:szCs w:val="16"/>
                <w:lang w:eastAsia="zh-CN"/>
              </w:rPr>
            </w:pPr>
            <w:r>
              <w:rPr>
                <w:sz w:val="16"/>
                <w:szCs w:val="16"/>
              </w:rPr>
              <w:t>Credit Rating:</w:t>
            </w:r>
            <w:r w:rsidR="00EB7E76">
              <w:rPr>
                <w:sz w:val="16"/>
                <w:szCs w:val="16"/>
              </w:rPr>
              <w:t xml:space="preserve"> </w:t>
            </w:r>
            <w:r w:rsidR="00A85D07">
              <w:rPr>
                <w:sz w:val="16"/>
                <w:szCs w:val="16"/>
              </w:rPr>
              <w:t>BBB+</w:t>
            </w:r>
          </w:p>
          <w:p w14:paraId="5BFE3D7B" w14:textId="3B287313" w:rsidR="003073EA" w:rsidRPr="00E5675C" w:rsidRDefault="003073EA" w:rsidP="00E8555E">
            <w:pPr>
              <w:rPr>
                <w:sz w:val="16"/>
                <w:szCs w:val="16"/>
                <w:lang w:eastAsia="zh-CN"/>
              </w:rPr>
            </w:pPr>
            <w:r>
              <w:rPr>
                <w:sz w:val="16"/>
                <w:szCs w:val="16"/>
              </w:rPr>
              <w:t xml:space="preserve">Rating Outlook: </w:t>
            </w:r>
            <w:r w:rsidR="00A85D07">
              <w:rPr>
                <w:sz w:val="16"/>
                <w:szCs w:val="16"/>
              </w:rPr>
              <w:t>Stable</w:t>
            </w:r>
          </w:p>
        </w:tc>
        <w:tc>
          <w:tcPr>
            <w:tcW w:w="3739" w:type="dxa"/>
          </w:tcPr>
          <w:p w14:paraId="438980BC" w14:textId="171D7F10" w:rsidR="006E44B8" w:rsidRDefault="0013332F">
            <w:pPr>
              <w:rPr>
                <w:sz w:val="16"/>
                <w:szCs w:val="16"/>
              </w:rPr>
            </w:pPr>
            <w:r>
              <w:rPr>
                <w:sz w:val="16"/>
                <w:szCs w:val="16"/>
              </w:rPr>
              <w:t xml:space="preserve">Market Cap: </w:t>
            </w:r>
            <w:r w:rsidR="00287C09">
              <w:rPr>
                <w:sz w:val="16"/>
                <w:szCs w:val="16"/>
              </w:rPr>
              <w:t>$</w:t>
            </w:r>
            <w:r w:rsidR="00EE3D4D">
              <w:rPr>
                <w:rFonts w:hint="eastAsia"/>
                <w:sz w:val="16"/>
                <w:szCs w:val="16"/>
                <w:lang w:eastAsia="zh-CN"/>
              </w:rPr>
              <w:t>14.75</w:t>
            </w:r>
            <w:bookmarkStart w:id="0" w:name="_GoBack"/>
            <w:bookmarkEnd w:id="0"/>
            <w:r w:rsidR="00F56E16">
              <w:rPr>
                <w:sz w:val="16"/>
                <w:szCs w:val="16"/>
              </w:rPr>
              <w:t>(B)</w:t>
            </w:r>
          </w:p>
          <w:p w14:paraId="37B82920" w14:textId="74561E93"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w:t>
            </w:r>
            <w:proofErr w:type="spellStart"/>
            <w:r w:rsidRPr="00501519">
              <w:rPr>
                <w:rFonts w:asciiTheme="majorHAnsi" w:hAnsiTheme="majorHAnsi" w:cs="UniversLTStd-BoldCn"/>
                <w:bCs/>
                <w:sz w:val="16"/>
                <w:szCs w:val="16"/>
              </w:rPr>
              <w:t>Vol</w:t>
            </w:r>
            <w:proofErr w:type="spellEnd"/>
            <w:r w:rsidRPr="00501519">
              <w:rPr>
                <w:rFonts w:asciiTheme="majorHAnsi" w:hAnsiTheme="majorHAnsi" w:cs="UniversLTStd-BoldCn"/>
                <w:bCs/>
                <w:sz w:val="16"/>
                <w:szCs w:val="16"/>
              </w:rPr>
              <w:t xml:space="preserve"> (</w:t>
            </w:r>
            <w:r w:rsidR="008304CC">
              <w:rPr>
                <w:rFonts w:asciiTheme="majorHAnsi" w:hAnsiTheme="majorHAnsi" w:cs="UniversLTStd-BoldCn" w:hint="eastAsia"/>
                <w:bCs/>
                <w:sz w:val="16"/>
                <w:szCs w:val="16"/>
                <w:lang w:eastAsia="zh-CN"/>
              </w:rPr>
              <w:t>3</w:t>
            </w:r>
            <w:r w:rsidR="00C441B3" w:rsidRPr="00501519">
              <w:rPr>
                <w:rFonts w:asciiTheme="majorHAnsi" w:hAnsiTheme="majorHAnsi" w:cs="UniversLTStd-BoldCn"/>
                <w:bCs/>
                <w:sz w:val="16"/>
                <w:szCs w:val="16"/>
              </w:rPr>
              <w:t xml:space="preserve">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F56E16">
              <w:rPr>
                <w:rFonts w:asciiTheme="majorHAnsi" w:hAnsiTheme="majorHAnsi" w:cs="UniversLTStd-BoldCn"/>
                <w:bCs/>
                <w:sz w:val="16"/>
                <w:szCs w:val="16"/>
              </w:rPr>
              <w:t xml:space="preserve"> </w:t>
            </w:r>
            <w:r w:rsidR="008304CC">
              <w:rPr>
                <w:rFonts w:asciiTheme="majorHAnsi" w:hAnsiTheme="majorHAnsi" w:cs="UniversLTStd-BoldCn"/>
                <w:bCs/>
                <w:sz w:val="16"/>
                <w:szCs w:val="16"/>
              </w:rPr>
              <w:t xml:space="preserve"> </w:t>
            </w:r>
            <w:r w:rsidR="00EE3D4D">
              <w:rPr>
                <w:rFonts w:asciiTheme="majorHAnsi" w:hAnsiTheme="majorHAnsi" w:cs="UniversLTStd-BoldCn" w:hint="eastAsia"/>
                <w:bCs/>
                <w:sz w:val="16"/>
                <w:szCs w:val="16"/>
                <w:lang w:eastAsia="zh-CN"/>
              </w:rPr>
              <w:t>1.55</w:t>
            </w:r>
            <w:r w:rsidR="00AB159E">
              <w:rPr>
                <w:rFonts w:asciiTheme="majorHAnsi" w:hAnsiTheme="majorHAnsi" w:cs="UniversLTStd-BoldCn"/>
                <w:bCs/>
                <w:sz w:val="16"/>
                <w:szCs w:val="16"/>
              </w:rPr>
              <w:t xml:space="preserve"> mil</w:t>
            </w:r>
          </w:p>
          <w:p w14:paraId="0D1C791A" w14:textId="70FC9828" w:rsidR="00E5675C" w:rsidRPr="00E5675C" w:rsidRDefault="00E5675C" w:rsidP="00BF2DE5">
            <w:pPr>
              <w:rPr>
                <w:sz w:val="16"/>
                <w:szCs w:val="16"/>
              </w:rPr>
            </w:pPr>
            <w:r>
              <w:rPr>
                <w:sz w:val="16"/>
                <w:szCs w:val="16"/>
              </w:rPr>
              <w:t xml:space="preserve">Dividend Yield: </w:t>
            </w:r>
            <w:r w:rsidR="00747220">
              <w:rPr>
                <w:rFonts w:hint="eastAsia"/>
                <w:sz w:val="16"/>
                <w:szCs w:val="16"/>
                <w:lang w:eastAsia="zh-CN"/>
              </w:rPr>
              <w:t>5.09</w:t>
            </w:r>
            <w:r w:rsidR="00D8492B">
              <w:rPr>
                <w:sz w:val="16"/>
                <w:szCs w:val="16"/>
              </w:rPr>
              <w:t>%</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6DA30C88" w14:textId="77777777" w:rsidR="00D04F99" w:rsidRDefault="00D04F99" w:rsidP="005E114B">
            <w:pPr>
              <w:rPr>
                <w:sz w:val="16"/>
                <w:szCs w:val="16"/>
              </w:rPr>
            </w:pPr>
          </w:p>
          <w:p w14:paraId="0A8884D5" w14:textId="30A27E71" w:rsidR="009F0830" w:rsidRDefault="00841E8A" w:rsidP="00841E8A">
            <w:pPr>
              <w:rPr>
                <w:rFonts w:hint="eastAsia"/>
                <w:sz w:val="16"/>
                <w:szCs w:val="16"/>
                <w:lang w:eastAsia="zh-CN"/>
              </w:rPr>
            </w:pPr>
            <w:r w:rsidRPr="00841E8A">
              <w:rPr>
                <w:sz w:val="16"/>
                <w:szCs w:val="16"/>
                <w:lang w:eastAsia="zh-CN"/>
              </w:rPr>
              <w:t xml:space="preserve">Magellan Midstream Partners is a master limited partnership that operates pipelines and storage terminals in the central and Eastern United States. </w:t>
            </w:r>
            <w:r w:rsidR="00CA45D9">
              <w:rPr>
                <w:rFonts w:hint="eastAsia"/>
                <w:sz w:val="16"/>
                <w:szCs w:val="16"/>
                <w:lang w:eastAsia="zh-CN"/>
              </w:rPr>
              <w:t xml:space="preserve">It </w:t>
            </w:r>
            <w:r w:rsidR="00CA45D9" w:rsidRPr="00CA45D9">
              <w:rPr>
                <w:sz w:val="16"/>
                <w:szCs w:val="16"/>
                <w:lang w:eastAsia="zh-CN"/>
              </w:rPr>
              <w:t>engages in the transportation, storage, and distribution of refined petroleum products and crude oil in the Uni</w:t>
            </w:r>
            <w:r w:rsidR="00CA45D9">
              <w:rPr>
                <w:sz w:val="16"/>
                <w:szCs w:val="16"/>
                <w:lang w:eastAsia="zh-CN"/>
              </w:rPr>
              <w:t>ted States. MMP</w:t>
            </w:r>
            <w:r w:rsidR="00CA45D9" w:rsidRPr="00CA45D9">
              <w:rPr>
                <w:sz w:val="16"/>
                <w:szCs w:val="16"/>
                <w:lang w:eastAsia="zh-CN"/>
              </w:rPr>
              <w:t xml:space="preserve"> operates in three segments: Refined Products, Crude Oil, and Marine Storage. </w:t>
            </w:r>
            <w:r w:rsidRPr="00841E8A">
              <w:rPr>
                <w:sz w:val="16"/>
                <w:szCs w:val="16"/>
                <w:lang w:eastAsia="zh-CN"/>
              </w:rPr>
              <w:t>The</w:t>
            </w:r>
            <w:r>
              <w:rPr>
                <w:sz w:val="16"/>
                <w:szCs w:val="16"/>
                <w:lang w:eastAsia="zh-CN"/>
              </w:rPr>
              <w:t xml:space="preserve"> refined product segment accounts for </w:t>
            </w:r>
            <w:r w:rsidR="008E59B8">
              <w:rPr>
                <w:rFonts w:hint="eastAsia"/>
                <w:sz w:val="16"/>
                <w:szCs w:val="16"/>
                <w:lang w:eastAsia="zh-CN"/>
              </w:rPr>
              <w:t>64</w:t>
            </w:r>
            <w:r w:rsidR="00CA45D9">
              <w:rPr>
                <w:sz w:val="16"/>
                <w:szCs w:val="16"/>
                <w:lang w:eastAsia="zh-CN"/>
              </w:rPr>
              <w:t>% of revenue</w:t>
            </w:r>
            <w:r w:rsidRPr="00841E8A">
              <w:rPr>
                <w:sz w:val="16"/>
                <w:szCs w:val="16"/>
                <w:lang w:eastAsia="zh-CN"/>
              </w:rPr>
              <w:t xml:space="preserve">; the crude oil segment for </w:t>
            </w:r>
            <w:r w:rsidR="008E59B8">
              <w:rPr>
                <w:rFonts w:hint="eastAsia"/>
                <w:sz w:val="16"/>
                <w:szCs w:val="16"/>
                <w:lang w:eastAsia="zh-CN"/>
              </w:rPr>
              <w:t>2</w:t>
            </w:r>
            <w:r w:rsidR="00CA45D9">
              <w:rPr>
                <w:sz w:val="16"/>
                <w:szCs w:val="16"/>
                <w:lang w:eastAsia="zh-CN"/>
              </w:rPr>
              <w:t>4%</w:t>
            </w:r>
            <w:proofErr w:type="gramStart"/>
            <w:r w:rsidR="00CA45D9">
              <w:rPr>
                <w:rFonts w:hint="eastAsia"/>
                <w:sz w:val="16"/>
                <w:szCs w:val="16"/>
                <w:lang w:eastAsia="zh-CN"/>
              </w:rPr>
              <w:t>;</w:t>
            </w:r>
            <w:proofErr w:type="gramEnd"/>
            <w:r w:rsidR="00CA45D9">
              <w:rPr>
                <w:rFonts w:hint="eastAsia"/>
                <w:sz w:val="16"/>
                <w:szCs w:val="16"/>
                <w:lang w:eastAsia="zh-CN"/>
              </w:rPr>
              <w:t xml:space="preserve"> </w:t>
            </w:r>
            <w:r w:rsidRPr="00841E8A">
              <w:rPr>
                <w:sz w:val="16"/>
                <w:szCs w:val="16"/>
                <w:lang w:eastAsia="zh-CN"/>
              </w:rPr>
              <w:t xml:space="preserve">and </w:t>
            </w:r>
            <w:r>
              <w:rPr>
                <w:sz w:val="16"/>
                <w:szCs w:val="16"/>
                <w:lang w:eastAsia="zh-CN"/>
              </w:rPr>
              <w:t xml:space="preserve">the marine storage segment for </w:t>
            </w:r>
            <w:r w:rsidR="008E59B8">
              <w:rPr>
                <w:rFonts w:hint="eastAsia"/>
                <w:sz w:val="16"/>
                <w:szCs w:val="16"/>
                <w:lang w:eastAsia="zh-CN"/>
              </w:rPr>
              <w:t>12</w:t>
            </w:r>
            <w:r w:rsidRPr="00841E8A">
              <w:rPr>
                <w:sz w:val="16"/>
                <w:szCs w:val="16"/>
                <w:lang w:eastAsia="zh-CN"/>
              </w:rPr>
              <w:t xml:space="preserve">%. </w:t>
            </w:r>
          </w:p>
        </w:tc>
      </w:tr>
      <w:tr w:rsidR="00274740" w14:paraId="4EB61633" w14:textId="77777777" w:rsidTr="00274740">
        <w:tc>
          <w:tcPr>
            <w:tcW w:w="11700" w:type="dxa"/>
            <w:shd w:val="clear" w:color="auto" w:fill="365F91" w:themeFill="accent1" w:themeFillShade="BF"/>
          </w:tcPr>
          <w:p w14:paraId="38206B03" w14:textId="7B341966" w:rsidR="00274740" w:rsidRPr="00274740" w:rsidRDefault="00274740" w:rsidP="00BB61F8">
            <w:pPr>
              <w:tabs>
                <w:tab w:val="left" w:pos="3225"/>
              </w:tabs>
              <w:rPr>
                <w:b/>
                <w:color w:val="FFFFFF" w:themeColor="background1"/>
                <w:sz w:val="16"/>
                <w:szCs w:val="16"/>
              </w:rPr>
            </w:pPr>
            <w:r w:rsidRPr="00274740">
              <w:rPr>
                <w:b/>
                <w:color w:val="FFFFFF" w:themeColor="background1"/>
                <w:sz w:val="16"/>
                <w:szCs w:val="16"/>
              </w:rPr>
              <w:t xml:space="preserve">Industry </w:t>
            </w:r>
            <w:r w:rsidR="00BB3908">
              <w:rPr>
                <w:b/>
                <w:color w:val="FFFFFF" w:themeColor="background1"/>
                <w:sz w:val="16"/>
                <w:szCs w:val="16"/>
              </w:rPr>
              <w:t>Outlook:</w:t>
            </w:r>
            <w:r w:rsidRPr="00274740">
              <w:rPr>
                <w:b/>
                <w:color w:val="FFFFFF" w:themeColor="background1"/>
                <w:sz w:val="16"/>
                <w:szCs w:val="16"/>
              </w:rPr>
              <w:t xml:space="preserve"> </w:t>
            </w:r>
          </w:p>
        </w:tc>
      </w:tr>
      <w:tr w:rsidR="00274740" w14:paraId="52C52C72" w14:textId="77777777" w:rsidTr="00DB5A10">
        <w:tc>
          <w:tcPr>
            <w:tcW w:w="11700" w:type="dxa"/>
          </w:tcPr>
          <w:p w14:paraId="7146F4FE" w14:textId="77777777" w:rsidR="00274740" w:rsidRDefault="00274740" w:rsidP="005E114B">
            <w:pPr>
              <w:rPr>
                <w:sz w:val="16"/>
                <w:szCs w:val="16"/>
              </w:rPr>
            </w:pPr>
          </w:p>
          <w:p w14:paraId="2219CC73" w14:textId="3B0E5A14" w:rsidR="00274740" w:rsidRDefault="000973A6" w:rsidP="00CA45D9">
            <w:pPr>
              <w:rPr>
                <w:rFonts w:hint="eastAsia"/>
                <w:sz w:val="16"/>
                <w:szCs w:val="16"/>
                <w:lang w:eastAsia="zh-CN"/>
              </w:rPr>
            </w:pPr>
            <w:r w:rsidRPr="000973A6">
              <w:rPr>
                <w:sz w:val="16"/>
                <w:szCs w:val="16"/>
                <w:lang w:eastAsia="zh-CN"/>
              </w:rPr>
              <w:t xml:space="preserve">Our fundamental outlook for the oil and gas storage and transportation sub-industry for the next 12 months is negative. </w:t>
            </w:r>
            <w:r w:rsidR="006A778C" w:rsidRPr="006A778C">
              <w:rPr>
                <w:sz w:val="16"/>
                <w:szCs w:val="16"/>
                <w:lang w:eastAsia="zh-CN"/>
              </w:rPr>
              <w:t>The sudden and rapid decline in crude oil prices, which started in late 2014, could cause a deceleration in new energy infra</w:t>
            </w:r>
            <w:r w:rsidR="006A778C">
              <w:rPr>
                <w:sz w:val="16"/>
                <w:szCs w:val="16"/>
                <w:lang w:eastAsia="zh-CN"/>
              </w:rPr>
              <w:t>structure projects in the U.S.</w:t>
            </w:r>
            <w:r w:rsidR="006A778C">
              <w:rPr>
                <w:rFonts w:hint="eastAsia"/>
                <w:sz w:val="16"/>
                <w:szCs w:val="16"/>
                <w:lang w:eastAsia="zh-CN"/>
              </w:rPr>
              <w:t xml:space="preserve"> </w:t>
            </w:r>
            <w:r w:rsidR="006A778C" w:rsidRPr="006A778C">
              <w:rPr>
                <w:sz w:val="16"/>
                <w:szCs w:val="16"/>
                <w:lang w:eastAsia="zh-CN"/>
              </w:rPr>
              <w:t>However, many projects already underwa</w:t>
            </w:r>
            <w:r w:rsidR="006A778C">
              <w:rPr>
                <w:sz w:val="16"/>
                <w:szCs w:val="16"/>
                <w:lang w:eastAsia="zh-CN"/>
              </w:rPr>
              <w:t>y should continue, and</w:t>
            </w:r>
            <w:r w:rsidR="006A778C">
              <w:rPr>
                <w:rFonts w:hint="eastAsia"/>
                <w:sz w:val="16"/>
                <w:szCs w:val="16"/>
                <w:lang w:eastAsia="zh-CN"/>
              </w:rPr>
              <w:t xml:space="preserve"> the </w:t>
            </w:r>
            <w:r w:rsidR="006A778C" w:rsidRPr="006A778C">
              <w:rPr>
                <w:sz w:val="16"/>
                <w:szCs w:val="16"/>
                <w:lang w:eastAsia="zh-CN"/>
              </w:rPr>
              <w:t>demand for energy infrastructure will benefit storage and transportation companies.</w:t>
            </w:r>
            <w:r w:rsidR="006A778C">
              <w:rPr>
                <w:rFonts w:hint="eastAsia"/>
                <w:sz w:val="16"/>
                <w:szCs w:val="16"/>
                <w:lang w:eastAsia="zh-CN"/>
              </w:rPr>
              <w:t xml:space="preserve"> </w:t>
            </w:r>
            <w:r w:rsidR="006A778C" w:rsidRPr="006A778C">
              <w:rPr>
                <w:sz w:val="16"/>
                <w:szCs w:val="16"/>
                <w:lang w:eastAsia="zh-CN"/>
              </w:rPr>
              <w:t xml:space="preserve">As of December 2015, </w:t>
            </w:r>
            <w:r w:rsidR="006A778C">
              <w:rPr>
                <w:rFonts w:hint="eastAsia"/>
                <w:sz w:val="16"/>
                <w:szCs w:val="16"/>
                <w:lang w:eastAsia="zh-CN"/>
              </w:rPr>
              <w:t>analysts</w:t>
            </w:r>
            <w:r w:rsidR="006A778C">
              <w:rPr>
                <w:sz w:val="16"/>
                <w:szCs w:val="16"/>
                <w:lang w:eastAsia="zh-CN"/>
              </w:rPr>
              <w:t xml:space="preserve"> forecast</w:t>
            </w:r>
            <w:r w:rsidR="006A778C" w:rsidRPr="006A778C">
              <w:rPr>
                <w:sz w:val="16"/>
                <w:szCs w:val="16"/>
                <w:lang w:eastAsia="zh-CN"/>
              </w:rPr>
              <w:t xml:space="preserve"> WTI crude oil prices averaging $46 per barrel in 2016, and $52 per barrel in 2017.</w:t>
            </w: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DB5A10">
        <w:tc>
          <w:tcPr>
            <w:tcW w:w="11700" w:type="dxa"/>
          </w:tcPr>
          <w:p w14:paraId="290AAD6A" w14:textId="1D161982" w:rsidR="00DB5A10" w:rsidRDefault="00DB5A10" w:rsidP="005E114B">
            <w:pPr>
              <w:rPr>
                <w:sz w:val="16"/>
                <w:szCs w:val="16"/>
              </w:rPr>
            </w:pPr>
          </w:p>
          <w:p w14:paraId="2FA54D26" w14:textId="4465EB9C" w:rsidR="002A7956" w:rsidRDefault="00947B96" w:rsidP="00DE0586">
            <w:pPr>
              <w:pStyle w:val="ListParagraph"/>
              <w:numPr>
                <w:ilvl w:val="0"/>
                <w:numId w:val="5"/>
              </w:numPr>
              <w:rPr>
                <w:rFonts w:hint="eastAsia"/>
                <w:sz w:val="16"/>
                <w:szCs w:val="16"/>
                <w:lang w:eastAsia="zh-CN"/>
              </w:rPr>
            </w:pPr>
            <w:r>
              <w:rPr>
                <w:rFonts w:hint="eastAsia"/>
                <w:sz w:val="16"/>
                <w:szCs w:val="16"/>
                <w:lang w:eastAsia="zh-CN"/>
              </w:rPr>
              <w:t>I</w:t>
            </w:r>
            <w:r>
              <w:rPr>
                <w:sz w:val="16"/>
                <w:szCs w:val="16"/>
                <w:lang w:eastAsia="zh-CN"/>
              </w:rPr>
              <w:t>’</w:t>
            </w:r>
            <w:r>
              <w:rPr>
                <w:rFonts w:hint="eastAsia"/>
                <w:sz w:val="16"/>
                <w:szCs w:val="16"/>
                <w:lang w:eastAsia="zh-CN"/>
              </w:rPr>
              <w:t xml:space="preserve">m looking for a stock with low beta and high yield in this volatile market. So the risk could be </w:t>
            </w:r>
            <w:r w:rsidR="00A26727">
              <w:rPr>
                <w:sz w:val="16"/>
                <w:szCs w:val="16"/>
                <w:lang w:eastAsia="zh-CN"/>
              </w:rPr>
              <w:t>relatively</w:t>
            </w:r>
            <w:r w:rsidR="00A26727">
              <w:rPr>
                <w:rFonts w:hint="eastAsia"/>
                <w:sz w:val="16"/>
                <w:szCs w:val="16"/>
                <w:lang w:eastAsia="zh-CN"/>
              </w:rPr>
              <w:t xml:space="preserve"> low </w:t>
            </w:r>
            <w:r>
              <w:rPr>
                <w:rFonts w:hint="eastAsia"/>
                <w:sz w:val="16"/>
                <w:szCs w:val="16"/>
                <w:lang w:eastAsia="zh-CN"/>
              </w:rPr>
              <w:t>and it can also</w:t>
            </w:r>
            <w:r w:rsidR="00A26727">
              <w:rPr>
                <w:rFonts w:hint="eastAsia"/>
                <w:sz w:val="16"/>
                <w:szCs w:val="16"/>
                <w:lang w:eastAsia="zh-CN"/>
              </w:rPr>
              <w:t xml:space="preserve"> provide stable high dividend, and </w:t>
            </w:r>
            <w:r>
              <w:rPr>
                <w:rFonts w:hint="eastAsia"/>
                <w:sz w:val="16"/>
                <w:szCs w:val="16"/>
                <w:lang w:eastAsia="zh-CN"/>
              </w:rPr>
              <w:t>also, Magellan</w:t>
            </w:r>
            <w:r>
              <w:rPr>
                <w:sz w:val="16"/>
                <w:szCs w:val="16"/>
                <w:lang w:eastAsia="zh-CN"/>
              </w:rPr>
              <w:t>’</w:t>
            </w:r>
            <w:r>
              <w:rPr>
                <w:rFonts w:hint="eastAsia"/>
                <w:sz w:val="16"/>
                <w:szCs w:val="16"/>
                <w:lang w:eastAsia="zh-CN"/>
              </w:rPr>
              <w:t xml:space="preserve">s </w:t>
            </w:r>
            <w:r w:rsidR="00A26727">
              <w:rPr>
                <w:rFonts w:hint="eastAsia"/>
                <w:sz w:val="16"/>
                <w:szCs w:val="16"/>
                <w:lang w:eastAsia="zh-CN"/>
              </w:rPr>
              <w:t>management announced its plan to increase the cash distribution by 10% 2016 and 8% for 2</w:t>
            </w:r>
            <w:r w:rsidR="00DE0586">
              <w:rPr>
                <w:rFonts w:hint="eastAsia"/>
                <w:sz w:val="16"/>
                <w:szCs w:val="16"/>
                <w:lang w:eastAsia="zh-CN"/>
              </w:rPr>
              <w:t xml:space="preserve">017. Also, we </w:t>
            </w:r>
            <w:r w:rsidR="00DE0586" w:rsidRPr="00DE0586">
              <w:rPr>
                <w:sz w:val="16"/>
                <w:szCs w:val="16"/>
                <w:lang w:eastAsia="zh-CN"/>
              </w:rPr>
              <w:t>believe the 10% growth rate in 2016 is very achievable, with many key projects due on line in 2016-</w:t>
            </w:r>
            <w:r w:rsidR="00DE0586">
              <w:rPr>
                <w:sz w:val="16"/>
                <w:szCs w:val="16"/>
                <w:lang w:eastAsia="zh-CN"/>
              </w:rPr>
              <w:t>17 to support this</w:t>
            </w:r>
            <w:r w:rsidR="00DE0586">
              <w:rPr>
                <w:rFonts w:hint="eastAsia"/>
                <w:sz w:val="16"/>
                <w:szCs w:val="16"/>
                <w:lang w:eastAsia="zh-CN"/>
              </w:rPr>
              <w:t>;</w:t>
            </w:r>
          </w:p>
          <w:p w14:paraId="03E718DD" w14:textId="15A0744E" w:rsidR="00D809CF" w:rsidRDefault="00D809CF" w:rsidP="00DE0586">
            <w:pPr>
              <w:pStyle w:val="ListParagraph"/>
              <w:numPr>
                <w:ilvl w:val="0"/>
                <w:numId w:val="5"/>
              </w:numPr>
              <w:rPr>
                <w:rFonts w:hint="eastAsia"/>
                <w:sz w:val="16"/>
                <w:szCs w:val="16"/>
                <w:lang w:eastAsia="zh-CN"/>
              </w:rPr>
            </w:pPr>
            <w:r>
              <w:rPr>
                <w:rFonts w:hint="eastAsia"/>
                <w:sz w:val="16"/>
                <w:szCs w:val="16"/>
                <w:lang w:eastAsia="zh-CN"/>
              </w:rPr>
              <w:t>In terms of valuatio</w:t>
            </w:r>
            <w:r w:rsidR="00E713EB">
              <w:rPr>
                <w:rFonts w:hint="eastAsia"/>
                <w:sz w:val="16"/>
                <w:szCs w:val="16"/>
                <w:lang w:eastAsia="zh-CN"/>
              </w:rPr>
              <w:t xml:space="preserve">n, currently MMP is trading at </w:t>
            </w:r>
            <w:r>
              <w:rPr>
                <w:rFonts w:hint="eastAsia"/>
                <w:sz w:val="16"/>
                <w:szCs w:val="16"/>
                <w:lang w:eastAsia="zh-CN"/>
              </w:rPr>
              <w:t>14.8X EBITDA</w:t>
            </w:r>
            <w:r w:rsidR="00E713EB">
              <w:rPr>
                <w:rFonts w:hint="eastAsia"/>
                <w:sz w:val="16"/>
                <w:szCs w:val="16"/>
                <w:lang w:eastAsia="zh-CN"/>
              </w:rPr>
              <w:t xml:space="preserve"> multiple, while over the last five years, </w:t>
            </w:r>
            <w:r w:rsidR="00E713EB" w:rsidRPr="00E713EB">
              <w:rPr>
                <w:sz w:val="16"/>
                <w:szCs w:val="16"/>
                <w:lang w:eastAsia="zh-CN"/>
              </w:rPr>
              <w:t>MMP has traded at an average of 17.3X forward EBITDA</w:t>
            </w:r>
            <w:r w:rsidR="00E713EB">
              <w:rPr>
                <w:rFonts w:hint="eastAsia"/>
                <w:sz w:val="16"/>
                <w:szCs w:val="16"/>
                <w:lang w:eastAsia="zh-CN"/>
              </w:rPr>
              <w:t>;</w:t>
            </w:r>
          </w:p>
          <w:p w14:paraId="3422C1F1" w14:textId="2F3C75E6" w:rsidR="008E59B8" w:rsidRPr="00DE0586" w:rsidRDefault="008E59B8" w:rsidP="00DE0586">
            <w:pPr>
              <w:pStyle w:val="ListParagraph"/>
              <w:numPr>
                <w:ilvl w:val="0"/>
                <w:numId w:val="5"/>
              </w:numPr>
              <w:rPr>
                <w:sz w:val="16"/>
                <w:szCs w:val="16"/>
                <w:lang w:eastAsia="zh-CN"/>
              </w:rPr>
            </w:pPr>
            <w:r>
              <w:rPr>
                <w:rFonts w:hint="eastAsia"/>
                <w:sz w:val="16"/>
                <w:szCs w:val="16"/>
                <w:lang w:eastAsia="zh-CN"/>
              </w:rPr>
              <w:t xml:space="preserve">The sub industry is down 33% over the last year, while MMP is just down 7% over the same time frame, </w:t>
            </w:r>
            <w:r w:rsidRPr="008E59B8">
              <w:rPr>
                <w:sz w:val="16"/>
                <w:szCs w:val="16"/>
                <w:lang w:eastAsia="zh-CN"/>
              </w:rPr>
              <w:t>while refined product prices have come down along with crude oil prices, they have come down relatively less</w:t>
            </w:r>
            <w:r>
              <w:rPr>
                <w:rFonts w:hint="eastAsia"/>
                <w:sz w:val="16"/>
                <w:szCs w:val="16"/>
                <w:lang w:eastAsia="zh-CN"/>
              </w:rPr>
              <w:t>;</w:t>
            </w:r>
          </w:p>
          <w:p w14:paraId="732EABDC" w14:textId="34F4CF03" w:rsidR="00A26727" w:rsidRPr="005226C0" w:rsidRDefault="00A26727" w:rsidP="005226C0">
            <w:pPr>
              <w:pStyle w:val="ListParagraph"/>
              <w:numPr>
                <w:ilvl w:val="0"/>
                <w:numId w:val="5"/>
              </w:numPr>
              <w:rPr>
                <w:sz w:val="16"/>
                <w:szCs w:val="16"/>
                <w:lang w:eastAsia="zh-CN"/>
              </w:rPr>
            </w:pPr>
            <w:r>
              <w:rPr>
                <w:rFonts w:hint="eastAsia"/>
                <w:sz w:val="16"/>
                <w:szCs w:val="16"/>
                <w:lang w:eastAsia="zh-CN"/>
              </w:rPr>
              <w:t>It has strong distributable cash flow, which</w:t>
            </w:r>
            <w:r w:rsidR="005226C0">
              <w:rPr>
                <w:rFonts w:hint="eastAsia"/>
                <w:sz w:val="16"/>
                <w:szCs w:val="16"/>
                <w:lang w:eastAsia="zh-CN"/>
              </w:rPr>
              <w:t xml:space="preserve"> increased 7% to $943 million, and the </w:t>
            </w:r>
            <w:r w:rsidR="005226C0" w:rsidRPr="005226C0">
              <w:rPr>
                <w:sz w:val="16"/>
                <w:szCs w:val="16"/>
                <w:lang w:eastAsia="zh-CN"/>
              </w:rPr>
              <w:t xml:space="preserve">Coverage </w:t>
            </w:r>
            <w:r w:rsidR="005226C0">
              <w:rPr>
                <w:rFonts w:hint="eastAsia"/>
                <w:sz w:val="16"/>
                <w:szCs w:val="16"/>
                <w:lang w:eastAsia="zh-CN"/>
              </w:rPr>
              <w:t xml:space="preserve">ratio </w:t>
            </w:r>
            <w:r w:rsidR="005226C0" w:rsidRPr="005226C0">
              <w:rPr>
                <w:sz w:val="16"/>
                <w:szCs w:val="16"/>
                <w:lang w:eastAsia="zh-CN"/>
              </w:rPr>
              <w:t>was a very im</w:t>
            </w:r>
            <w:r w:rsidR="005226C0">
              <w:rPr>
                <w:sz w:val="16"/>
                <w:szCs w:val="16"/>
                <w:lang w:eastAsia="zh-CN"/>
              </w:rPr>
              <w:t>pressive 1.4 times for this year</w:t>
            </w:r>
            <w:r w:rsidR="005226C0">
              <w:rPr>
                <w:rFonts w:hint="eastAsia"/>
                <w:sz w:val="16"/>
                <w:szCs w:val="16"/>
                <w:lang w:eastAsia="zh-CN"/>
              </w:rPr>
              <w:t>;</w:t>
            </w:r>
          </w:p>
          <w:p w14:paraId="4760CDD2" w14:textId="221EAF38" w:rsidR="00DE0586" w:rsidRDefault="00DE0586" w:rsidP="00DE0586">
            <w:pPr>
              <w:pStyle w:val="ListParagraph"/>
              <w:numPr>
                <w:ilvl w:val="0"/>
                <w:numId w:val="5"/>
              </w:numPr>
              <w:rPr>
                <w:sz w:val="16"/>
                <w:szCs w:val="16"/>
                <w:lang w:eastAsia="zh-CN"/>
              </w:rPr>
            </w:pPr>
            <w:r w:rsidRPr="00DE0586">
              <w:rPr>
                <w:sz w:val="16"/>
                <w:szCs w:val="16"/>
                <w:lang w:eastAsia="zh-CN"/>
              </w:rPr>
              <w:t>Appro</w:t>
            </w:r>
            <w:r w:rsidR="00F2004E">
              <w:rPr>
                <w:sz w:val="16"/>
                <w:szCs w:val="16"/>
                <w:lang w:eastAsia="zh-CN"/>
              </w:rPr>
              <w:t>ximately 85% of the M</w:t>
            </w:r>
            <w:r>
              <w:rPr>
                <w:sz w:val="16"/>
                <w:szCs w:val="16"/>
                <w:lang w:eastAsia="zh-CN"/>
              </w:rPr>
              <w:t>P’s busi</w:t>
            </w:r>
            <w:r w:rsidRPr="00DE0586">
              <w:rPr>
                <w:sz w:val="16"/>
                <w:szCs w:val="16"/>
                <w:lang w:eastAsia="zh-CN"/>
              </w:rPr>
              <w:t>ness is fee-based and tied to long-term contracts. This reduces the dow</w:t>
            </w:r>
            <w:r>
              <w:rPr>
                <w:sz w:val="16"/>
                <w:szCs w:val="16"/>
                <w:lang w:eastAsia="zh-CN"/>
              </w:rPr>
              <w:t>nside when energy markets slump</w:t>
            </w:r>
            <w:r>
              <w:rPr>
                <w:rFonts w:hint="eastAsia"/>
                <w:sz w:val="16"/>
                <w:szCs w:val="16"/>
                <w:lang w:eastAsia="zh-CN"/>
              </w:rPr>
              <w:t>;</w:t>
            </w:r>
          </w:p>
          <w:p w14:paraId="7574C565" w14:textId="08D46B43" w:rsidR="00566D6B" w:rsidRPr="00DE0586" w:rsidRDefault="00566D6B" w:rsidP="00DE0586">
            <w:pPr>
              <w:pStyle w:val="ListParagraph"/>
              <w:numPr>
                <w:ilvl w:val="0"/>
                <w:numId w:val="5"/>
              </w:numPr>
              <w:rPr>
                <w:sz w:val="16"/>
                <w:szCs w:val="16"/>
                <w:lang w:eastAsia="zh-CN"/>
              </w:rPr>
            </w:pPr>
            <w:r>
              <w:rPr>
                <w:rFonts w:hint="eastAsia"/>
                <w:sz w:val="16"/>
                <w:szCs w:val="16"/>
                <w:lang w:eastAsia="zh-CN"/>
              </w:rPr>
              <w:t>Till now, there is no energy stock in our po</w:t>
            </w:r>
            <w:r w:rsidR="00053B90">
              <w:rPr>
                <w:rFonts w:hint="eastAsia"/>
                <w:sz w:val="16"/>
                <w:szCs w:val="16"/>
                <w:lang w:eastAsia="zh-CN"/>
              </w:rPr>
              <w:t>rtfolio, and the energy sector has already drop</w:t>
            </w:r>
            <w:r w:rsidR="00107E5A">
              <w:rPr>
                <w:rFonts w:hint="eastAsia"/>
                <w:sz w:val="16"/>
                <w:szCs w:val="16"/>
                <w:lang w:eastAsia="zh-CN"/>
              </w:rPr>
              <w:t>ped</w:t>
            </w:r>
            <w:r w:rsidR="00053B90">
              <w:rPr>
                <w:rFonts w:hint="eastAsia"/>
                <w:sz w:val="16"/>
                <w:szCs w:val="16"/>
                <w:lang w:eastAsia="zh-CN"/>
              </w:rPr>
              <w:t xml:space="preserve"> too much. We can consider a low risk stock to diversify our holdings;</w:t>
            </w:r>
          </w:p>
          <w:p w14:paraId="35F9E681" w14:textId="2D13FF1C" w:rsidR="00DE0586" w:rsidRPr="002A7956" w:rsidRDefault="00DE0586" w:rsidP="00DE0586">
            <w:pPr>
              <w:pStyle w:val="ListParagraph"/>
              <w:ind w:left="360"/>
              <w:rPr>
                <w:sz w:val="16"/>
                <w:szCs w:val="16"/>
                <w:lang w:eastAsia="zh-CN"/>
              </w:rPr>
            </w:pPr>
          </w:p>
        </w:tc>
      </w:tr>
      <w:tr w:rsidR="00DB5A10" w14:paraId="3604FAC8" w14:textId="77777777" w:rsidTr="00DB5A10">
        <w:tc>
          <w:tcPr>
            <w:tcW w:w="11700" w:type="dxa"/>
            <w:shd w:val="clear" w:color="auto" w:fill="365F91" w:themeFill="accent1" w:themeFillShade="BF"/>
          </w:tcPr>
          <w:p w14:paraId="36D57562" w14:textId="69893D12" w:rsidR="00DB5A10" w:rsidRDefault="00DB5A10" w:rsidP="00DB5A10">
            <w:pPr>
              <w:tabs>
                <w:tab w:val="left" w:pos="2235"/>
              </w:tabs>
              <w:rPr>
                <w:sz w:val="16"/>
                <w:szCs w:val="16"/>
              </w:rPr>
            </w:pPr>
            <w:r w:rsidRPr="00DB5A10">
              <w:rPr>
                <w:b/>
                <w:color w:val="FFFFFF" w:themeColor="background1"/>
                <w:sz w:val="16"/>
                <w:szCs w:val="16"/>
              </w:rPr>
              <w:t>Investment Risks:</w:t>
            </w:r>
            <w:r w:rsidRPr="00DB5A10">
              <w:rPr>
                <w:b/>
                <w:color w:val="FFFFFF" w:themeColor="background1"/>
                <w:sz w:val="16"/>
                <w:szCs w:val="16"/>
              </w:rPr>
              <w:tab/>
            </w:r>
          </w:p>
        </w:tc>
      </w:tr>
      <w:tr w:rsidR="00DB5A10" w14:paraId="7051B972" w14:textId="77777777" w:rsidTr="00DB5A10">
        <w:tc>
          <w:tcPr>
            <w:tcW w:w="11700" w:type="dxa"/>
          </w:tcPr>
          <w:p w14:paraId="6C10EB0E" w14:textId="77777777" w:rsidR="00DB5A10" w:rsidRDefault="00DB5A10" w:rsidP="005E114B">
            <w:pPr>
              <w:rPr>
                <w:sz w:val="16"/>
                <w:szCs w:val="16"/>
              </w:rPr>
            </w:pPr>
          </w:p>
          <w:p w14:paraId="0DBED123" w14:textId="79C29CB7" w:rsidR="00DE0586" w:rsidRDefault="00DE0586" w:rsidP="00DE0586">
            <w:pPr>
              <w:pStyle w:val="ListParagraph"/>
              <w:numPr>
                <w:ilvl w:val="0"/>
                <w:numId w:val="3"/>
              </w:numPr>
              <w:rPr>
                <w:sz w:val="16"/>
                <w:szCs w:val="16"/>
              </w:rPr>
            </w:pPr>
            <w:r w:rsidRPr="00DE0586">
              <w:rPr>
                <w:sz w:val="16"/>
                <w:szCs w:val="16"/>
              </w:rPr>
              <w:t>Need for additional product pipelines or storage terminals may subs</w:t>
            </w:r>
            <w:r w:rsidR="009B77FB">
              <w:rPr>
                <w:sz w:val="16"/>
                <w:szCs w:val="16"/>
              </w:rPr>
              <w:t>ide over the next decade, redu</w:t>
            </w:r>
            <w:r w:rsidRPr="00DE0586">
              <w:rPr>
                <w:sz w:val="16"/>
                <w:szCs w:val="16"/>
              </w:rPr>
              <w:t>cing the pool o</w:t>
            </w:r>
            <w:r w:rsidR="009B77FB">
              <w:rPr>
                <w:sz w:val="16"/>
                <w:szCs w:val="16"/>
              </w:rPr>
              <w:t>f projects Magellan can pursue</w:t>
            </w:r>
            <w:r w:rsidR="009B77FB">
              <w:rPr>
                <w:rFonts w:hint="eastAsia"/>
                <w:sz w:val="16"/>
                <w:szCs w:val="16"/>
                <w:lang w:eastAsia="zh-CN"/>
              </w:rPr>
              <w:t>;</w:t>
            </w:r>
          </w:p>
          <w:p w14:paraId="3A24BE4B" w14:textId="75AE58AB" w:rsidR="009B77FB" w:rsidRPr="009B77FB" w:rsidRDefault="009B77FB" w:rsidP="009B77FB">
            <w:pPr>
              <w:pStyle w:val="ListParagraph"/>
              <w:numPr>
                <w:ilvl w:val="0"/>
                <w:numId w:val="3"/>
              </w:numPr>
              <w:rPr>
                <w:sz w:val="16"/>
                <w:szCs w:val="16"/>
              </w:rPr>
            </w:pPr>
            <w:r w:rsidRPr="009B77FB">
              <w:rPr>
                <w:sz w:val="16"/>
                <w:szCs w:val="16"/>
              </w:rPr>
              <w:t xml:space="preserve">While MMP has </w:t>
            </w:r>
            <w:r>
              <w:rPr>
                <w:sz w:val="16"/>
                <w:szCs w:val="16"/>
              </w:rPr>
              <w:t>limited direct exposure to com</w:t>
            </w:r>
            <w:r w:rsidRPr="009B77FB">
              <w:rPr>
                <w:sz w:val="16"/>
                <w:szCs w:val="16"/>
              </w:rPr>
              <w:t>modities, 15% o</w:t>
            </w:r>
            <w:r>
              <w:rPr>
                <w:sz w:val="16"/>
                <w:szCs w:val="16"/>
              </w:rPr>
              <w:t>f operating margin is from commodity-sensitive operations</w:t>
            </w:r>
            <w:r>
              <w:rPr>
                <w:rFonts w:hint="eastAsia"/>
                <w:sz w:val="16"/>
                <w:szCs w:val="16"/>
                <w:lang w:eastAsia="zh-CN"/>
              </w:rPr>
              <w:t>.</w:t>
            </w:r>
            <w:r w:rsidRPr="009B77FB">
              <w:rPr>
                <w:sz w:val="16"/>
                <w:szCs w:val="16"/>
              </w:rPr>
              <w:t xml:space="preserve"> Long-term, if a lower commodity price environment persists, the butane blending </w:t>
            </w:r>
            <w:r>
              <w:rPr>
                <w:sz w:val="16"/>
                <w:szCs w:val="16"/>
              </w:rPr>
              <w:t>seg</w:t>
            </w:r>
            <w:r w:rsidRPr="009B77FB">
              <w:rPr>
                <w:sz w:val="16"/>
                <w:szCs w:val="16"/>
              </w:rPr>
              <w:t xml:space="preserve">ment will likely face headwinds. </w:t>
            </w:r>
          </w:p>
          <w:p w14:paraId="77272C35" w14:textId="2C63FEED" w:rsidR="009B77FB" w:rsidRPr="009B77FB" w:rsidRDefault="009B77FB" w:rsidP="009B77FB">
            <w:pPr>
              <w:pStyle w:val="ListParagraph"/>
              <w:numPr>
                <w:ilvl w:val="0"/>
                <w:numId w:val="3"/>
              </w:numPr>
              <w:rPr>
                <w:sz w:val="16"/>
                <w:szCs w:val="16"/>
              </w:rPr>
            </w:pPr>
            <w:r w:rsidRPr="009B77FB">
              <w:rPr>
                <w:sz w:val="16"/>
                <w:szCs w:val="16"/>
              </w:rPr>
              <w:t>Since MMP is a yield-oriented investment, it is sensitive to interest rates. While interest rates are expected to remain relatively low in the near future, if this changes due to stronger economic conditions, MMP and the MLP sector in general could begi</w:t>
            </w:r>
            <w:r>
              <w:rPr>
                <w:sz w:val="16"/>
                <w:szCs w:val="16"/>
              </w:rPr>
              <w:t>n to experience some headwinds</w:t>
            </w:r>
            <w:r>
              <w:rPr>
                <w:rFonts w:hint="eastAsia"/>
                <w:sz w:val="16"/>
                <w:szCs w:val="16"/>
                <w:lang w:eastAsia="zh-CN"/>
              </w:rPr>
              <w:t>;</w:t>
            </w:r>
          </w:p>
          <w:p w14:paraId="78159DC0" w14:textId="2BECEB5F" w:rsidR="001A0791" w:rsidRPr="008E59B8" w:rsidRDefault="009B77FB" w:rsidP="001A0791">
            <w:pPr>
              <w:pStyle w:val="ListParagraph"/>
              <w:numPr>
                <w:ilvl w:val="0"/>
                <w:numId w:val="3"/>
              </w:numPr>
              <w:rPr>
                <w:rFonts w:hint="eastAsia"/>
                <w:sz w:val="16"/>
                <w:szCs w:val="16"/>
              </w:rPr>
            </w:pPr>
            <w:r>
              <w:rPr>
                <w:sz w:val="16"/>
                <w:szCs w:val="16"/>
              </w:rPr>
              <w:t>R</w:t>
            </w:r>
            <w:r w:rsidRPr="009B77FB">
              <w:rPr>
                <w:sz w:val="16"/>
                <w:szCs w:val="16"/>
              </w:rPr>
              <w:t>egulatory risk and the tax- favored stat</w:t>
            </w:r>
            <w:r>
              <w:rPr>
                <w:sz w:val="16"/>
                <w:szCs w:val="16"/>
              </w:rPr>
              <w:t>us of the MLP form of business</w:t>
            </w:r>
            <w:r w:rsidR="00944804">
              <w:rPr>
                <w:rFonts w:hint="eastAsia"/>
                <w:sz w:val="16"/>
                <w:szCs w:val="16"/>
                <w:lang w:eastAsia="zh-CN"/>
              </w:rPr>
              <w:t xml:space="preserve"> may change</w:t>
            </w:r>
            <w:r>
              <w:rPr>
                <w:rFonts w:hint="eastAsia"/>
                <w:sz w:val="16"/>
                <w:szCs w:val="16"/>
                <w:lang w:eastAsia="zh-CN"/>
              </w:rPr>
              <w:t>;</w:t>
            </w:r>
          </w:p>
        </w:tc>
      </w:tr>
      <w:tr w:rsidR="00DB5A10" w14:paraId="76F577E7" w14:textId="77777777" w:rsidTr="00DB5A10">
        <w:tc>
          <w:tcPr>
            <w:tcW w:w="11700" w:type="dxa"/>
            <w:shd w:val="clear" w:color="auto" w:fill="365F91" w:themeFill="accent1" w:themeFillShade="BF"/>
          </w:tcPr>
          <w:p w14:paraId="0A443D6F" w14:textId="4EB2A931" w:rsidR="00DB5A10" w:rsidRPr="00DB5A10" w:rsidRDefault="00DB5A10" w:rsidP="00DB5A10">
            <w:pPr>
              <w:ind w:left="72"/>
              <w:jc w:val="both"/>
              <w:rPr>
                <w:color w:val="FFFFFF" w:themeColor="background1"/>
                <w:sz w:val="16"/>
                <w:szCs w:val="16"/>
              </w:rPr>
            </w:pPr>
            <w:r w:rsidRPr="00DB5A10">
              <w:rPr>
                <w:b/>
                <w:color w:val="FFFFFF" w:themeColor="background1"/>
                <w:sz w:val="16"/>
                <w:szCs w:val="16"/>
              </w:rPr>
              <w:t xml:space="preserve">3-5 take </w:t>
            </w:r>
            <w:r w:rsidR="00274740" w:rsidRPr="00DB5A10">
              <w:rPr>
                <w:b/>
                <w:color w:val="FFFFFF" w:themeColor="background1"/>
                <w:sz w:val="16"/>
                <w:szCs w:val="16"/>
              </w:rPr>
              <w:t>away</w:t>
            </w:r>
            <w:r w:rsidRPr="00DB5A10">
              <w:rPr>
                <w:b/>
                <w:color w:val="FFFFFF" w:themeColor="background1"/>
                <w:sz w:val="16"/>
                <w:szCs w:val="16"/>
              </w:rPr>
              <w:t xml:space="preserve"> from last quarter investor call transcript: </w:t>
            </w:r>
          </w:p>
        </w:tc>
      </w:tr>
      <w:tr w:rsidR="00DB5A10" w14:paraId="75D76709" w14:textId="77777777" w:rsidTr="00DB5A10">
        <w:trPr>
          <w:trHeight w:val="70"/>
        </w:trPr>
        <w:tc>
          <w:tcPr>
            <w:tcW w:w="11700" w:type="dxa"/>
          </w:tcPr>
          <w:p w14:paraId="7A100AF1" w14:textId="3333CC8F" w:rsidR="00DB5A10" w:rsidRDefault="00DB5A10" w:rsidP="005E114B">
            <w:pPr>
              <w:rPr>
                <w:sz w:val="16"/>
                <w:szCs w:val="16"/>
              </w:rPr>
            </w:pPr>
          </w:p>
          <w:p w14:paraId="2802C2CF" w14:textId="65903289" w:rsidR="009564F2" w:rsidRPr="009564F2" w:rsidRDefault="009564F2" w:rsidP="009564F2">
            <w:pPr>
              <w:pStyle w:val="ListParagraph"/>
              <w:numPr>
                <w:ilvl w:val="0"/>
                <w:numId w:val="4"/>
              </w:numPr>
              <w:rPr>
                <w:sz w:val="16"/>
                <w:szCs w:val="16"/>
              </w:rPr>
            </w:pPr>
            <w:r>
              <w:rPr>
                <w:sz w:val="16"/>
                <w:szCs w:val="16"/>
              </w:rPr>
              <w:t>They have intentionally managed the</w:t>
            </w:r>
            <w:r w:rsidRPr="009564F2">
              <w:rPr>
                <w:sz w:val="16"/>
                <w:szCs w:val="16"/>
              </w:rPr>
              <w:t xml:space="preserve"> business in a conservative fashion to foc</w:t>
            </w:r>
            <w:r>
              <w:rPr>
                <w:sz w:val="16"/>
                <w:szCs w:val="16"/>
              </w:rPr>
              <w:t>us on fee based activities that</w:t>
            </w:r>
            <w:r w:rsidRPr="009564F2">
              <w:rPr>
                <w:sz w:val="16"/>
                <w:szCs w:val="16"/>
              </w:rPr>
              <w:t xml:space="preserve"> is resilient </w:t>
            </w:r>
            <w:r>
              <w:rPr>
                <w:sz w:val="16"/>
                <w:szCs w:val="16"/>
              </w:rPr>
              <w:t>as possible to price volatility</w:t>
            </w:r>
            <w:r>
              <w:rPr>
                <w:rFonts w:hint="eastAsia"/>
                <w:sz w:val="16"/>
                <w:szCs w:val="16"/>
                <w:lang w:eastAsia="zh-CN"/>
              </w:rPr>
              <w:t>;</w:t>
            </w:r>
          </w:p>
          <w:p w14:paraId="0CF83D2B" w14:textId="5BCE4208" w:rsidR="009564F2" w:rsidRPr="009564F2" w:rsidRDefault="005226C0" w:rsidP="009564F2">
            <w:pPr>
              <w:pStyle w:val="ListParagraph"/>
              <w:numPr>
                <w:ilvl w:val="0"/>
                <w:numId w:val="4"/>
              </w:numPr>
              <w:rPr>
                <w:sz w:val="16"/>
                <w:szCs w:val="16"/>
              </w:rPr>
            </w:pPr>
            <w:r>
              <w:rPr>
                <w:sz w:val="16"/>
                <w:szCs w:val="16"/>
              </w:rPr>
              <w:t>They announced their</w:t>
            </w:r>
            <w:r>
              <w:rPr>
                <w:rFonts w:hint="eastAsia"/>
                <w:sz w:val="16"/>
                <w:szCs w:val="16"/>
                <w:lang w:eastAsia="zh-CN"/>
              </w:rPr>
              <w:t xml:space="preserve"> </w:t>
            </w:r>
            <w:r w:rsidRPr="005226C0">
              <w:rPr>
                <w:sz w:val="16"/>
                <w:szCs w:val="16"/>
              </w:rPr>
              <w:t>2016 DCF guides of $900 million</w:t>
            </w:r>
            <w:r>
              <w:rPr>
                <w:rFonts w:hint="eastAsia"/>
                <w:sz w:val="16"/>
                <w:szCs w:val="16"/>
                <w:lang w:eastAsia="zh-CN"/>
              </w:rPr>
              <w:t xml:space="preserve"> and </w:t>
            </w:r>
            <w:r>
              <w:rPr>
                <w:sz w:val="16"/>
                <w:szCs w:val="16"/>
                <w:lang w:eastAsia="zh-CN"/>
              </w:rPr>
              <w:t>assumed</w:t>
            </w:r>
            <w:r w:rsidRPr="005226C0">
              <w:rPr>
                <w:sz w:val="16"/>
                <w:szCs w:val="16"/>
                <w:lang w:eastAsia="zh-CN"/>
              </w:rPr>
              <w:t xml:space="preserve"> an average crude oil price for 2016 of approximately $35 per barrel</w:t>
            </w:r>
            <w:r>
              <w:rPr>
                <w:rFonts w:hint="eastAsia"/>
                <w:sz w:val="16"/>
                <w:szCs w:val="16"/>
                <w:lang w:eastAsia="zh-CN"/>
              </w:rPr>
              <w:t>;</w:t>
            </w:r>
          </w:p>
          <w:p w14:paraId="7F8A8615" w14:textId="77777777" w:rsidR="00DF0D9C" w:rsidRDefault="00042A3B" w:rsidP="00042A3B">
            <w:pPr>
              <w:pStyle w:val="ListParagraph"/>
              <w:numPr>
                <w:ilvl w:val="0"/>
                <w:numId w:val="4"/>
              </w:numPr>
              <w:rPr>
                <w:sz w:val="16"/>
                <w:szCs w:val="16"/>
              </w:rPr>
            </w:pPr>
            <w:r>
              <w:rPr>
                <w:rFonts w:hint="eastAsia"/>
                <w:sz w:val="16"/>
                <w:szCs w:val="16"/>
                <w:lang w:eastAsia="zh-CN"/>
              </w:rPr>
              <w:t xml:space="preserve">In terms of M&amp;A, they say they are </w:t>
            </w:r>
            <w:r>
              <w:rPr>
                <w:sz w:val="16"/>
                <w:szCs w:val="16"/>
                <w:lang w:eastAsia="zh-CN"/>
              </w:rPr>
              <w:t>not</w:t>
            </w:r>
            <w:r>
              <w:rPr>
                <w:rFonts w:hint="eastAsia"/>
                <w:sz w:val="16"/>
                <w:szCs w:val="16"/>
                <w:lang w:eastAsia="zh-CN"/>
              </w:rPr>
              <w:t xml:space="preserve"> </w:t>
            </w:r>
            <w:r w:rsidRPr="00042A3B">
              <w:rPr>
                <w:sz w:val="16"/>
                <w:szCs w:val="16"/>
                <w:lang w:eastAsia="zh-CN"/>
              </w:rPr>
              <w:t>interested in any businesses that’s got a high degree of commodity sensitivity</w:t>
            </w:r>
            <w:r>
              <w:rPr>
                <w:rFonts w:hint="eastAsia"/>
                <w:sz w:val="16"/>
                <w:szCs w:val="16"/>
                <w:lang w:eastAsia="zh-CN"/>
              </w:rPr>
              <w:t>, and would focus on the fee-based business;</w:t>
            </w:r>
          </w:p>
          <w:p w14:paraId="4205DC0B" w14:textId="405C43AF" w:rsidR="001A0791" w:rsidRPr="001A0791" w:rsidRDefault="00042A3B" w:rsidP="001A0791">
            <w:pPr>
              <w:pStyle w:val="ListParagraph"/>
              <w:numPr>
                <w:ilvl w:val="0"/>
                <w:numId w:val="4"/>
              </w:numPr>
              <w:rPr>
                <w:sz w:val="16"/>
                <w:szCs w:val="16"/>
              </w:rPr>
            </w:pPr>
            <w:r>
              <w:rPr>
                <w:rFonts w:hint="eastAsia"/>
                <w:sz w:val="16"/>
                <w:szCs w:val="16"/>
                <w:lang w:eastAsia="zh-CN"/>
              </w:rPr>
              <w:t>1.2 is their floor target coverage</w:t>
            </w:r>
            <w:r w:rsidR="007D6661">
              <w:rPr>
                <w:rFonts w:hint="eastAsia"/>
                <w:sz w:val="16"/>
                <w:szCs w:val="16"/>
                <w:lang w:eastAsia="zh-CN"/>
              </w:rPr>
              <w:t xml:space="preserve"> (the mount of actual cash distributions, relative to the mount it could pay out, </w:t>
            </w:r>
            <w:r w:rsidR="007D6661" w:rsidRPr="007D6661">
              <w:rPr>
                <w:iCs/>
                <w:sz w:val="16"/>
                <w:szCs w:val="16"/>
                <w:lang w:eastAsia="zh-CN"/>
              </w:rPr>
              <w:t>Distributable Cash Flow / Actual Cash Distribution</w:t>
            </w:r>
            <w:r w:rsidR="007D6661">
              <w:rPr>
                <w:rFonts w:hint="eastAsia"/>
                <w:sz w:val="16"/>
                <w:szCs w:val="16"/>
                <w:lang w:eastAsia="zh-CN"/>
              </w:rPr>
              <w:t>)</w:t>
            </w:r>
            <w:r>
              <w:rPr>
                <w:rFonts w:hint="eastAsia"/>
                <w:sz w:val="16"/>
                <w:szCs w:val="16"/>
                <w:lang w:eastAsia="zh-CN"/>
              </w:rPr>
              <w:t>;</w:t>
            </w: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562"/>
              <w:gridCol w:w="1007"/>
              <w:gridCol w:w="990"/>
              <w:gridCol w:w="920"/>
              <w:gridCol w:w="920"/>
              <w:gridCol w:w="920"/>
              <w:gridCol w:w="920"/>
            </w:tblGrid>
            <w:tr w:rsidR="00830F06" w:rsidRPr="002F062C" w14:paraId="23FAEDA0" w14:textId="77777777" w:rsidTr="006B0A61">
              <w:tc>
                <w:tcPr>
                  <w:tcW w:w="1562" w:type="dxa"/>
                  <w:shd w:val="clear" w:color="auto" w:fill="DBE5F1" w:themeFill="accent1" w:themeFillTint="33"/>
                </w:tcPr>
                <w:p w14:paraId="165C82C4" w14:textId="77777777" w:rsidR="00830F06" w:rsidRDefault="00830F06" w:rsidP="00830F06">
                  <w:pPr>
                    <w:rPr>
                      <w:sz w:val="16"/>
                      <w:szCs w:val="16"/>
                    </w:rPr>
                  </w:pPr>
                </w:p>
              </w:tc>
              <w:tc>
                <w:tcPr>
                  <w:tcW w:w="1007" w:type="dxa"/>
                  <w:tcBorders>
                    <w:bottom w:val="single" w:sz="4" w:space="0" w:color="auto"/>
                  </w:tcBorders>
                  <w:shd w:val="clear" w:color="auto" w:fill="DBE5F1" w:themeFill="accent1" w:themeFillTint="33"/>
                </w:tcPr>
                <w:p w14:paraId="76114568" w14:textId="77777777" w:rsidR="00830F06" w:rsidRDefault="00830F06" w:rsidP="00830F06">
                  <w:pPr>
                    <w:rPr>
                      <w:sz w:val="16"/>
                      <w:szCs w:val="16"/>
                    </w:rPr>
                  </w:pPr>
                  <w:r>
                    <w:rPr>
                      <w:sz w:val="16"/>
                      <w:szCs w:val="16"/>
                    </w:rPr>
                    <w:t>2012</w:t>
                  </w:r>
                </w:p>
              </w:tc>
              <w:tc>
                <w:tcPr>
                  <w:tcW w:w="990" w:type="dxa"/>
                  <w:tcBorders>
                    <w:bottom w:val="single" w:sz="4" w:space="0" w:color="auto"/>
                  </w:tcBorders>
                  <w:shd w:val="clear" w:color="auto" w:fill="DBE5F1" w:themeFill="accent1" w:themeFillTint="33"/>
                </w:tcPr>
                <w:p w14:paraId="0FA0AD6E" w14:textId="77777777" w:rsidR="00830F06" w:rsidRDefault="00830F06" w:rsidP="00830F06">
                  <w:pPr>
                    <w:rPr>
                      <w:sz w:val="16"/>
                      <w:szCs w:val="16"/>
                    </w:rPr>
                  </w:pPr>
                  <w:r>
                    <w:rPr>
                      <w:sz w:val="16"/>
                      <w:szCs w:val="16"/>
                    </w:rPr>
                    <w:t>2013</w:t>
                  </w:r>
                </w:p>
              </w:tc>
              <w:tc>
                <w:tcPr>
                  <w:tcW w:w="920" w:type="dxa"/>
                  <w:tcBorders>
                    <w:bottom w:val="single" w:sz="4" w:space="0" w:color="auto"/>
                  </w:tcBorders>
                  <w:shd w:val="clear" w:color="auto" w:fill="DBE5F1" w:themeFill="accent1" w:themeFillTint="33"/>
                </w:tcPr>
                <w:p w14:paraId="222A182C" w14:textId="77777777" w:rsidR="00830F06" w:rsidRDefault="00830F06" w:rsidP="00830F06">
                  <w:pPr>
                    <w:rPr>
                      <w:sz w:val="16"/>
                      <w:szCs w:val="16"/>
                    </w:rPr>
                  </w:pPr>
                  <w:r>
                    <w:rPr>
                      <w:sz w:val="16"/>
                      <w:szCs w:val="16"/>
                    </w:rPr>
                    <w:t>2014</w:t>
                  </w:r>
                </w:p>
              </w:tc>
              <w:tc>
                <w:tcPr>
                  <w:tcW w:w="920" w:type="dxa"/>
                  <w:tcBorders>
                    <w:bottom w:val="single" w:sz="4" w:space="0" w:color="auto"/>
                  </w:tcBorders>
                  <w:shd w:val="clear" w:color="auto" w:fill="DBE5F1" w:themeFill="accent1" w:themeFillTint="33"/>
                </w:tcPr>
                <w:p w14:paraId="43EE2733" w14:textId="4B126721" w:rsidR="00830F06" w:rsidRDefault="00830F06" w:rsidP="00830F06">
                  <w:pPr>
                    <w:rPr>
                      <w:sz w:val="16"/>
                      <w:szCs w:val="16"/>
                    </w:rPr>
                  </w:pPr>
                  <w:r>
                    <w:rPr>
                      <w:sz w:val="16"/>
                      <w:szCs w:val="16"/>
                    </w:rPr>
                    <w:t>2015</w:t>
                  </w:r>
                </w:p>
              </w:tc>
              <w:tc>
                <w:tcPr>
                  <w:tcW w:w="920" w:type="dxa"/>
                  <w:tcBorders>
                    <w:bottom w:val="single" w:sz="4" w:space="0" w:color="auto"/>
                  </w:tcBorders>
                  <w:shd w:val="clear" w:color="auto" w:fill="DBE5F1" w:themeFill="accent1" w:themeFillTint="33"/>
                </w:tcPr>
                <w:p w14:paraId="2262B9DA" w14:textId="542FC787" w:rsidR="00830F06" w:rsidRDefault="002E16BA" w:rsidP="00830F06">
                  <w:pPr>
                    <w:rPr>
                      <w:sz w:val="16"/>
                      <w:szCs w:val="16"/>
                      <w:lang w:eastAsia="zh-CN"/>
                    </w:rPr>
                  </w:pPr>
                  <w:r>
                    <w:rPr>
                      <w:sz w:val="16"/>
                      <w:szCs w:val="16"/>
                    </w:rPr>
                    <w:t>201</w:t>
                  </w:r>
                  <w:r>
                    <w:rPr>
                      <w:rFonts w:hint="eastAsia"/>
                      <w:sz w:val="16"/>
                      <w:szCs w:val="16"/>
                      <w:lang w:eastAsia="zh-CN"/>
                    </w:rPr>
                    <w:t>6Est</w:t>
                  </w:r>
                </w:p>
              </w:tc>
              <w:tc>
                <w:tcPr>
                  <w:tcW w:w="920" w:type="dxa"/>
                  <w:tcBorders>
                    <w:bottom w:val="single" w:sz="4" w:space="0" w:color="auto"/>
                  </w:tcBorders>
                  <w:shd w:val="clear" w:color="auto" w:fill="DBE5F1" w:themeFill="accent1" w:themeFillTint="33"/>
                </w:tcPr>
                <w:p w14:paraId="4080B05E" w14:textId="2016E56D" w:rsidR="00830F06" w:rsidRDefault="002E16BA" w:rsidP="00830F06">
                  <w:pPr>
                    <w:rPr>
                      <w:sz w:val="16"/>
                      <w:szCs w:val="16"/>
                      <w:lang w:eastAsia="zh-CN"/>
                    </w:rPr>
                  </w:pPr>
                  <w:r>
                    <w:rPr>
                      <w:sz w:val="16"/>
                      <w:szCs w:val="16"/>
                    </w:rPr>
                    <w:t>201</w:t>
                  </w:r>
                  <w:r>
                    <w:rPr>
                      <w:rFonts w:hint="eastAsia"/>
                      <w:sz w:val="16"/>
                      <w:szCs w:val="16"/>
                      <w:lang w:eastAsia="zh-CN"/>
                    </w:rPr>
                    <w:t>7Est</w:t>
                  </w:r>
                </w:p>
              </w:tc>
            </w:tr>
            <w:tr w:rsidR="00107431" w:rsidRPr="002F062C" w14:paraId="5835BCA6" w14:textId="77777777" w:rsidTr="006B0A61">
              <w:tc>
                <w:tcPr>
                  <w:tcW w:w="1562" w:type="dxa"/>
                </w:tcPr>
                <w:p w14:paraId="6C7AE70B" w14:textId="713192A3" w:rsidR="00107431" w:rsidRDefault="00107431" w:rsidP="002F062C">
                  <w:pPr>
                    <w:rPr>
                      <w:sz w:val="16"/>
                      <w:szCs w:val="16"/>
                    </w:rPr>
                  </w:pPr>
                  <w:r>
                    <w:rPr>
                      <w:sz w:val="16"/>
                      <w:szCs w:val="16"/>
                    </w:rPr>
                    <w:t>Revenue</w:t>
                  </w:r>
                </w:p>
              </w:tc>
              <w:tc>
                <w:tcPr>
                  <w:tcW w:w="1007" w:type="dxa"/>
                  <w:tcBorders>
                    <w:top w:val="single" w:sz="4" w:space="0" w:color="auto"/>
                    <w:left w:val="nil"/>
                    <w:bottom w:val="single" w:sz="4" w:space="0" w:color="auto"/>
                    <w:right w:val="single" w:sz="4" w:space="0" w:color="auto"/>
                  </w:tcBorders>
                  <w:shd w:val="clear" w:color="auto" w:fill="auto"/>
                  <w:vAlign w:val="bottom"/>
                </w:tcPr>
                <w:p w14:paraId="41FE7B9F" w14:textId="4366F7E4" w:rsidR="00107431" w:rsidRDefault="00107431" w:rsidP="002F062C">
                  <w:pPr>
                    <w:rPr>
                      <w:sz w:val="16"/>
                      <w:szCs w:val="16"/>
                    </w:rPr>
                  </w:pPr>
                  <w:r w:rsidRPr="00107431">
                    <w:rPr>
                      <w:sz w:val="16"/>
                      <w:szCs w:val="16"/>
                    </w:rPr>
                    <w:t>1,772.1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AD94885" w14:textId="2F50916F" w:rsidR="00107431" w:rsidRDefault="00107431" w:rsidP="002F062C">
                  <w:pPr>
                    <w:rPr>
                      <w:sz w:val="16"/>
                      <w:szCs w:val="16"/>
                    </w:rPr>
                  </w:pPr>
                  <w:r w:rsidRPr="00107431">
                    <w:rPr>
                      <w:sz w:val="16"/>
                      <w:szCs w:val="16"/>
                    </w:rPr>
                    <w:t>1,897.6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CBFF446" w14:textId="20DFB737" w:rsidR="00107431" w:rsidRDefault="00107431" w:rsidP="002F062C">
                  <w:pPr>
                    <w:rPr>
                      <w:sz w:val="16"/>
                      <w:szCs w:val="16"/>
                    </w:rPr>
                  </w:pPr>
                  <w:r w:rsidRPr="00107431">
                    <w:rPr>
                      <w:sz w:val="16"/>
                      <w:szCs w:val="16"/>
                    </w:rPr>
                    <w:t>2,303.7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0B1917" w14:textId="11ABC5E2" w:rsidR="00107431" w:rsidRDefault="00107431" w:rsidP="002F062C">
                  <w:pPr>
                    <w:rPr>
                      <w:sz w:val="16"/>
                      <w:szCs w:val="16"/>
                    </w:rPr>
                  </w:pPr>
                  <w:r w:rsidRPr="00107431">
                    <w:rPr>
                      <w:sz w:val="16"/>
                      <w:szCs w:val="16"/>
                    </w:rPr>
                    <w:t>2,188.5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CE6445" w14:textId="127D3B70" w:rsidR="00107431" w:rsidRDefault="00107431" w:rsidP="002F062C">
                  <w:pPr>
                    <w:rPr>
                      <w:sz w:val="16"/>
                      <w:szCs w:val="16"/>
                    </w:rPr>
                  </w:pPr>
                  <w:r w:rsidRPr="00107431">
                    <w:rPr>
                      <w:sz w:val="16"/>
                      <w:szCs w:val="16"/>
                    </w:rPr>
                    <w:t>2,302.8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E96789" w14:textId="53753788" w:rsidR="00107431" w:rsidRDefault="00107431" w:rsidP="002F062C">
                  <w:pPr>
                    <w:rPr>
                      <w:sz w:val="16"/>
                      <w:szCs w:val="16"/>
                    </w:rPr>
                  </w:pPr>
                  <w:r w:rsidRPr="00107431">
                    <w:rPr>
                      <w:sz w:val="16"/>
                      <w:szCs w:val="16"/>
                    </w:rPr>
                    <w:t>2,421.9</w:t>
                  </w:r>
                </w:p>
              </w:tc>
            </w:tr>
            <w:tr w:rsidR="00107431" w:rsidRPr="002F062C" w14:paraId="0D74DF99" w14:textId="77777777" w:rsidTr="006B0A61">
              <w:tc>
                <w:tcPr>
                  <w:tcW w:w="1562" w:type="dxa"/>
                </w:tcPr>
                <w:p w14:paraId="209309E4" w14:textId="77777777" w:rsidR="00107431" w:rsidRDefault="00107431" w:rsidP="002F062C">
                  <w:pPr>
                    <w:rPr>
                      <w:sz w:val="16"/>
                      <w:szCs w:val="16"/>
                    </w:rPr>
                  </w:pPr>
                  <w:r>
                    <w:rPr>
                      <w:sz w:val="16"/>
                      <w:szCs w:val="16"/>
                    </w:rPr>
                    <w:t>Operating Profit</w:t>
                  </w:r>
                </w:p>
              </w:tc>
              <w:tc>
                <w:tcPr>
                  <w:tcW w:w="1007" w:type="dxa"/>
                  <w:tcBorders>
                    <w:top w:val="single" w:sz="4" w:space="0" w:color="auto"/>
                    <w:left w:val="nil"/>
                    <w:bottom w:val="single" w:sz="4" w:space="0" w:color="auto"/>
                    <w:right w:val="single" w:sz="4" w:space="0" w:color="auto"/>
                  </w:tcBorders>
                  <w:shd w:val="clear" w:color="auto" w:fill="auto"/>
                  <w:vAlign w:val="bottom"/>
                </w:tcPr>
                <w:p w14:paraId="43EF44A6" w14:textId="6A539F72" w:rsidR="00107431" w:rsidRDefault="00107431" w:rsidP="002F062C">
                  <w:pPr>
                    <w:rPr>
                      <w:sz w:val="16"/>
                      <w:szCs w:val="16"/>
                    </w:rPr>
                  </w:pPr>
                  <w:r w:rsidRPr="00107431">
                    <w:rPr>
                      <w:sz w:val="16"/>
                      <w:szCs w:val="16"/>
                    </w:rPr>
                    <w:t>552.1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295F75" w14:textId="4135E55F" w:rsidR="00107431" w:rsidRDefault="00107431" w:rsidP="002F062C">
                  <w:pPr>
                    <w:rPr>
                      <w:sz w:val="16"/>
                      <w:szCs w:val="16"/>
                    </w:rPr>
                  </w:pPr>
                  <w:r w:rsidRPr="00107431">
                    <w:rPr>
                      <w:sz w:val="16"/>
                      <w:szCs w:val="16"/>
                    </w:rPr>
                    <w:t>705.1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73FEC76" w14:textId="4E66BE18" w:rsidR="00107431" w:rsidRDefault="00107431" w:rsidP="002F062C">
                  <w:pPr>
                    <w:rPr>
                      <w:sz w:val="16"/>
                      <w:szCs w:val="16"/>
                    </w:rPr>
                  </w:pPr>
                  <w:r w:rsidRPr="00107431">
                    <w:rPr>
                      <w:sz w:val="16"/>
                      <w:szCs w:val="16"/>
                    </w:rPr>
                    <w:t>974.2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A5F465A" w14:textId="0ED2F6C7" w:rsidR="00107431" w:rsidRDefault="00107431" w:rsidP="002F062C">
                  <w:pPr>
                    <w:rPr>
                      <w:sz w:val="16"/>
                      <w:szCs w:val="16"/>
                    </w:rPr>
                  </w:pPr>
                  <w:r w:rsidRPr="00107431">
                    <w:rPr>
                      <w:sz w:val="16"/>
                      <w:szCs w:val="16"/>
                    </w:rPr>
                    <w:t>963.6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1AE295" w14:textId="34E6E1E6" w:rsidR="00107431" w:rsidRDefault="00107431" w:rsidP="002F062C">
                  <w:pPr>
                    <w:rPr>
                      <w:sz w:val="16"/>
                      <w:szCs w:val="16"/>
                    </w:rPr>
                  </w:pPr>
                  <w:r w:rsidRPr="00107431">
                    <w:rPr>
                      <w:sz w:val="16"/>
                      <w:szCs w:val="16"/>
                    </w:rPr>
                    <w:t>961.1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6733996" w14:textId="59C7F7A0" w:rsidR="00107431" w:rsidRDefault="00107431" w:rsidP="002F062C">
                  <w:pPr>
                    <w:rPr>
                      <w:sz w:val="16"/>
                      <w:szCs w:val="16"/>
                    </w:rPr>
                  </w:pPr>
                  <w:r w:rsidRPr="00107431">
                    <w:rPr>
                      <w:sz w:val="16"/>
                      <w:szCs w:val="16"/>
                    </w:rPr>
                    <w:t>1,050.5</w:t>
                  </w:r>
                </w:p>
              </w:tc>
            </w:tr>
            <w:tr w:rsidR="00107431" w:rsidRPr="002F062C" w14:paraId="329334DC" w14:textId="77777777" w:rsidTr="006B0A61">
              <w:tc>
                <w:tcPr>
                  <w:tcW w:w="1562" w:type="dxa"/>
                </w:tcPr>
                <w:p w14:paraId="57B2BB96" w14:textId="677DF91A" w:rsidR="00107431" w:rsidRDefault="00107431" w:rsidP="002F062C">
                  <w:pPr>
                    <w:rPr>
                      <w:sz w:val="16"/>
                      <w:szCs w:val="16"/>
                    </w:rPr>
                  </w:pPr>
                  <w:r>
                    <w:rPr>
                      <w:sz w:val="16"/>
                      <w:szCs w:val="16"/>
                    </w:rPr>
                    <w:t>Operating Margin</w:t>
                  </w:r>
                </w:p>
              </w:tc>
              <w:tc>
                <w:tcPr>
                  <w:tcW w:w="1007" w:type="dxa"/>
                  <w:tcBorders>
                    <w:top w:val="single" w:sz="4" w:space="0" w:color="auto"/>
                    <w:left w:val="nil"/>
                    <w:bottom w:val="single" w:sz="4" w:space="0" w:color="auto"/>
                    <w:right w:val="single" w:sz="4" w:space="0" w:color="auto"/>
                  </w:tcBorders>
                  <w:shd w:val="clear" w:color="auto" w:fill="auto"/>
                  <w:vAlign w:val="bottom"/>
                </w:tcPr>
                <w:p w14:paraId="7ED33C82" w14:textId="5A9EC49A" w:rsidR="00107431" w:rsidRDefault="00107431" w:rsidP="002F062C">
                  <w:pPr>
                    <w:rPr>
                      <w:sz w:val="16"/>
                      <w:szCs w:val="16"/>
                    </w:rPr>
                  </w:pPr>
                  <w:r w:rsidRPr="00107431">
                    <w:rPr>
                      <w:sz w:val="16"/>
                      <w:szCs w:val="16"/>
                    </w:rPr>
                    <w:t>31.15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8C55153" w14:textId="6A22FB41" w:rsidR="00107431" w:rsidRDefault="00107431" w:rsidP="002F062C">
                  <w:pPr>
                    <w:rPr>
                      <w:sz w:val="16"/>
                      <w:szCs w:val="16"/>
                    </w:rPr>
                  </w:pPr>
                  <w:r w:rsidRPr="00107431">
                    <w:rPr>
                      <w:sz w:val="16"/>
                      <w:szCs w:val="16"/>
                    </w:rPr>
                    <w:t>37.16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CD87A4" w14:textId="3B0D1B9B" w:rsidR="00107431" w:rsidRDefault="00107431" w:rsidP="002F062C">
                  <w:pPr>
                    <w:rPr>
                      <w:sz w:val="16"/>
                      <w:szCs w:val="16"/>
                    </w:rPr>
                  </w:pPr>
                  <w:r w:rsidRPr="00107431">
                    <w:rPr>
                      <w:sz w:val="16"/>
                      <w:szCs w:val="16"/>
                    </w:rPr>
                    <w:t>42.29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BD951AE" w14:textId="0067C59A" w:rsidR="00107431" w:rsidRDefault="00107431" w:rsidP="002F062C">
                  <w:pPr>
                    <w:rPr>
                      <w:sz w:val="16"/>
                      <w:szCs w:val="16"/>
                    </w:rPr>
                  </w:pPr>
                  <w:r w:rsidRPr="00107431">
                    <w:rPr>
                      <w:sz w:val="16"/>
                      <w:szCs w:val="16"/>
                    </w:rPr>
                    <w:t>44.03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B1F5567" w14:textId="30DE7568" w:rsidR="00107431" w:rsidRDefault="00107431" w:rsidP="002F062C">
                  <w:pPr>
                    <w:rPr>
                      <w:sz w:val="16"/>
                      <w:szCs w:val="16"/>
                    </w:rPr>
                  </w:pPr>
                  <w:r w:rsidRPr="00107431">
                    <w:rPr>
                      <w:sz w:val="16"/>
                      <w:szCs w:val="16"/>
                    </w:rPr>
                    <w:t>41.74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C1C3E6B" w14:textId="0F745E2D" w:rsidR="00107431" w:rsidRDefault="00107431" w:rsidP="002F062C">
                  <w:pPr>
                    <w:rPr>
                      <w:sz w:val="16"/>
                      <w:szCs w:val="16"/>
                    </w:rPr>
                  </w:pPr>
                  <w:r w:rsidRPr="00107431">
                    <w:rPr>
                      <w:sz w:val="16"/>
                      <w:szCs w:val="16"/>
                    </w:rPr>
                    <w:t>43.38</w:t>
                  </w:r>
                </w:p>
              </w:tc>
            </w:tr>
            <w:tr w:rsidR="00107431" w:rsidRPr="002F062C" w14:paraId="334202CA" w14:textId="77777777" w:rsidTr="006B0A61">
              <w:tc>
                <w:tcPr>
                  <w:tcW w:w="1562" w:type="dxa"/>
                </w:tcPr>
                <w:p w14:paraId="545FB948" w14:textId="413078AF" w:rsidR="00107431" w:rsidRDefault="00107431" w:rsidP="002F062C">
                  <w:pPr>
                    <w:rPr>
                      <w:sz w:val="16"/>
                      <w:szCs w:val="16"/>
                    </w:rPr>
                  </w:pPr>
                  <w:r>
                    <w:rPr>
                      <w:sz w:val="16"/>
                      <w:szCs w:val="16"/>
                    </w:rPr>
                    <w:t xml:space="preserve">Net Income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753E56E" w14:textId="00C676D7" w:rsidR="00107431" w:rsidRDefault="00107431" w:rsidP="002F062C">
                  <w:pPr>
                    <w:rPr>
                      <w:sz w:val="16"/>
                      <w:szCs w:val="16"/>
                    </w:rPr>
                  </w:pPr>
                  <w:r w:rsidRPr="00107431">
                    <w:rPr>
                      <w:sz w:val="16"/>
                      <w:szCs w:val="16"/>
                    </w:rPr>
                    <w:t>435.7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95AAD7" w14:textId="4DB2088C" w:rsidR="00107431" w:rsidRDefault="00107431" w:rsidP="002F062C">
                  <w:pPr>
                    <w:rPr>
                      <w:sz w:val="16"/>
                      <w:szCs w:val="16"/>
                    </w:rPr>
                  </w:pPr>
                  <w:r w:rsidRPr="00107431">
                    <w:rPr>
                      <w:sz w:val="16"/>
                      <w:szCs w:val="16"/>
                    </w:rPr>
                    <w:t>582.2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0C7D9F0" w14:textId="64915116" w:rsidR="00107431" w:rsidRDefault="00107431" w:rsidP="002F062C">
                  <w:pPr>
                    <w:rPr>
                      <w:sz w:val="16"/>
                      <w:szCs w:val="16"/>
                    </w:rPr>
                  </w:pPr>
                  <w:r w:rsidRPr="00107431">
                    <w:rPr>
                      <w:sz w:val="16"/>
                      <w:szCs w:val="16"/>
                    </w:rPr>
                    <w:t>839.5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E00B23E" w14:textId="0536D27E" w:rsidR="00107431" w:rsidRDefault="00107431" w:rsidP="002F062C">
                  <w:pPr>
                    <w:rPr>
                      <w:sz w:val="16"/>
                      <w:szCs w:val="16"/>
                    </w:rPr>
                  </w:pPr>
                  <w:r w:rsidRPr="00107431">
                    <w:rPr>
                      <w:sz w:val="16"/>
                      <w:szCs w:val="16"/>
                    </w:rPr>
                    <w:t>819.1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2B723" w14:textId="643B5200" w:rsidR="00107431" w:rsidRDefault="00107431" w:rsidP="002F062C">
                  <w:pPr>
                    <w:rPr>
                      <w:sz w:val="16"/>
                      <w:szCs w:val="16"/>
                    </w:rPr>
                  </w:pPr>
                  <w:r w:rsidRPr="00107431">
                    <w:rPr>
                      <w:sz w:val="16"/>
                      <w:szCs w:val="16"/>
                    </w:rPr>
                    <w:t>799.0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F87F8D" w14:textId="0361DE53" w:rsidR="00107431" w:rsidRDefault="00107431" w:rsidP="002F062C">
                  <w:pPr>
                    <w:rPr>
                      <w:sz w:val="16"/>
                      <w:szCs w:val="16"/>
                    </w:rPr>
                  </w:pPr>
                  <w:r w:rsidRPr="00107431">
                    <w:rPr>
                      <w:sz w:val="16"/>
                      <w:szCs w:val="16"/>
                    </w:rPr>
                    <w:t>877.5</w:t>
                  </w:r>
                </w:p>
              </w:tc>
            </w:tr>
            <w:tr w:rsidR="00107431" w:rsidRPr="002F062C" w14:paraId="100621BB" w14:textId="77777777" w:rsidTr="006B0A61">
              <w:tc>
                <w:tcPr>
                  <w:tcW w:w="1562" w:type="dxa"/>
                </w:tcPr>
                <w:p w14:paraId="0671CC90" w14:textId="688384E3" w:rsidR="00107431" w:rsidRDefault="00107431" w:rsidP="002F062C">
                  <w:pPr>
                    <w:rPr>
                      <w:sz w:val="16"/>
                      <w:szCs w:val="16"/>
                    </w:rPr>
                  </w:pPr>
                  <w:r>
                    <w:rPr>
                      <w:sz w:val="16"/>
                      <w:szCs w:val="16"/>
                    </w:rPr>
                    <w:t>Revenue Growth %</w:t>
                  </w:r>
                </w:p>
              </w:tc>
              <w:tc>
                <w:tcPr>
                  <w:tcW w:w="1007" w:type="dxa"/>
                  <w:tcBorders>
                    <w:top w:val="single" w:sz="4" w:space="0" w:color="auto"/>
                    <w:left w:val="nil"/>
                    <w:bottom w:val="single" w:sz="4" w:space="0" w:color="auto"/>
                    <w:right w:val="single" w:sz="4" w:space="0" w:color="auto"/>
                  </w:tcBorders>
                  <w:shd w:val="clear" w:color="auto" w:fill="auto"/>
                  <w:vAlign w:val="bottom"/>
                </w:tcPr>
                <w:p w14:paraId="56C1673C" w14:textId="38E85AA7" w:rsidR="00107431" w:rsidRDefault="00107431" w:rsidP="002F062C">
                  <w:pPr>
                    <w:rPr>
                      <w:sz w:val="16"/>
                      <w:szCs w:val="16"/>
                    </w:rPr>
                  </w:pPr>
                  <w:r w:rsidRPr="00107431">
                    <w:rPr>
                      <w:sz w:val="16"/>
                      <w:szCs w:val="16"/>
                    </w:rPr>
                    <w:t>1.34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4A2481B" w14:textId="755F7E44" w:rsidR="00107431" w:rsidRDefault="00107431" w:rsidP="002F062C">
                  <w:pPr>
                    <w:rPr>
                      <w:sz w:val="16"/>
                      <w:szCs w:val="16"/>
                    </w:rPr>
                  </w:pPr>
                  <w:r w:rsidRPr="00107431">
                    <w:rPr>
                      <w:sz w:val="16"/>
                      <w:szCs w:val="16"/>
                    </w:rPr>
                    <w:t>7.08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0B50F71" w14:textId="0E5FCC96" w:rsidR="00107431" w:rsidRDefault="00107431" w:rsidP="002F062C">
                  <w:pPr>
                    <w:rPr>
                      <w:sz w:val="16"/>
                      <w:szCs w:val="16"/>
                    </w:rPr>
                  </w:pPr>
                  <w:r w:rsidRPr="00107431">
                    <w:rPr>
                      <w:sz w:val="16"/>
                      <w:szCs w:val="16"/>
                    </w:rPr>
                    <w:t>21.40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E67DF" w14:textId="65B7098F" w:rsidR="00107431" w:rsidRDefault="00107431" w:rsidP="002F062C">
                  <w:pPr>
                    <w:rPr>
                      <w:sz w:val="16"/>
                      <w:szCs w:val="16"/>
                    </w:rPr>
                  </w:pPr>
                  <w:r w:rsidRPr="00107431">
                    <w:rPr>
                      <w:sz w:val="16"/>
                      <w:szCs w:val="16"/>
                    </w:rPr>
                    <w:t>-5.00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283BFBC" w14:textId="44331FA8" w:rsidR="00107431" w:rsidRDefault="00107431" w:rsidP="002F062C">
                  <w:pPr>
                    <w:rPr>
                      <w:sz w:val="16"/>
                      <w:szCs w:val="16"/>
                    </w:rPr>
                  </w:pPr>
                  <w:r w:rsidRPr="00107431">
                    <w:rPr>
                      <w:sz w:val="16"/>
                      <w:szCs w:val="16"/>
                    </w:rPr>
                    <w:t>5.23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5F7486" w14:textId="0730C9F7" w:rsidR="00107431" w:rsidRDefault="00107431" w:rsidP="002F062C">
                  <w:pPr>
                    <w:rPr>
                      <w:sz w:val="16"/>
                      <w:szCs w:val="16"/>
                    </w:rPr>
                  </w:pPr>
                  <w:r w:rsidRPr="00107431">
                    <w:rPr>
                      <w:sz w:val="16"/>
                      <w:szCs w:val="16"/>
                    </w:rPr>
                    <w:t>5.17</w:t>
                  </w:r>
                </w:p>
              </w:tc>
            </w:tr>
            <w:tr w:rsidR="00107431" w:rsidRPr="002F062C" w14:paraId="3CD7B755" w14:textId="77777777" w:rsidTr="006B0A61">
              <w:tc>
                <w:tcPr>
                  <w:tcW w:w="1562" w:type="dxa"/>
                </w:tcPr>
                <w:p w14:paraId="5648CFBC" w14:textId="239BFAAA" w:rsidR="00107431" w:rsidRDefault="00107431" w:rsidP="002F062C">
                  <w:pPr>
                    <w:rPr>
                      <w:sz w:val="16"/>
                      <w:szCs w:val="16"/>
                    </w:rPr>
                  </w:pPr>
                  <w:r>
                    <w:rPr>
                      <w:sz w:val="16"/>
                      <w:szCs w:val="16"/>
                    </w:rPr>
                    <w:t>EBITDA%</w:t>
                  </w:r>
                </w:p>
              </w:tc>
              <w:tc>
                <w:tcPr>
                  <w:tcW w:w="1007" w:type="dxa"/>
                  <w:tcBorders>
                    <w:top w:val="single" w:sz="4" w:space="0" w:color="auto"/>
                    <w:left w:val="nil"/>
                    <w:bottom w:val="single" w:sz="4" w:space="0" w:color="auto"/>
                    <w:right w:val="single" w:sz="4" w:space="0" w:color="auto"/>
                  </w:tcBorders>
                  <w:shd w:val="clear" w:color="auto" w:fill="auto"/>
                  <w:vAlign w:val="bottom"/>
                </w:tcPr>
                <w:p w14:paraId="4256401B" w14:textId="7D3D97B7" w:rsidR="00107431" w:rsidRDefault="00107431" w:rsidP="002F062C">
                  <w:pPr>
                    <w:rPr>
                      <w:sz w:val="16"/>
                      <w:szCs w:val="16"/>
                    </w:rPr>
                  </w:pPr>
                  <w:r w:rsidRPr="00107431">
                    <w:rPr>
                      <w:sz w:val="16"/>
                      <w:szCs w:val="16"/>
                    </w:rPr>
                    <w:t>38.38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1E6195D" w14:textId="7169C2A9" w:rsidR="00107431" w:rsidRDefault="00107431" w:rsidP="002F062C">
                  <w:pPr>
                    <w:rPr>
                      <w:sz w:val="16"/>
                      <w:szCs w:val="16"/>
                    </w:rPr>
                  </w:pPr>
                  <w:r w:rsidRPr="00107431">
                    <w:rPr>
                      <w:sz w:val="16"/>
                      <w:szCs w:val="16"/>
                    </w:rPr>
                    <w:t>44.65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367B82F" w14:textId="05BC62E2" w:rsidR="00107431" w:rsidRDefault="00107431" w:rsidP="002F062C">
                  <w:pPr>
                    <w:rPr>
                      <w:sz w:val="16"/>
                      <w:szCs w:val="16"/>
                    </w:rPr>
                  </w:pPr>
                  <w:r w:rsidRPr="00107431">
                    <w:rPr>
                      <w:sz w:val="16"/>
                      <w:szCs w:val="16"/>
                    </w:rPr>
                    <w:t>49.31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11D424" w14:textId="18244672" w:rsidR="00107431" w:rsidRDefault="00107431" w:rsidP="002F062C">
                  <w:pPr>
                    <w:rPr>
                      <w:sz w:val="16"/>
                      <w:szCs w:val="16"/>
                    </w:rPr>
                  </w:pPr>
                  <w:r w:rsidRPr="00107431">
                    <w:rPr>
                      <w:sz w:val="16"/>
                      <w:szCs w:val="16"/>
                    </w:rPr>
                    <w:t>51.65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0045D97" w14:textId="5867B896" w:rsidR="00107431" w:rsidRDefault="00107431" w:rsidP="002F062C">
                  <w:pPr>
                    <w:rPr>
                      <w:sz w:val="16"/>
                      <w:szCs w:val="16"/>
                    </w:rPr>
                  </w:pPr>
                  <w:r w:rsidRPr="0010743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2875514" w14:textId="7D324211" w:rsidR="00107431" w:rsidRDefault="00107431" w:rsidP="002F062C">
                  <w:pPr>
                    <w:rPr>
                      <w:sz w:val="16"/>
                      <w:szCs w:val="16"/>
                    </w:rPr>
                  </w:pPr>
                  <w:r w:rsidRPr="00107431">
                    <w:rPr>
                      <w:sz w:val="16"/>
                      <w:szCs w:val="16"/>
                    </w:rPr>
                    <w:t> </w:t>
                  </w:r>
                </w:p>
              </w:tc>
            </w:tr>
            <w:tr w:rsidR="00107431" w:rsidRPr="002F062C" w14:paraId="17F9D92A" w14:textId="77777777" w:rsidTr="006B0A61">
              <w:tc>
                <w:tcPr>
                  <w:tcW w:w="1562" w:type="dxa"/>
                </w:tcPr>
                <w:p w14:paraId="3AA11444" w14:textId="14101E59" w:rsidR="00107431" w:rsidRDefault="00107431" w:rsidP="002F062C">
                  <w:pPr>
                    <w:rPr>
                      <w:sz w:val="16"/>
                      <w:szCs w:val="16"/>
                    </w:rPr>
                  </w:pPr>
                  <w:r>
                    <w:rPr>
                      <w:sz w:val="16"/>
                      <w:szCs w:val="16"/>
                    </w:rPr>
                    <w:t>Operating Profit %</w:t>
                  </w:r>
                </w:p>
              </w:tc>
              <w:tc>
                <w:tcPr>
                  <w:tcW w:w="1007" w:type="dxa"/>
                  <w:tcBorders>
                    <w:top w:val="single" w:sz="4" w:space="0" w:color="auto"/>
                    <w:left w:val="nil"/>
                    <w:bottom w:val="single" w:sz="4" w:space="0" w:color="auto"/>
                    <w:right w:val="single" w:sz="4" w:space="0" w:color="auto"/>
                  </w:tcBorders>
                  <w:shd w:val="clear" w:color="auto" w:fill="auto"/>
                  <w:vAlign w:val="bottom"/>
                </w:tcPr>
                <w:p w14:paraId="50934D1E" w14:textId="65D290E0" w:rsidR="00107431" w:rsidRDefault="00107431" w:rsidP="002F062C">
                  <w:pPr>
                    <w:rPr>
                      <w:sz w:val="16"/>
                      <w:szCs w:val="16"/>
                    </w:rPr>
                  </w:pPr>
                  <w:r w:rsidRPr="00107431">
                    <w:rPr>
                      <w:sz w:val="16"/>
                      <w:szCs w:val="16"/>
                    </w:rPr>
                    <w:t>31.15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025EA0" w14:textId="36FB0D32" w:rsidR="00107431" w:rsidRDefault="00107431" w:rsidP="002F062C">
                  <w:pPr>
                    <w:rPr>
                      <w:sz w:val="16"/>
                      <w:szCs w:val="16"/>
                    </w:rPr>
                  </w:pPr>
                  <w:r w:rsidRPr="00107431">
                    <w:rPr>
                      <w:sz w:val="16"/>
                      <w:szCs w:val="16"/>
                    </w:rPr>
                    <w:t>37.16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F4FB16" w14:textId="2A43270D" w:rsidR="00107431" w:rsidRDefault="00107431" w:rsidP="002F062C">
                  <w:pPr>
                    <w:rPr>
                      <w:sz w:val="16"/>
                      <w:szCs w:val="16"/>
                    </w:rPr>
                  </w:pPr>
                  <w:r w:rsidRPr="00107431">
                    <w:rPr>
                      <w:sz w:val="16"/>
                      <w:szCs w:val="16"/>
                    </w:rPr>
                    <w:t>42.29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0516877" w14:textId="78F0F34A" w:rsidR="00107431" w:rsidRDefault="00107431" w:rsidP="002F062C">
                  <w:pPr>
                    <w:rPr>
                      <w:sz w:val="16"/>
                      <w:szCs w:val="16"/>
                    </w:rPr>
                  </w:pPr>
                  <w:r w:rsidRPr="00107431">
                    <w:rPr>
                      <w:sz w:val="16"/>
                      <w:szCs w:val="16"/>
                    </w:rPr>
                    <w:t>44.03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E215F3E" w14:textId="2A88927C" w:rsidR="00107431" w:rsidRDefault="00107431" w:rsidP="002F062C">
                  <w:pPr>
                    <w:rPr>
                      <w:sz w:val="16"/>
                      <w:szCs w:val="16"/>
                    </w:rPr>
                  </w:pPr>
                  <w:r w:rsidRPr="00107431">
                    <w:rPr>
                      <w:sz w:val="16"/>
                      <w:szCs w:val="16"/>
                    </w:rPr>
                    <w:t>41.74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14FA856" w14:textId="4396F4CE" w:rsidR="00107431" w:rsidRDefault="00107431" w:rsidP="002F062C">
                  <w:pPr>
                    <w:rPr>
                      <w:sz w:val="16"/>
                      <w:szCs w:val="16"/>
                    </w:rPr>
                  </w:pPr>
                  <w:r w:rsidRPr="00107431">
                    <w:rPr>
                      <w:sz w:val="16"/>
                      <w:szCs w:val="16"/>
                    </w:rPr>
                    <w:t>43.38</w:t>
                  </w:r>
                </w:p>
              </w:tc>
            </w:tr>
            <w:tr w:rsidR="00107431" w:rsidRPr="002F062C" w14:paraId="22A784BE" w14:textId="77777777" w:rsidTr="006B0A61">
              <w:tc>
                <w:tcPr>
                  <w:tcW w:w="1562" w:type="dxa"/>
                </w:tcPr>
                <w:p w14:paraId="670CE5B7" w14:textId="116DBC2D" w:rsidR="00107431" w:rsidRDefault="00107431" w:rsidP="002F062C">
                  <w:pPr>
                    <w:rPr>
                      <w:sz w:val="16"/>
                      <w:szCs w:val="16"/>
                    </w:rPr>
                  </w:pPr>
                  <w:r>
                    <w:rPr>
                      <w:sz w:val="16"/>
                      <w:szCs w:val="16"/>
                    </w:rPr>
                    <w:t>Net Income Margin</w:t>
                  </w:r>
                </w:p>
              </w:tc>
              <w:tc>
                <w:tcPr>
                  <w:tcW w:w="1007" w:type="dxa"/>
                  <w:tcBorders>
                    <w:top w:val="single" w:sz="4" w:space="0" w:color="auto"/>
                    <w:left w:val="nil"/>
                    <w:bottom w:val="single" w:sz="4" w:space="0" w:color="auto"/>
                    <w:right w:val="single" w:sz="4" w:space="0" w:color="auto"/>
                  </w:tcBorders>
                  <w:shd w:val="clear" w:color="auto" w:fill="auto"/>
                  <w:vAlign w:val="bottom"/>
                </w:tcPr>
                <w:p w14:paraId="74D585ED" w14:textId="07A04369" w:rsidR="00107431" w:rsidRDefault="00107431" w:rsidP="002F062C">
                  <w:pPr>
                    <w:rPr>
                      <w:sz w:val="16"/>
                      <w:szCs w:val="16"/>
                    </w:rPr>
                  </w:pPr>
                  <w:r w:rsidRPr="00107431">
                    <w:rPr>
                      <w:sz w:val="16"/>
                      <w:szCs w:val="16"/>
                    </w:rPr>
                    <w:t>24.59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7FDD3E" w14:textId="78B46E21" w:rsidR="00107431" w:rsidRDefault="00107431" w:rsidP="002F062C">
                  <w:pPr>
                    <w:rPr>
                      <w:sz w:val="16"/>
                      <w:szCs w:val="16"/>
                    </w:rPr>
                  </w:pPr>
                  <w:r w:rsidRPr="00107431">
                    <w:rPr>
                      <w:sz w:val="16"/>
                      <w:szCs w:val="16"/>
                    </w:rPr>
                    <w:t>30.68</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A576F03" w14:textId="25012D2C" w:rsidR="00107431" w:rsidRDefault="00107431" w:rsidP="002F062C">
                  <w:pPr>
                    <w:rPr>
                      <w:sz w:val="16"/>
                      <w:szCs w:val="16"/>
                    </w:rPr>
                  </w:pPr>
                  <w:r w:rsidRPr="00107431">
                    <w:rPr>
                      <w:sz w:val="16"/>
                      <w:szCs w:val="16"/>
                    </w:rPr>
                    <w:t>36.44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74A979D" w14:textId="4EBE2526" w:rsidR="00107431" w:rsidRDefault="00107431" w:rsidP="002F062C">
                  <w:pPr>
                    <w:rPr>
                      <w:sz w:val="16"/>
                      <w:szCs w:val="16"/>
                    </w:rPr>
                  </w:pPr>
                  <w:r w:rsidRPr="00107431">
                    <w:rPr>
                      <w:sz w:val="16"/>
                      <w:szCs w:val="16"/>
                    </w:rPr>
                    <w:t>37.43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3A72D7D" w14:textId="024DEA0A" w:rsidR="00107431" w:rsidRDefault="00107431" w:rsidP="002F062C">
                  <w:pPr>
                    <w:rPr>
                      <w:sz w:val="16"/>
                      <w:szCs w:val="16"/>
                    </w:rPr>
                  </w:pPr>
                  <w:r w:rsidRPr="00107431">
                    <w:rPr>
                      <w:sz w:val="16"/>
                      <w:szCs w:val="16"/>
                    </w:rPr>
                    <w:t>34.70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F88EAE0" w14:textId="7410D7FC" w:rsidR="00107431" w:rsidRDefault="00107431" w:rsidP="002F062C">
                  <w:pPr>
                    <w:rPr>
                      <w:sz w:val="16"/>
                      <w:szCs w:val="16"/>
                    </w:rPr>
                  </w:pPr>
                  <w:r w:rsidRPr="00107431">
                    <w:rPr>
                      <w:sz w:val="16"/>
                      <w:szCs w:val="16"/>
                    </w:rPr>
                    <w:t>36.23</w:t>
                  </w:r>
                </w:p>
              </w:tc>
            </w:tr>
            <w:tr w:rsidR="00107431" w:rsidRPr="002F062C" w14:paraId="111BB78D" w14:textId="77777777" w:rsidTr="006B0A61">
              <w:tc>
                <w:tcPr>
                  <w:tcW w:w="1562" w:type="dxa"/>
                </w:tcPr>
                <w:p w14:paraId="0F9C400C" w14:textId="45FFFF7C" w:rsidR="00107431" w:rsidRDefault="00A36F84" w:rsidP="006B0A61">
                  <w:pPr>
                    <w:rPr>
                      <w:sz w:val="16"/>
                      <w:szCs w:val="16"/>
                      <w:lang w:eastAsia="zh-CN"/>
                    </w:rPr>
                  </w:pPr>
                  <w:r>
                    <w:rPr>
                      <w:rFonts w:hint="eastAsia"/>
                      <w:sz w:val="16"/>
                      <w:szCs w:val="16"/>
                      <w:lang w:eastAsia="zh-CN"/>
                    </w:rPr>
                    <w:t>Financial leverage</w:t>
                  </w:r>
                </w:p>
              </w:tc>
              <w:tc>
                <w:tcPr>
                  <w:tcW w:w="1007" w:type="dxa"/>
                  <w:tcBorders>
                    <w:top w:val="single" w:sz="4" w:space="0" w:color="auto"/>
                    <w:left w:val="nil"/>
                    <w:bottom w:val="single" w:sz="4" w:space="0" w:color="auto"/>
                    <w:right w:val="single" w:sz="4" w:space="0" w:color="auto"/>
                  </w:tcBorders>
                  <w:shd w:val="clear" w:color="auto" w:fill="auto"/>
                  <w:vAlign w:val="bottom"/>
                </w:tcPr>
                <w:p w14:paraId="7851C9B9" w14:textId="307B802B" w:rsidR="00107431" w:rsidRDefault="00A36F84" w:rsidP="006B0A61">
                  <w:pPr>
                    <w:rPr>
                      <w:sz w:val="16"/>
                      <w:szCs w:val="16"/>
                      <w:lang w:eastAsia="zh-CN"/>
                    </w:rPr>
                  </w:pPr>
                  <w:r>
                    <w:rPr>
                      <w:rFonts w:hint="eastAsia"/>
                      <w:sz w:val="16"/>
                      <w:szCs w:val="16"/>
                      <w:lang w:eastAsia="zh-CN"/>
                    </w:rPr>
                    <w:t>2.84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B4B557" w14:textId="1FC0390A" w:rsidR="00107431" w:rsidRDefault="00A36F84" w:rsidP="006B0A61">
                  <w:pPr>
                    <w:rPr>
                      <w:sz w:val="16"/>
                      <w:szCs w:val="16"/>
                      <w:lang w:eastAsia="zh-CN"/>
                    </w:rPr>
                  </w:pPr>
                  <w:r>
                    <w:rPr>
                      <w:rFonts w:hint="eastAsia"/>
                      <w:sz w:val="16"/>
                      <w:szCs w:val="16"/>
                      <w:lang w:eastAsia="zh-CN"/>
                    </w:rPr>
                    <w:t>2.92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9DC39D" w14:textId="50F2A55C" w:rsidR="00107431" w:rsidRDefault="00A36F84" w:rsidP="006B0A61">
                  <w:pPr>
                    <w:rPr>
                      <w:sz w:val="16"/>
                      <w:szCs w:val="16"/>
                      <w:lang w:eastAsia="zh-CN"/>
                    </w:rPr>
                  </w:pPr>
                  <w:r>
                    <w:rPr>
                      <w:rFonts w:hint="eastAsia"/>
                      <w:sz w:val="16"/>
                      <w:szCs w:val="16"/>
                      <w:lang w:eastAsia="zh-CN"/>
                    </w:rPr>
                    <w:t>2.94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666455C" w14:textId="3340F902" w:rsidR="00107431" w:rsidRDefault="00A36F84" w:rsidP="006B0A61">
                  <w:pPr>
                    <w:rPr>
                      <w:sz w:val="16"/>
                      <w:szCs w:val="16"/>
                      <w:lang w:eastAsia="zh-CN"/>
                    </w:rPr>
                  </w:pPr>
                  <w:r>
                    <w:rPr>
                      <w:rFonts w:hint="eastAsia"/>
                      <w:sz w:val="16"/>
                      <w:szCs w:val="16"/>
                      <w:lang w:eastAsia="zh-CN"/>
                    </w:rPr>
                    <w:t>3.02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C7FC6C4" w14:textId="33A70B4D" w:rsidR="00107431" w:rsidRDefault="00107431" w:rsidP="006B0A61">
                  <w:pPr>
                    <w:rPr>
                      <w:sz w:val="16"/>
                      <w:szCs w:val="16"/>
                    </w:rPr>
                  </w:pPr>
                  <w:r w:rsidRPr="0010743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CF94011" w14:textId="28C40E71" w:rsidR="00107431" w:rsidRDefault="00107431" w:rsidP="006B0A61">
                  <w:pPr>
                    <w:rPr>
                      <w:sz w:val="16"/>
                      <w:szCs w:val="16"/>
                    </w:rPr>
                  </w:pPr>
                  <w:r w:rsidRPr="00107431">
                    <w:rPr>
                      <w:sz w:val="16"/>
                      <w:szCs w:val="16"/>
                    </w:rPr>
                    <w:t> </w:t>
                  </w:r>
                </w:p>
              </w:tc>
            </w:tr>
            <w:tr w:rsidR="00107431" w:rsidRPr="002F062C" w14:paraId="4BD993C7" w14:textId="77777777" w:rsidTr="006B0A61">
              <w:tc>
                <w:tcPr>
                  <w:tcW w:w="1562" w:type="dxa"/>
                </w:tcPr>
                <w:p w14:paraId="6F5D5ADC" w14:textId="771CD14F" w:rsidR="00107431" w:rsidRDefault="00107431" w:rsidP="002F062C">
                  <w:pPr>
                    <w:rPr>
                      <w:sz w:val="16"/>
                      <w:szCs w:val="16"/>
                    </w:rPr>
                  </w:pPr>
                  <w:r>
                    <w:rPr>
                      <w:sz w:val="16"/>
                      <w:szCs w:val="16"/>
                    </w:rPr>
                    <w:t xml:space="preserve">Interest Coverage </w:t>
                  </w:r>
                </w:p>
              </w:tc>
              <w:tc>
                <w:tcPr>
                  <w:tcW w:w="1007" w:type="dxa"/>
                  <w:tcBorders>
                    <w:top w:val="single" w:sz="4" w:space="0" w:color="auto"/>
                    <w:left w:val="nil"/>
                    <w:bottom w:val="single" w:sz="4" w:space="0" w:color="auto"/>
                    <w:right w:val="single" w:sz="4" w:space="0" w:color="auto"/>
                  </w:tcBorders>
                  <w:shd w:val="clear" w:color="auto" w:fill="auto"/>
                  <w:vAlign w:val="bottom"/>
                </w:tcPr>
                <w:p w14:paraId="6B73A46D" w14:textId="1123F774" w:rsidR="00107431" w:rsidRDefault="00107431" w:rsidP="002F062C">
                  <w:pPr>
                    <w:rPr>
                      <w:sz w:val="16"/>
                      <w:szCs w:val="16"/>
                    </w:rPr>
                  </w:pPr>
                  <w:r w:rsidRPr="00107431">
                    <w:rPr>
                      <w:sz w:val="16"/>
                      <w:szCs w:val="16"/>
                    </w:rPr>
                    <w:t>4.65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E77E933" w14:textId="3A06F535" w:rsidR="00107431" w:rsidRDefault="00107431" w:rsidP="002F062C">
                  <w:pPr>
                    <w:rPr>
                      <w:sz w:val="16"/>
                      <w:szCs w:val="16"/>
                    </w:rPr>
                  </w:pPr>
                  <w:r w:rsidRPr="00107431">
                    <w:rPr>
                      <w:sz w:val="16"/>
                      <w:szCs w:val="16"/>
                    </w:rPr>
                    <w:t>5.43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93A3040" w14:textId="023D673E" w:rsidR="00107431" w:rsidRDefault="00107431" w:rsidP="002F062C">
                  <w:pPr>
                    <w:rPr>
                      <w:sz w:val="16"/>
                      <w:szCs w:val="16"/>
                    </w:rPr>
                  </w:pPr>
                  <w:r w:rsidRPr="00107431">
                    <w:rPr>
                      <w:sz w:val="16"/>
                      <w:szCs w:val="16"/>
                    </w:rPr>
                    <w:t>6.85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85A0893" w14:textId="27916492" w:rsidR="00107431" w:rsidRDefault="00107431" w:rsidP="002F062C">
                  <w:pPr>
                    <w:rPr>
                      <w:sz w:val="16"/>
                      <w:szCs w:val="16"/>
                    </w:rPr>
                  </w:pPr>
                  <w:r w:rsidRPr="00107431">
                    <w:rPr>
                      <w:sz w:val="16"/>
                      <w:szCs w:val="16"/>
                    </w:rPr>
                    <w:t>6.21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107DCE0" w14:textId="1FCB4150" w:rsidR="00107431" w:rsidRDefault="00107431" w:rsidP="002F062C">
                  <w:pPr>
                    <w:rPr>
                      <w:sz w:val="16"/>
                      <w:szCs w:val="16"/>
                    </w:rPr>
                  </w:pPr>
                  <w:r w:rsidRPr="0010743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5B13F64" w14:textId="23BF325E" w:rsidR="00107431" w:rsidRDefault="00107431" w:rsidP="002F062C">
                  <w:pPr>
                    <w:rPr>
                      <w:sz w:val="16"/>
                      <w:szCs w:val="16"/>
                    </w:rPr>
                  </w:pPr>
                  <w:r w:rsidRPr="00107431">
                    <w:rPr>
                      <w:sz w:val="16"/>
                      <w:szCs w:val="16"/>
                    </w:rPr>
                    <w:t> </w:t>
                  </w:r>
                </w:p>
              </w:tc>
            </w:tr>
            <w:tr w:rsidR="00107431" w:rsidRPr="002F062C" w14:paraId="3EBC0A0A" w14:textId="77777777" w:rsidTr="006B0A61">
              <w:tc>
                <w:tcPr>
                  <w:tcW w:w="1562" w:type="dxa"/>
                </w:tcPr>
                <w:p w14:paraId="61AE1051" w14:textId="3FE666AE" w:rsidR="00107431" w:rsidRDefault="00107431" w:rsidP="002F062C">
                  <w:pPr>
                    <w:rPr>
                      <w:sz w:val="16"/>
                      <w:szCs w:val="16"/>
                    </w:rPr>
                  </w:pPr>
                  <w:r>
                    <w:rPr>
                      <w:sz w:val="16"/>
                      <w:szCs w:val="16"/>
                    </w:rPr>
                    <w:t>EPS</w:t>
                  </w:r>
                </w:p>
              </w:tc>
              <w:tc>
                <w:tcPr>
                  <w:tcW w:w="1007" w:type="dxa"/>
                  <w:tcBorders>
                    <w:top w:val="single" w:sz="4" w:space="0" w:color="auto"/>
                    <w:left w:val="nil"/>
                    <w:bottom w:val="single" w:sz="4" w:space="0" w:color="auto"/>
                    <w:right w:val="single" w:sz="4" w:space="0" w:color="auto"/>
                  </w:tcBorders>
                  <w:shd w:val="clear" w:color="auto" w:fill="auto"/>
                  <w:vAlign w:val="bottom"/>
                </w:tcPr>
                <w:p w14:paraId="6DB4D0DC" w14:textId="79A07A89" w:rsidR="00107431" w:rsidRDefault="00107431" w:rsidP="002F062C">
                  <w:pPr>
                    <w:rPr>
                      <w:sz w:val="16"/>
                      <w:szCs w:val="16"/>
                    </w:rPr>
                  </w:pPr>
                  <w:r w:rsidRPr="00107431">
                    <w:rPr>
                      <w:sz w:val="16"/>
                      <w:szCs w:val="16"/>
                    </w:rPr>
                    <w:t>1.92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CBD752B" w14:textId="70FD25DF" w:rsidR="00107431" w:rsidRDefault="00107431" w:rsidP="002F062C">
                  <w:pPr>
                    <w:rPr>
                      <w:sz w:val="16"/>
                      <w:szCs w:val="16"/>
                    </w:rPr>
                  </w:pPr>
                  <w:r w:rsidRPr="00107431">
                    <w:rPr>
                      <w:sz w:val="16"/>
                      <w:szCs w:val="16"/>
                    </w:rPr>
                    <w:t>2.57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44C62B" w14:textId="139C6A87" w:rsidR="00107431" w:rsidRDefault="00107431" w:rsidP="002F062C">
                  <w:pPr>
                    <w:rPr>
                      <w:sz w:val="16"/>
                      <w:szCs w:val="16"/>
                    </w:rPr>
                  </w:pPr>
                  <w:r w:rsidRPr="00107431">
                    <w:rPr>
                      <w:sz w:val="16"/>
                      <w:szCs w:val="16"/>
                    </w:rPr>
                    <w:t>3.69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8732767" w14:textId="5173795B" w:rsidR="00107431" w:rsidRDefault="00107431" w:rsidP="002F062C">
                  <w:pPr>
                    <w:rPr>
                      <w:sz w:val="16"/>
                      <w:szCs w:val="16"/>
                    </w:rPr>
                  </w:pPr>
                  <w:r w:rsidRPr="00107431">
                    <w:rPr>
                      <w:sz w:val="16"/>
                      <w:szCs w:val="16"/>
                    </w:rPr>
                    <w:t>3.60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BB74B5" w14:textId="5E4F098D" w:rsidR="00107431" w:rsidRDefault="00107431" w:rsidP="002F062C">
                  <w:pPr>
                    <w:rPr>
                      <w:sz w:val="16"/>
                      <w:szCs w:val="16"/>
                    </w:rPr>
                  </w:pPr>
                  <w:r w:rsidRPr="00107431">
                    <w:rPr>
                      <w:sz w:val="16"/>
                      <w:szCs w:val="16"/>
                    </w:rPr>
                    <w:t>3.53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67918E0" w14:textId="2102D8F7" w:rsidR="00107431" w:rsidRDefault="00107431" w:rsidP="002F062C">
                  <w:pPr>
                    <w:rPr>
                      <w:sz w:val="16"/>
                      <w:szCs w:val="16"/>
                    </w:rPr>
                  </w:pPr>
                  <w:r w:rsidRPr="00107431">
                    <w:rPr>
                      <w:sz w:val="16"/>
                      <w:szCs w:val="16"/>
                    </w:rPr>
                    <w:t>3.85</w:t>
                  </w:r>
                </w:p>
              </w:tc>
            </w:tr>
            <w:tr w:rsidR="00107431" w:rsidRPr="002F062C" w14:paraId="235E2086" w14:textId="77777777" w:rsidTr="006B0A61">
              <w:tc>
                <w:tcPr>
                  <w:tcW w:w="1562" w:type="dxa"/>
                </w:tcPr>
                <w:p w14:paraId="64A6EBFE" w14:textId="619DEBB4" w:rsidR="00107431" w:rsidRDefault="00107431" w:rsidP="002F062C">
                  <w:pPr>
                    <w:rPr>
                      <w:sz w:val="16"/>
                      <w:szCs w:val="16"/>
                    </w:rPr>
                  </w:pPr>
                  <w:r>
                    <w:rPr>
                      <w:sz w:val="16"/>
                      <w:szCs w:val="16"/>
                    </w:rPr>
                    <w:t xml:space="preserve">PE Ratio </w:t>
                  </w:r>
                </w:p>
              </w:tc>
              <w:tc>
                <w:tcPr>
                  <w:tcW w:w="1007" w:type="dxa"/>
                  <w:tcBorders>
                    <w:top w:val="single" w:sz="4" w:space="0" w:color="auto"/>
                    <w:left w:val="nil"/>
                    <w:bottom w:val="single" w:sz="4" w:space="0" w:color="auto"/>
                    <w:right w:val="single" w:sz="4" w:space="0" w:color="auto"/>
                  </w:tcBorders>
                  <w:shd w:val="clear" w:color="auto" w:fill="auto"/>
                  <w:vAlign w:val="bottom"/>
                </w:tcPr>
                <w:p w14:paraId="72B86E80" w14:textId="0DAAEBC5" w:rsidR="00107431" w:rsidRDefault="00107431" w:rsidP="002F062C">
                  <w:pPr>
                    <w:rPr>
                      <w:sz w:val="16"/>
                      <w:szCs w:val="16"/>
                    </w:rPr>
                  </w:pPr>
                  <w:r w:rsidRPr="00107431">
                    <w:rPr>
                      <w:sz w:val="16"/>
                      <w:szCs w:val="16"/>
                    </w:rPr>
                    <w:t>21.53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8740EAD" w14:textId="7D5EB1BC" w:rsidR="00107431" w:rsidRDefault="00107431" w:rsidP="002F062C">
                  <w:pPr>
                    <w:rPr>
                      <w:sz w:val="16"/>
                      <w:szCs w:val="16"/>
                    </w:rPr>
                  </w:pPr>
                  <w:r w:rsidRPr="00107431">
                    <w:rPr>
                      <w:sz w:val="16"/>
                      <w:szCs w:val="16"/>
                    </w:rPr>
                    <w:t>24.49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763C52A" w14:textId="7AF98862" w:rsidR="00107431" w:rsidRDefault="00107431" w:rsidP="002F062C">
                  <w:pPr>
                    <w:rPr>
                      <w:sz w:val="16"/>
                      <w:szCs w:val="16"/>
                    </w:rPr>
                  </w:pPr>
                  <w:r w:rsidRPr="00107431">
                    <w:rPr>
                      <w:sz w:val="16"/>
                      <w:szCs w:val="16"/>
                    </w:rPr>
                    <w:t>25.46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8F8638" w14:textId="4FECA721" w:rsidR="00107431" w:rsidRDefault="00107431" w:rsidP="002F062C">
                  <w:pPr>
                    <w:rPr>
                      <w:sz w:val="16"/>
                      <w:szCs w:val="16"/>
                    </w:rPr>
                  </w:pPr>
                  <w:r w:rsidRPr="00107431">
                    <w:rPr>
                      <w:sz w:val="16"/>
                      <w:szCs w:val="16"/>
                    </w:rPr>
                    <w:t>19.89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21CE165" w14:textId="29466D81" w:rsidR="00107431" w:rsidRDefault="00107431" w:rsidP="002F062C">
                  <w:pPr>
                    <w:rPr>
                      <w:sz w:val="16"/>
                      <w:szCs w:val="16"/>
                    </w:rPr>
                  </w:pPr>
                  <w:r w:rsidRPr="00107431">
                    <w:rPr>
                      <w:sz w:val="16"/>
                      <w:szCs w:val="16"/>
                    </w:rPr>
                    <w:t>16.87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8FFAB5F" w14:textId="73381B2D" w:rsidR="00107431" w:rsidRDefault="00107431" w:rsidP="002F062C">
                  <w:pPr>
                    <w:rPr>
                      <w:sz w:val="16"/>
                      <w:szCs w:val="16"/>
                    </w:rPr>
                  </w:pPr>
                  <w:r w:rsidRPr="00107431">
                    <w:rPr>
                      <w:sz w:val="16"/>
                      <w:szCs w:val="16"/>
                    </w:rPr>
                    <w:t>15.50</w:t>
                  </w:r>
                </w:p>
              </w:tc>
            </w:tr>
            <w:tr w:rsidR="00107431" w:rsidRPr="002F062C" w14:paraId="6A512B42" w14:textId="77777777" w:rsidTr="006B0A61">
              <w:tc>
                <w:tcPr>
                  <w:tcW w:w="1562" w:type="dxa"/>
                </w:tcPr>
                <w:p w14:paraId="30EB3D41" w14:textId="716FA7E5" w:rsidR="00107431" w:rsidRDefault="00107431" w:rsidP="002F062C">
                  <w:pPr>
                    <w:rPr>
                      <w:sz w:val="16"/>
                      <w:szCs w:val="16"/>
                    </w:rPr>
                  </w:pPr>
                  <w:r>
                    <w:rPr>
                      <w:sz w:val="16"/>
                      <w:szCs w:val="16"/>
                    </w:rPr>
                    <w:t>Current Ratio</w:t>
                  </w:r>
                </w:p>
              </w:tc>
              <w:tc>
                <w:tcPr>
                  <w:tcW w:w="1007" w:type="dxa"/>
                  <w:tcBorders>
                    <w:top w:val="single" w:sz="4" w:space="0" w:color="auto"/>
                    <w:left w:val="nil"/>
                    <w:bottom w:val="single" w:sz="4" w:space="0" w:color="auto"/>
                    <w:right w:val="single" w:sz="4" w:space="0" w:color="auto"/>
                  </w:tcBorders>
                  <w:shd w:val="clear" w:color="auto" w:fill="auto"/>
                  <w:vAlign w:val="bottom"/>
                </w:tcPr>
                <w:p w14:paraId="4B99ACE5" w14:textId="6672D812" w:rsidR="00107431" w:rsidRDefault="00107431" w:rsidP="002F062C">
                  <w:pPr>
                    <w:rPr>
                      <w:sz w:val="16"/>
                      <w:szCs w:val="16"/>
                    </w:rPr>
                  </w:pPr>
                  <w:r w:rsidRPr="00107431">
                    <w:rPr>
                      <w:sz w:val="16"/>
                      <w:szCs w:val="16"/>
                    </w:rPr>
                    <w:t>1.78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8AB591" w14:textId="2223D848" w:rsidR="00107431" w:rsidRDefault="00107431" w:rsidP="002F062C">
                  <w:pPr>
                    <w:rPr>
                      <w:sz w:val="16"/>
                      <w:szCs w:val="16"/>
                    </w:rPr>
                  </w:pPr>
                  <w:r w:rsidRPr="00107431">
                    <w:rPr>
                      <w:sz w:val="16"/>
                      <w:szCs w:val="16"/>
                    </w:rPr>
                    <w:t>0.62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64567E" w14:textId="5CEEECFA" w:rsidR="00107431" w:rsidRDefault="00107431" w:rsidP="002F062C">
                  <w:pPr>
                    <w:rPr>
                      <w:sz w:val="16"/>
                      <w:szCs w:val="16"/>
                    </w:rPr>
                  </w:pPr>
                  <w:r w:rsidRPr="00107431">
                    <w:rPr>
                      <w:sz w:val="16"/>
                      <w:szCs w:val="16"/>
                    </w:rPr>
                    <w:t>0.75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156D8F2" w14:textId="18941AB4" w:rsidR="00107431" w:rsidRDefault="001A0791" w:rsidP="002F062C">
                  <w:pPr>
                    <w:rPr>
                      <w:sz w:val="16"/>
                      <w:szCs w:val="16"/>
                      <w:lang w:eastAsia="zh-CN"/>
                    </w:rPr>
                  </w:pPr>
                  <w:r>
                    <w:rPr>
                      <w:rFonts w:hint="eastAsia"/>
                      <w:sz w:val="16"/>
                      <w:szCs w:val="16"/>
                      <w:lang w:eastAsia="zh-CN"/>
                    </w:rPr>
                    <w:t>0.76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BCD8618" w14:textId="5439ADE8" w:rsidR="00107431" w:rsidRDefault="00107431" w:rsidP="002F062C">
                  <w:pPr>
                    <w:rPr>
                      <w:sz w:val="16"/>
                      <w:szCs w:val="16"/>
                    </w:rPr>
                  </w:pPr>
                  <w:r w:rsidRPr="00107431">
                    <w:rPr>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69E19D1" w14:textId="555DD73C" w:rsidR="00107431" w:rsidRDefault="00107431" w:rsidP="002F062C">
                  <w:pPr>
                    <w:rPr>
                      <w:sz w:val="16"/>
                      <w:szCs w:val="16"/>
                    </w:rPr>
                  </w:pPr>
                  <w:r w:rsidRPr="00107431">
                    <w:rPr>
                      <w:sz w:val="16"/>
                      <w:szCs w:val="16"/>
                    </w:rPr>
                    <w:t> </w:t>
                  </w:r>
                </w:p>
              </w:tc>
            </w:tr>
            <w:tr w:rsidR="00107431" w:rsidRPr="002F062C" w14:paraId="059E3A59" w14:textId="77777777" w:rsidTr="006B0A61">
              <w:tc>
                <w:tcPr>
                  <w:tcW w:w="1562" w:type="dxa"/>
                </w:tcPr>
                <w:p w14:paraId="49C83FCA" w14:textId="1511D8EF" w:rsidR="00107431" w:rsidRDefault="00107431" w:rsidP="002F062C">
                  <w:pPr>
                    <w:rPr>
                      <w:sz w:val="16"/>
                      <w:szCs w:val="16"/>
                    </w:rPr>
                  </w:pPr>
                  <w:r>
                    <w:rPr>
                      <w:sz w:val="16"/>
                      <w:szCs w:val="16"/>
                    </w:rPr>
                    <w:t>ROE</w:t>
                  </w:r>
                </w:p>
              </w:tc>
              <w:tc>
                <w:tcPr>
                  <w:tcW w:w="1007" w:type="dxa"/>
                  <w:tcBorders>
                    <w:top w:val="single" w:sz="4" w:space="0" w:color="auto"/>
                    <w:left w:val="nil"/>
                    <w:bottom w:val="single" w:sz="4" w:space="0" w:color="auto"/>
                    <w:right w:val="single" w:sz="4" w:space="0" w:color="auto"/>
                  </w:tcBorders>
                  <w:shd w:val="clear" w:color="auto" w:fill="auto"/>
                  <w:vAlign w:val="bottom"/>
                </w:tcPr>
                <w:p w14:paraId="2243F7CF" w14:textId="69A8EEE4" w:rsidR="00107431" w:rsidRDefault="00107431" w:rsidP="002F062C">
                  <w:pPr>
                    <w:rPr>
                      <w:sz w:val="16"/>
                      <w:szCs w:val="16"/>
                    </w:rPr>
                  </w:pPr>
                  <w:r w:rsidRPr="00107431">
                    <w:rPr>
                      <w:sz w:val="16"/>
                      <w:szCs w:val="16"/>
                    </w:rPr>
                    <w:t>29.25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86885B" w14:textId="3773498A" w:rsidR="00107431" w:rsidRDefault="00107431" w:rsidP="002F062C">
                  <w:pPr>
                    <w:rPr>
                      <w:sz w:val="16"/>
                      <w:szCs w:val="16"/>
                    </w:rPr>
                  </w:pPr>
                  <w:r w:rsidRPr="00107431">
                    <w:rPr>
                      <w:sz w:val="16"/>
                      <w:szCs w:val="16"/>
                    </w:rPr>
                    <w:t>36.81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829E1D3" w14:textId="0EDED21B" w:rsidR="00107431" w:rsidRDefault="00107431" w:rsidP="002F062C">
                  <w:pPr>
                    <w:rPr>
                      <w:sz w:val="16"/>
                      <w:szCs w:val="16"/>
                    </w:rPr>
                  </w:pPr>
                  <w:r w:rsidRPr="00107431">
                    <w:rPr>
                      <w:sz w:val="16"/>
                      <w:szCs w:val="16"/>
                    </w:rPr>
                    <w:t>47.76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9C94287" w14:textId="239775BB" w:rsidR="00107431" w:rsidRDefault="001A0791" w:rsidP="002F062C">
                  <w:pPr>
                    <w:rPr>
                      <w:sz w:val="16"/>
                      <w:szCs w:val="16"/>
                      <w:lang w:eastAsia="zh-CN"/>
                    </w:rPr>
                  </w:pPr>
                  <w:r>
                    <w:rPr>
                      <w:rFonts w:hint="eastAsia"/>
                      <w:sz w:val="16"/>
                      <w:szCs w:val="16"/>
                      <w:lang w:eastAsia="zh-CN"/>
                    </w:rPr>
                    <w:t>45.47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90A1DF2" w14:textId="0F3821D4" w:rsidR="00107431" w:rsidRDefault="00107431" w:rsidP="002F062C">
                  <w:pPr>
                    <w:rPr>
                      <w:sz w:val="16"/>
                      <w:szCs w:val="16"/>
                    </w:rPr>
                  </w:pPr>
                  <w:r w:rsidRPr="00107431">
                    <w:rPr>
                      <w:sz w:val="16"/>
                      <w:szCs w:val="16"/>
                    </w:rPr>
                    <w:t>40.87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42B8BC8" w14:textId="14F0E6AF" w:rsidR="00107431" w:rsidRDefault="00107431" w:rsidP="002F062C">
                  <w:pPr>
                    <w:rPr>
                      <w:sz w:val="16"/>
                      <w:szCs w:val="16"/>
                    </w:rPr>
                  </w:pPr>
                  <w:r w:rsidRPr="00107431">
                    <w:rPr>
                      <w:sz w:val="16"/>
                      <w:szCs w:val="16"/>
                    </w:rPr>
                    <w:t> </w:t>
                  </w:r>
                </w:p>
              </w:tc>
            </w:tr>
            <w:tr w:rsidR="00107431" w:rsidRPr="002F062C" w14:paraId="3DD5E939" w14:textId="77777777" w:rsidTr="006B0A61">
              <w:tc>
                <w:tcPr>
                  <w:tcW w:w="1562" w:type="dxa"/>
                </w:tcPr>
                <w:p w14:paraId="5964CDC4" w14:textId="4C35077B" w:rsidR="00107431" w:rsidRDefault="00107431" w:rsidP="002F062C">
                  <w:pPr>
                    <w:rPr>
                      <w:sz w:val="16"/>
                      <w:szCs w:val="16"/>
                    </w:rPr>
                  </w:pPr>
                  <w:r>
                    <w:rPr>
                      <w:sz w:val="16"/>
                      <w:szCs w:val="16"/>
                    </w:rPr>
                    <w:t>ROA</w:t>
                  </w:r>
                </w:p>
              </w:tc>
              <w:tc>
                <w:tcPr>
                  <w:tcW w:w="1007" w:type="dxa"/>
                  <w:tcBorders>
                    <w:top w:val="single" w:sz="4" w:space="0" w:color="auto"/>
                    <w:left w:val="nil"/>
                    <w:bottom w:val="single" w:sz="4" w:space="0" w:color="auto"/>
                    <w:right w:val="single" w:sz="4" w:space="0" w:color="auto"/>
                  </w:tcBorders>
                  <w:shd w:val="clear" w:color="auto" w:fill="auto"/>
                  <w:vAlign w:val="bottom"/>
                </w:tcPr>
                <w:p w14:paraId="0B36B8CA" w14:textId="251CAA58" w:rsidR="00107431" w:rsidRDefault="00107431" w:rsidP="002F062C">
                  <w:pPr>
                    <w:rPr>
                      <w:sz w:val="16"/>
                      <w:szCs w:val="16"/>
                    </w:rPr>
                  </w:pPr>
                  <w:r w:rsidRPr="00107431">
                    <w:rPr>
                      <w:sz w:val="16"/>
                      <w:szCs w:val="16"/>
                    </w:rPr>
                    <w:t>10.29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5BD607" w14:textId="70ECB90C" w:rsidR="00107431" w:rsidRDefault="00107431" w:rsidP="002F062C">
                  <w:pPr>
                    <w:rPr>
                      <w:sz w:val="16"/>
                      <w:szCs w:val="16"/>
                    </w:rPr>
                  </w:pPr>
                  <w:r w:rsidRPr="00107431">
                    <w:rPr>
                      <w:sz w:val="16"/>
                      <w:szCs w:val="16"/>
                    </w:rPr>
                    <w:t>12.60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72EB0AB" w14:textId="12ADB792" w:rsidR="00107431" w:rsidRDefault="00107431" w:rsidP="002F062C">
                  <w:pPr>
                    <w:rPr>
                      <w:sz w:val="16"/>
                      <w:szCs w:val="16"/>
                    </w:rPr>
                  </w:pPr>
                  <w:r w:rsidRPr="00107431">
                    <w:rPr>
                      <w:sz w:val="16"/>
                      <w:szCs w:val="16"/>
                    </w:rPr>
                    <w:t>16.24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353C8011" w14:textId="2B8A3BF4" w:rsidR="00107431" w:rsidRDefault="001A0791" w:rsidP="002F062C">
                  <w:pPr>
                    <w:rPr>
                      <w:sz w:val="16"/>
                      <w:szCs w:val="16"/>
                      <w:lang w:eastAsia="zh-CN"/>
                    </w:rPr>
                  </w:pPr>
                  <w:r>
                    <w:rPr>
                      <w:rFonts w:hint="eastAsia"/>
                      <w:sz w:val="16"/>
                      <w:szCs w:val="16"/>
                      <w:lang w:eastAsia="zh-CN"/>
                    </w:rPr>
                    <w:t>15.32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6D09CDE3" w14:textId="1109E2AD" w:rsidR="00107431" w:rsidRDefault="00107431" w:rsidP="002F062C">
                  <w:pPr>
                    <w:rPr>
                      <w:sz w:val="16"/>
                      <w:szCs w:val="16"/>
                    </w:rPr>
                  </w:pPr>
                  <w:r w:rsidRPr="00107431">
                    <w:rPr>
                      <w:sz w:val="16"/>
                      <w:szCs w:val="16"/>
                    </w:rPr>
                    <w:t>13.10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C2C62C5" w14:textId="7D783F97" w:rsidR="00107431" w:rsidRDefault="00107431" w:rsidP="002F062C">
                  <w:pPr>
                    <w:rPr>
                      <w:sz w:val="16"/>
                      <w:szCs w:val="16"/>
                    </w:rPr>
                  </w:pPr>
                  <w:r w:rsidRPr="00107431">
                    <w:rPr>
                      <w:sz w:val="16"/>
                      <w:szCs w:val="16"/>
                    </w:rPr>
                    <w:t> </w:t>
                  </w:r>
                </w:p>
              </w:tc>
            </w:tr>
            <w:tr w:rsidR="00107431" w:rsidRPr="002F062C" w14:paraId="5907048A" w14:textId="77777777" w:rsidTr="002E16BA">
              <w:trPr>
                <w:trHeight w:val="237"/>
              </w:trPr>
              <w:tc>
                <w:tcPr>
                  <w:tcW w:w="1562" w:type="dxa"/>
                </w:tcPr>
                <w:p w14:paraId="3D304A41" w14:textId="7D46039C" w:rsidR="00107431" w:rsidRDefault="00107431" w:rsidP="002F062C">
                  <w:pPr>
                    <w:rPr>
                      <w:sz w:val="16"/>
                      <w:szCs w:val="16"/>
                    </w:rPr>
                  </w:pPr>
                  <w:r>
                    <w:rPr>
                      <w:sz w:val="16"/>
                      <w:szCs w:val="16"/>
                    </w:rPr>
                    <w:t>Dividend Per Share</w:t>
                  </w:r>
                </w:p>
              </w:tc>
              <w:tc>
                <w:tcPr>
                  <w:tcW w:w="1007" w:type="dxa"/>
                  <w:tcBorders>
                    <w:top w:val="single" w:sz="4" w:space="0" w:color="auto"/>
                    <w:left w:val="nil"/>
                    <w:bottom w:val="single" w:sz="4" w:space="0" w:color="auto"/>
                    <w:right w:val="single" w:sz="4" w:space="0" w:color="auto"/>
                  </w:tcBorders>
                  <w:shd w:val="clear" w:color="auto" w:fill="auto"/>
                  <w:vAlign w:val="bottom"/>
                </w:tcPr>
                <w:p w14:paraId="009D7DBA" w14:textId="0A7734EC" w:rsidR="00107431" w:rsidRPr="002F062C" w:rsidRDefault="00107431" w:rsidP="002F062C">
                  <w:pPr>
                    <w:rPr>
                      <w:sz w:val="16"/>
                      <w:szCs w:val="16"/>
                    </w:rPr>
                  </w:pPr>
                  <w:r w:rsidRPr="00107431">
                    <w:rPr>
                      <w:sz w:val="16"/>
                      <w:szCs w:val="16"/>
                    </w:rPr>
                    <w:t>1.78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4ED0171" w14:textId="250F7324" w:rsidR="00107431" w:rsidRPr="002F062C" w:rsidRDefault="00107431" w:rsidP="002F062C">
                  <w:pPr>
                    <w:rPr>
                      <w:sz w:val="16"/>
                      <w:szCs w:val="16"/>
                    </w:rPr>
                  </w:pPr>
                  <w:r w:rsidRPr="00107431">
                    <w:rPr>
                      <w:sz w:val="16"/>
                      <w:szCs w:val="16"/>
                    </w:rPr>
                    <w:t>2.10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035D20BA" w14:textId="72AB49F2" w:rsidR="00107431" w:rsidRPr="002F062C" w:rsidRDefault="00107431" w:rsidP="002F062C">
                  <w:pPr>
                    <w:rPr>
                      <w:sz w:val="16"/>
                      <w:szCs w:val="16"/>
                    </w:rPr>
                  </w:pPr>
                  <w:r w:rsidRPr="00107431">
                    <w:rPr>
                      <w:sz w:val="16"/>
                      <w:szCs w:val="16"/>
                    </w:rPr>
                    <w:t>2.51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26BD21ED" w14:textId="41986866" w:rsidR="00107431" w:rsidRPr="002F062C" w:rsidRDefault="00107431" w:rsidP="002F062C">
                  <w:pPr>
                    <w:rPr>
                      <w:sz w:val="16"/>
                      <w:szCs w:val="16"/>
                    </w:rPr>
                  </w:pPr>
                  <w:r w:rsidRPr="00107431">
                    <w:rPr>
                      <w:sz w:val="16"/>
                      <w:szCs w:val="16"/>
                    </w:rPr>
                    <w:t>3.01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40CB5295" w14:textId="408BB1DA" w:rsidR="00107431" w:rsidRPr="002F062C" w:rsidRDefault="00107431" w:rsidP="002F062C">
                  <w:pPr>
                    <w:rPr>
                      <w:sz w:val="16"/>
                      <w:szCs w:val="16"/>
                    </w:rPr>
                  </w:pPr>
                  <w:r w:rsidRPr="00107431">
                    <w:rPr>
                      <w:sz w:val="16"/>
                      <w:szCs w:val="16"/>
                    </w:rPr>
                    <w:t>3.33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532BF947" w14:textId="1BD2C7E2" w:rsidR="00107431" w:rsidRPr="002F062C" w:rsidRDefault="00107431" w:rsidP="002F062C">
                  <w:pPr>
                    <w:rPr>
                      <w:sz w:val="16"/>
                      <w:szCs w:val="16"/>
                    </w:rPr>
                  </w:pPr>
                  <w:r w:rsidRPr="00107431">
                    <w:rPr>
                      <w:sz w:val="16"/>
                      <w:szCs w:val="16"/>
                    </w:rPr>
                    <w:t>3.63</w:t>
                  </w:r>
                </w:p>
              </w:tc>
            </w:tr>
          </w:tbl>
          <w:p w14:paraId="6F98E45C" w14:textId="77777777" w:rsidR="00830F06" w:rsidRPr="002F062C" w:rsidRDefault="00830F06" w:rsidP="00443ED9">
            <w:pPr>
              <w:jc w:val="both"/>
              <w:rPr>
                <w:sz w:val="16"/>
                <w:szCs w:val="16"/>
              </w:rPr>
            </w:pPr>
          </w:p>
        </w:tc>
        <w:tc>
          <w:tcPr>
            <w:tcW w:w="4320" w:type="dxa"/>
          </w:tcPr>
          <w:p w14:paraId="3276E349" w14:textId="77777777" w:rsidR="00830F06" w:rsidRPr="002F062C"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2F062C"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2F82BBB1" w:rsidR="00830F06" w:rsidRDefault="00DE0C0C" w:rsidP="00830F06">
                  <w:pPr>
                    <w:rPr>
                      <w:sz w:val="16"/>
                      <w:szCs w:val="16"/>
                    </w:rPr>
                  </w:pPr>
                  <w:r>
                    <w:rPr>
                      <w:sz w:val="16"/>
                      <w:szCs w:val="16"/>
                    </w:rPr>
                    <w:t>2010-15</w:t>
                  </w:r>
                </w:p>
              </w:tc>
              <w:tc>
                <w:tcPr>
                  <w:tcW w:w="1080" w:type="dxa"/>
                  <w:shd w:val="clear" w:color="auto" w:fill="DBE5F1" w:themeFill="accent1" w:themeFillTint="33"/>
                </w:tcPr>
                <w:p w14:paraId="6917AD00" w14:textId="22704D50" w:rsidR="00830F06" w:rsidRDefault="00DE0C0C" w:rsidP="00830F06">
                  <w:pPr>
                    <w:rPr>
                      <w:sz w:val="16"/>
                      <w:szCs w:val="16"/>
                    </w:rPr>
                  </w:pPr>
                  <w:r>
                    <w:rPr>
                      <w:sz w:val="16"/>
                      <w:szCs w:val="16"/>
                    </w:rPr>
                    <w:t>2016-20</w:t>
                  </w:r>
                </w:p>
              </w:tc>
            </w:tr>
            <w:tr w:rsidR="0060598F" w:rsidRPr="002F062C" w14:paraId="5A9DD5F4" w14:textId="77777777" w:rsidTr="0010720B">
              <w:tc>
                <w:tcPr>
                  <w:tcW w:w="1908" w:type="dxa"/>
                </w:tcPr>
                <w:p w14:paraId="6A465DCA" w14:textId="77777777" w:rsidR="00830F06" w:rsidRDefault="00830F06" w:rsidP="00830F06">
                  <w:pPr>
                    <w:rPr>
                      <w:sz w:val="16"/>
                      <w:szCs w:val="16"/>
                    </w:rPr>
                  </w:pPr>
                  <w:proofErr w:type="spellStart"/>
                  <w:proofErr w:type="gramStart"/>
                  <w:r>
                    <w:rPr>
                      <w:sz w:val="16"/>
                      <w:szCs w:val="16"/>
                    </w:rPr>
                    <w:t>Avg</w:t>
                  </w:r>
                  <w:proofErr w:type="spellEnd"/>
                  <w:r>
                    <w:rPr>
                      <w:sz w:val="16"/>
                      <w:szCs w:val="16"/>
                    </w:rPr>
                    <w:t xml:space="preserve">  Revenue</w:t>
                  </w:r>
                  <w:proofErr w:type="gramEnd"/>
                  <w:r>
                    <w:rPr>
                      <w:sz w:val="16"/>
                      <w:szCs w:val="16"/>
                    </w:rPr>
                    <w:t xml:space="preserve"> growth </w:t>
                  </w:r>
                </w:p>
              </w:tc>
              <w:tc>
                <w:tcPr>
                  <w:tcW w:w="1129" w:type="dxa"/>
                </w:tcPr>
                <w:p w14:paraId="28890419" w14:textId="4952CB8E" w:rsidR="00830F06" w:rsidRDefault="00DE0C0C" w:rsidP="00830F06">
                  <w:pPr>
                    <w:rPr>
                      <w:sz w:val="16"/>
                      <w:szCs w:val="16"/>
                      <w:lang w:eastAsia="zh-CN"/>
                    </w:rPr>
                  </w:pPr>
                  <w:r>
                    <w:rPr>
                      <w:sz w:val="16"/>
                      <w:szCs w:val="16"/>
                      <w:lang w:eastAsia="zh-CN"/>
                    </w:rPr>
                    <w:t>7%</w:t>
                  </w:r>
                </w:p>
              </w:tc>
              <w:tc>
                <w:tcPr>
                  <w:tcW w:w="1080" w:type="dxa"/>
                </w:tcPr>
                <w:p w14:paraId="2B6EF445" w14:textId="0857EA18" w:rsidR="00830F06" w:rsidRDefault="00DE0C0C" w:rsidP="00830F06">
                  <w:pPr>
                    <w:rPr>
                      <w:sz w:val="16"/>
                      <w:szCs w:val="16"/>
                    </w:rPr>
                  </w:pPr>
                  <w:r>
                    <w:rPr>
                      <w:sz w:val="16"/>
                      <w:szCs w:val="16"/>
                    </w:rPr>
                    <w:t>5%</w:t>
                  </w:r>
                </w:p>
              </w:tc>
            </w:tr>
            <w:tr w:rsidR="0060598F" w:rsidRPr="002F062C" w14:paraId="49A71F37" w14:textId="77777777" w:rsidTr="0010720B">
              <w:tc>
                <w:tcPr>
                  <w:tcW w:w="1908" w:type="dxa"/>
                </w:tcPr>
                <w:p w14:paraId="7425D824" w14:textId="77777777" w:rsidR="00830F06" w:rsidRDefault="00830F06" w:rsidP="00830F06">
                  <w:pPr>
                    <w:rPr>
                      <w:sz w:val="16"/>
                      <w:szCs w:val="16"/>
                    </w:rPr>
                  </w:pPr>
                  <w:proofErr w:type="spellStart"/>
                  <w:proofErr w:type="gramStart"/>
                  <w:r>
                    <w:rPr>
                      <w:sz w:val="16"/>
                      <w:szCs w:val="16"/>
                    </w:rPr>
                    <w:t>Avg</w:t>
                  </w:r>
                  <w:proofErr w:type="spellEnd"/>
                  <w:r>
                    <w:rPr>
                      <w:sz w:val="16"/>
                      <w:szCs w:val="16"/>
                    </w:rPr>
                    <w:t xml:space="preserve">  EBITDA</w:t>
                  </w:r>
                  <w:proofErr w:type="gramEnd"/>
                  <w:r>
                    <w:rPr>
                      <w:sz w:val="16"/>
                      <w:szCs w:val="16"/>
                    </w:rPr>
                    <w:t xml:space="preserve"> Margin </w:t>
                  </w:r>
                </w:p>
              </w:tc>
              <w:tc>
                <w:tcPr>
                  <w:tcW w:w="1129" w:type="dxa"/>
                </w:tcPr>
                <w:p w14:paraId="6AE1C97F" w14:textId="2FBC5696" w:rsidR="00830F06" w:rsidRDefault="00DE0C0C" w:rsidP="00830F06">
                  <w:pPr>
                    <w:rPr>
                      <w:sz w:val="16"/>
                      <w:szCs w:val="16"/>
                      <w:lang w:eastAsia="zh-CN"/>
                    </w:rPr>
                  </w:pPr>
                  <w:r>
                    <w:rPr>
                      <w:sz w:val="16"/>
                      <w:szCs w:val="16"/>
                      <w:lang w:eastAsia="zh-CN"/>
                    </w:rPr>
                    <w:t>42%</w:t>
                  </w:r>
                </w:p>
              </w:tc>
              <w:tc>
                <w:tcPr>
                  <w:tcW w:w="1080" w:type="dxa"/>
                </w:tcPr>
                <w:p w14:paraId="72FC070B" w14:textId="67529759" w:rsidR="00830F06" w:rsidRDefault="00DE0C0C" w:rsidP="00830F06">
                  <w:pPr>
                    <w:rPr>
                      <w:sz w:val="16"/>
                      <w:szCs w:val="16"/>
                    </w:rPr>
                  </w:pPr>
                  <w:r>
                    <w:rPr>
                      <w:sz w:val="16"/>
                      <w:szCs w:val="16"/>
                    </w:rPr>
                    <w:t>55%</w:t>
                  </w:r>
                </w:p>
              </w:tc>
            </w:tr>
            <w:tr w:rsidR="0060598F" w:rsidRPr="002F062C" w14:paraId="5B01660D" w14:textId="77777777" w:rsidTr="0010720B">
              <w:tc>
                <w:tcPr>
                  <w:tcW w:w="1908" w:type="dxa"/>
                </w:tcPr>
                <w:p w14:paraId="2B656250" w14:textId="45679AB8" w:rsidR="00830F06" w:rsidRDefault="006A575D" w:rsidP="00830F06">
                  <w:pPr>
                    <w:rPr>
                      <w:sz w:val="16"/>
                      <w:szCs w:val="16"/>
                    </w:rPr>
                  </w:pPr>
                  <w:proofErr w:type="spellStart"/>
                  <w:proofErr w:type="gramStart"/>
                  <w:r>
                    <w:rPr>
                      <w:sz w:val="16"/>
                      <w:szCs w:val="16"/>
                    </w:rPr>
                    <w:t>Avg</w:t>
                  </w:r>
                  <w:proofErr w:type="spellEnd"/>
                  <w:r>
                    <w:rPr>
                      <w:sz w:val="16"/>
                      <w:szCs w:val="16"/>
                    </w:rPr>
                    <w:t xml:space="preserve">  </w:t>
                  </w:r>
                  <w:r>
                    <w:rPr>
                      <w:rFonts w:hint="eastAsia"/>
                      <w:sz w:val="16"/>
                      <w:szCs w:val="16"/>
                      <w:lang w:eastAsia="zh-CN"/>
                    </w:rPr>
                    <w:t>NOPAT</w:t>
                  </w:r>
                  <w:proofErr w:type="gramEnd"/>
                  <w:r>
                    <w:rPr>
                      <w:rFonts w:hint="eastAsia"/>
                      <w:sz w:val="16"/>
                      <w:szCs w:val="16"/>
                      <w:lang w:eastAsia="zh-CN"/>
                    </w:rPr>
                    <w:t xml:space="preserve"> </w:t>
                  </w:r>
                  <w:r w:rsidR="00830F06">
                    <w:rPr>
                      <w:sz w:val="16"/>
                      <w:szCs w:val="16"/>
                    </w:rPr>
                    <w:t xml:space="preserve">Margin </w:t>
                  </w:r>
                </w:p>
              </w:tc>
              <w:tc>
                <w:tcPr>
                  <w:tcW w:w="1129" w:type="dxa"/>
                </w:tcPr>
                <w:p w14:paraId="6B796F07" w14:textId="7A654DEC" w:rsidR="00830F06" w:rsidRDefault="006A575D" w:rsidP="00830F06">
                  <w:pPr>
                    <w:rPr>
                      <w:sz w:val="16"/>
                      <w:szCs w:val="16"/>
                      <w:lang w:eastAsia="zh-CN"/>
                    </w:rPr>
                  </w:pPr>
                  <w:r>
                    <w:rPr>
                      <w:rFonts w:hint="eastAsia"/>
                      <w:sz w:val="16"/>
                      <w:szCs w:val="16"/>
                      <w:lang w:eastAsia="zh-CN"/>
                    </w:rPr>
                    <w:t>35</w:t>
                  </w:r>
                  <w:r w:rsidR="004870D9">
                    <w:rPr>
                      <w:rFonts w:hint="eastAsia"/>
                      <w:sz w:val="16"/>
                      <w:szCs w:val="16"/>
                      <w:lang w:eastAsia="zh-CN"/>
                    </w:rPr>
                    <w:t>%</w:t>
                  </w:r>
                </w:p>
              </w:tc>
              <w:tc>
                <w:tcPr>
                  <w:tcW w:w="1080" w:type="dxa"/>
                </w:tcPr>
                <w:p w14:paraId="2CA542D3" w14:textId="04804355" w:rsidR="00830F06" w:rsidRDefault="006A575D" w:rsidP="00830F06">
                  <w:pPr>
                    <w:rPr>
                      <w:sz w:val="16"/>
                      <w:szCs w:val="16"/>
                      <w:lang w:eastAsia="zh-CN"/>
                    </w:rPr>
                  </w:pPr>
                  <w:r>
                    <w:rPr>
                      <w:rFonts w:hint="eastAsia"/>
                      <w:sz w:val="16"/>
                      <w:szCs w:val="16"/>
                      <w:lang w:eastAsia="zh-CN"/>
                    </w:rPr>
                    <w:t>44</w:t>
                  </w:r>
                  <w:r w:rsidR="008D6FBE">
                    <w:rPr>
                      <w:rFonts w:hint="eastAsia"/>
                      <w:sz w:val="16"/>
                      <w:szCs w:val="16"/>
                      <w:lang w:eastAsia="zh-CN"/>
                    </w:rPr>
                    <w:t>%</w:t>
                  </w:r>
                </w:p>
              </w:tc>
            </w:tr>
            <w:tr w:rsidR="00830F06" w:rsidRPr="002F062C" w14:paraId="42F79EE5" w14:textId="77777777" w:rsidTr="0010720B">
              <w:tc>
                <w:tcPr>
                  <w:tcW w:w="3037" w:type="dxa"/>
                  <w:gridSpan w:val="2"/>
                </w:tcPr>
                <w:p w14:paraId="11317549" w14:textId="77777777" w:rsidR="00830F06" w:rsidRDefault="00830F06" w:rsidP="00830F06">
                  <w:pPr>
                    <w:rPr>
                      <w:sz w:val="16"/>
                      <w:szCs w:val="16"/>
                    </w:rPr>
                  </w:pPr>
                  <w:r>
                    <w:rPr>
                      <w:sz w:val="16"/>
                      <w:szCs w:val="16"/>
                    </w:rPr>
                    <w:t>Cost of Debt</w:t>
                  </w:r>
                </w:p>
              </w:tc>
              <w:tc>
                <w:tcPr>
                  <w:tcW w:w="1080" w:type="dxa"/>
                </w:tcPr>
                <w:p w14:paraId="316D237F" w14:textId="7407EDBB" w:rsidR="00830F06" w:rsidRDefault="008428F6" w:rsidP="00830F06">
                  <w:pPr>
                    <w:rPr>
                      <w:sz w:val="16"/>
                      <w:szCs w:val="16"/>
                      <w:lang w:eastAsia="zh-CN"/>
                    </w:rPr>
                  </w:pPr>
                  <w:r>
                    <w:rPr>
                      <w:rFonts w:hint="eastAsia"/>
                      <w:sz w:val="16"/>
                      <w:szCs w:val="16"/>
                      <w:lang w:eastAsia="zh-CN"/>
                    </w:rPr>
                    <w:t>2.3%</w:t>
                  </w:r>
                </w:p>
              </w:tc>
            </w:tr>
            <w:tr w:rsidR="00830F06" w:rsidRPr="002F062C" w14:paraId="67214880" w14:textId="77777777" w:rsidTr="0010720B">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472327A7" w:rsidR="00830F06" w:rsidRDefault="008428F6" w:rsidP="00830F06">
                  <w:pPr>
                    <w:rPr>
                      <w:sz w:val="16"/>
                      <w:szCs w:val="16"/>
                      <w:lang w:eastAsia="zh-CN"/>
                    </w:rPr>
                  </w:pPr>
                  <w:r>
                    <w:rPr>
                      <w:rFonts w:hint="eastAsia"/>
                      <w:sz w:val="16"/>
                      <w:szCs w:val="16"/>
                      <w:lang w:eastAsia="zh-CN"/>
                    </w:rPr>
                    <w:t>28%</w:t>
                  </w:r>
                </w:p>
              </w:tc>
            </w:tr>
            <w:tr w:rsidR="00830F06" w:rsidRPr="002F062C" w14:paraId="0F9564DE" w14:textId="77777777" w:rsidTr="0010720B">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4EB40FA0" w:rsidR="00830F06" w:rsidRDefault="008428F6" w:rsidP="00830F06">
                  <w:pPr>
                    <w:rPr>
                      <w:sz w:val="16"/>
                      <w:szCs w:val="16"/>
                      <w:lang w:eastAsia="zh-CN"/>
                    </w:rPr>
                  </w:pPr>
                  <w:r>
                    <w:rPr>
                      <w:rFonts w:hint="eastAsia"/>
                      <w:sz w:val="16"/>
                      <w:szCs w:val="16"/>
                      <w:lang w:eastAsia="zh-CN"/>
                    </w:rPr>
                    <w:t>9.4%</w:t>
                  </w:r>
                </w:p>
              </w:tc>
            </w:tr>
            <w:tr w:rsidR="00830F06" w:rsidRPr="002F062C" w14:paraId="19A1F6C8" w14:textId="77777777" w:rsidTr="0010720B">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7E9E0240" w:rsidR="00830F06" w:rsidRDefault="00C75DE2" w:rsidP="00830F06">
                  <w:pPr>
                    <w:rPr>
                      <w:sz w:val="16"/>
                      <w:szCs w:val="16"/>
                      <w:lang w:eastAsia="zh-CN"/>
                    </w:rPr>
                  </w:pPr>
                  <w:r>
                    <w:rPr>
                      <w:rFonts w:hint="eastAsia"/>
                      <w:sz w:val="16"/>
                      <w:szCs w:val="16"/>
                      <w:lang w:eastAsia="zh-CN"/>
                    </w:rPr>
                    <w:t>8.0</w:t>
                  </w:r>
                  <w:r w:rsidR="00DF5BFB">
                    <w:rPr>
                      <w:rFonts w:hint="eastAsia"/>
                      <w:sz w:val="16"/>
                      <w:szCs w:val="16"/>
                      <w:lang w:eastAsia="zh-CN"/>
                    </w:rPr>
                    <w:t>%</w:t>
                  </w:r>
                </w:p>
              </w:tc>
            </w:tr>
            <w:tr w:rsidR="00830F06" w:rsidRPr="002F062C" w14:paraId="48232758" w14:textId="77777777" w:rsidTr="002D3CFC">
              <w:trPr>
                <w:trHeight w:val="197"/>
              </w:trPr>
              <w:tc>
                <w:tcPr>
                  <w:tcW w:w="3037" w:type="dxa"/>
                  <w:gridSpan w:val="2"/>
                </w:tcPr>
                <w:p w14:paraId="75850D20" w14:textId="0C27CA3A" w:rsidR="00830F06" w:rsidRDefault="0012425D" w:rsidP="0012425D">
                  <w:pPr>
                    <w:rPr>
                      <w:sz w:val="16"/>
                      <w:szCs w:val="16"/>
                    </w:rPr>
                  </w:pPr>
                  <w:r>
                    <w:rPr>
                      <w:sz w:val="16"/>
                      <w:szCs w:val="16"/>
                    </w:rPr>
                    <w:t>Perpetuity Growth Rate (Terminal)</w:t>
                  </w:r>
                </w:p>
              </w:tc>
              <w:tc>
                <w:tcPr>
                  <w:tcW w:w="1080" w:type="dxa"/>
                </w:tcPr>
                <w:p w14:paraId="0C5586DB" w14:textId="7ED884CB" w:rsidR="00830F06" w:rsidRDefault="00C75DE2" w:rsidP="00830F06">
                  <w:pPr>
                    <w:rPr>
                      <w:sz w:val="16"/>
                      <w:szCs w:val="16"/>
                      <w:lang w:eastAsia="zh-CN"/>
                    </w:rPr>
                  </w:pPr>
                  <w:r>
                    <w:rPr>
                      <w:rFonts w:hint="eastAsia"/>
                      <w:sz w:val="16"/>
                      <w:szCs w:val="16"/>
                      <w:lang w:eastAsia="zh-CN"/>
                    </w:rPr>
                    <w:t>2.6</w:t>
                  </w:r>
                  <w:r w:rsidR="008D6FBE">
                    <w:rPr>
                      <w:rFonts w:hint="eastAsia"/>
                      <w:sz w:val="16"/>
                      <w:szCs w:val="16"/>
                      <w:lang w:eastAsia="zh-CN"/>
                    </w:rPr>
                    <w:t>%</w:t>
                  </w:r>
                </w:p>
              </w:tc>
            </w:tr>
          </w:tbl>
          <w:p w14:paraId="58FA0458" w14:textId="77777777" w:rsidR="006A575D" w:rsidRDefault="006A575D" w:rsidP="009F0D12">
            <w:pPr>
              <w:jc w:val="both"/>
              <w:rPr>
                <w:sz w:val="16"/>
                <w:szCs w:val="16"/>
                <w:lang w:eastAsia="zh-CN"/>
              </w:rPr>
            </w:pPr>
          </w:p>
          <w:p w14:paraId="4363BD08" w14:textId="77777777" w:rsidR="009F0D12" w:rsidRPr="002F062C" w:rsidRDefault="009F0D12" w:rsidP="009F0D12">
            <w:pPr>
              <w:jc w:val="both"/>
              <w:rPr>
                <w:sz w:val="16"/>
                <w:szCs w:val="16"/>
              </w:rPr>
            </w:pPr>
            <w:r w:rsidRPr="002F062C">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2F062C" w14:paraId="2502AA66" w14:textId="77777777" w:rsidTr="0010720B">
              <w:tc>
                <w:tcPr>
                  <w:tcW w:w="1363" w:type="dxa"/>
                  <w:shd w:val="clear" w:color="auto" w:fill="DBE5F1" w:themeFill="accent1" w:themeFillTint="33"/>
                </w:tcPr>
                <w:p w14:paraId="6457A1D0" w14:textId="16FEDABF" w:rsidR="009F0D12" w:rsidRPr="009D7A72" w:rsidRDefault="009F0D12" w:rsidP="009F0D12">
                  <w:pPr>
                    <w:jc w:val="both"/>
                    <w:rPr>
                      <w:sz w:val="16"/>
                      <w:szCs w:val="16"/>
                    </w:rPr>
                  </w:pPr>
                  <w:r w:rsidRPr="009D7A72">
                    <w:rPr>
                      <w:sz w:val="16"/>
                      <w:szCs w:val="16"/>
                    </w:rPr>
                    <w:t xml:space="preserve">Buy: </w:t>
                  </w:r>
                  <w:r w:rsidR="00DE0C0C">
                    <w:rPr>
                      <w:sz w:val="16"/>
                      <w:szCs w:val="16"/>
                    </w:rPr>
                    <w:t>15</w:t>
                  </w:r>
                </w:p>
              </w:tc>
              <w:tc>
                <w:tcPr>
                  <w:tcW w:w="1363" w:type="dxa"/>
                  <w:shd w:val="clear" w:color="auto" w:fill="DBE5F1" w:themeFill="accent1" w:themeFillTint="33"/>
                </w:tcPr>
                <w:p w14:paraId="10E79476" w14:textId="4A1A83E3" w:rsidR="009F0D12" w:rsidRPr="009D7A72" w:rsidRDefault="009F0D12" w:rsidP="009F0D12">
                  <w:pPr>
                    <w:jc w:val="both"/>
                    <w:rPr>
                      <w:sz w:val="16"/>
                      <w:szCs w:val="16"/>
                    </w:rPr>
                  </w:pPr>
                  <w:r w:rsidRPr="009D7A72">
                    <w:rPr>
                      <w:sz w:val="16"/>
                      <w:szCs w:val="16"/>
                    </w:rPr>
                    <w:t xml:space="preserve">Hold: </w:t>
                  </w:r>
                  <w:r w:rsidR="00DE0C0C">
                    <w:rPr>
                      <w:sz w:val="16"/>
                      <w:szCs w:val="16"/>
                    </w:rPr>
                    <w:t>2</w:t>
                  </w:r>
                </w:p>
              </w:tc>
              <w:tc>
                <w:tcPr>
                  <w:tcW w:w="1363" w:type="dxa"/>
                  <w:shd w:val="clear" w:color="auto" w:fill="DBE5F1" w:themeFill="accent1" w:themeFillTint="33"/>
                </w:tcPr>
                <w:p w14:paraId="1F373BED" w14:textId="764285A3" w:rsidR="009F0D12" w:rsidRPr="009D7A72" w:rsidRDefault="009F0D12" w:rsidP="009F0D12">
                  <w:pPr>
                    <w:jc w:val="both"/>
                    <w:rPr>
                      <w:sz w:val="16"/>
                      <w:szCs w:val="16"/>
                    </w:rPr>
                  </w:pPr>
                  <w:r w:rsidRPr="009D7A72">
                    <w:rPr>
                      <w:sz w:val="16"/>
                      <w:szCs w:val="16"/>
                    </w:rPr>
                    <w:t xml:space="preserve">Sell: </w:t>
                  </w:r>
                  <w:r w:rsidR="00DE0C0C">
                    <w:rPr>
                      <w:sz w:val="16"/>
                      <w:szCs w:val="16"/>
                    </w:rPr>
                    <w:t>0</w:t>
                  </w:r>
                </w:p>
              </w:tc>
            </w:tr>
          </w:tbl>
          <w:p w14:paraId="724FC07A" w14:textId="77777777" w:rsidR="009F0D12" w:rsidRPr="002F062C" w:rsidRDefault="009F0D12" w:rsidP="009F0D12">
            <w:pPr>
              <w:jc w:val="both"/>
              <w:rPr>
                <w:sz w:val="16"/>
                <w:szCs w:val="16"/>
              </w:rPr>
            </w:pPr>
          </w:p>
          <w:tbl>
            <w:tblPr>
              <w:tblStyle w:val="TableGrid"/>
              <w:tblW w:w="4117" w:type="dxa"/>
              <w:tblLook w:val="04A0" w:firstRow="1" w:lastRow="0" w:firstColumn="1" w:lastColumn="0" w:noHBand="0" w:noVBand="1"/>
            </w:tblPr>
            <w:tblGrid>
              <w:gridCol w:w="1800"/>
              <w:gridCol w:w="900"/>
              <w:gridCol w:w="1417"/>
            </w:tblGrid>
            <w:tr w:rsidR="009F0D12" w:rsidRPr="002F062C"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rsidRPr="002F062C"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6D8B610B" w:rsidR="009F0D12" w:rsidRPr="009D7A72" w:rsidRDefault="002E16BA" w:rsidP="009F0D12">
                  <w:pPr>
                    <w:jc w:val="both"/>
                    <w:rPr>
                      <w:sz w:val="16"/>
                      <w:szCs w:val="16"/>
                      <w:lang w:eastAsia="zh-CN"/>
                    </w:rPr>
                  </w:pPr>
                  <w:r>
                    <w:rPr>
                      <w:rFonts w:hint="eastAsia"/>
                      <w:sz w:val="16"/>
                      <w:szCs w:val="16"/>
                      <w:lang w:eastAsia="zh-CN"/>
                    </w:rPr>
                    <w:t>5STAR</w:t>
                  </w:r>
                </w:p>
              </w:tc>
              <w:tc>
                <w:tcPr>
                  <w:tcW w:w="1417" w:type="dxa"/>
                </w:tcPr>
                <w:p w14:paraId="0BCB7E23" w14:textId="0CAF704E" w:rsidR="009F0D12" w:rsidRPr="009D7A72" w:rsidRDefault="002E16BA" w:rsidP="009F0D12">
                  <w:pPr>
                    <w:jc w:val="both"/>
                    <w:rPr>
                      <w:sz w:val="16"/>
                      <w:szCs w:val="16"/>
                      <w:lang w:eastAsia="zh-CN"/>
                    </w:rPr>
                  </w:pPr>
                  <w:r>
                    <w:rPr>
                      <w:rFonts w:hint="eastAsia"/>
                      <w:sz w:val="16"/>
                      <w:szCs w:val="16"/>
                      <w:lang w:eastAsia="zh-CN"/>
                    </w:rPr>
                    <w:t>$7</w:t>
                  </w:r>
                  <w:r w:rsidR="00617CC4">
                    <w:rPr>
                      <w:rFonts w:hint="eastAsia"/>
                      <w:sz w:val="16"/>
                      <w:szCs w:val="16"/>
                      <w:lang w:eastAsia="zh-CN"/>
                    </w:rPr>
                    <w:t>8</w:t>
                  </w:r>
                </w:p>
              </w:tc>
            </w:tr>
            <w:tr w:rsidR="009F0D12" w:rsidRPr="002F062C"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57C29BC7" w:rsidR="009F0D12" w:rsidRPr="009D7A72" w:rsidRDefault="0073207E" w:rsidP="009F0D12">
                  <w:pPr>
                    <w:jc w:val="both"/>
                    <w:rPr>
                      <w:sz w:val="16"/>
                      <w:szCs w:val="16"/>
                      <w:lang w:eastAsia="zh-CN"/>
                    </w:rPr>
                  </w:pPr>
                  <w:r>
                    <w:rPr>
                      <w:rFonts w:hint="eastAsia"/>
                      <w:sz w:val="16"/>
                      <w:szCs w:val="16"/>
                      <w:lang w:eastAsia="zh-CN"/>
                    </w:rPr>
                    <w:t>5STAR</w:t>
                  </w:r>
                </w:p>
              </w:tc>
              <w:tc>
                <w:tcPr>
                  <w:tcW w:w="1417" w:type="dxa"/>
                </w:tcPr>
                <w:p w14:paraId="70BA49F9" w14:textId="56AB081A" w:rsidR="009F0D12" w:rsidRPr="009D7A72" w:rsidRDefault="0073207E" w:rsidP="009F0D12">
                  <w:pPr>
                    <w:jc w:val="both"/>
                    <w:rPr>
                      <w:sz w:val="16"/>
                      <w:szCs w:val="16"/>
                      <w:lang w:eastAsia="zh-CN"/>
                    </w:rPr>
                  </w:pPr>
                  <w:r>
                    <w:rPr>
                      <w:rFonts w:hint="eastAsia"/>
                      <w:sz w:val="16"/>
                      <w:szCs w:val="16"/>
                      <w:lang w:eastAsia="zh-CN"/>
                    </w:rPr>
                    <w:t>$76</w:t>
                  </w:r>
                </w:p>
              </w:tc>
            </w:tr>
            <w:tr w:rsidR="009F0D12" w:rsidRPr="002F062C"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6923A1B0" w:rsidR="009F0D12" w:rsidRPr="009D7A72" w:rsidRDefault="00DE0C0C" w:rsidP="009F0D12">
                  <w:pPr>
                    <w:jc w:val="both"/>
                    <w:rPr>
                      <w:sz w:val="16"/>
                      <w:szCs w:val="16"/>
                      <w:lang w:eastAsia="zh-CN"/>
                    </w:rPr>
                  </w:pPr>
                  <w:r>
                    <w:rPr>
                      <w:rFonts w:hint="eastAsia"/>
                      <w:sz w:val="16"/>
                      <w:szCs w:val="16"/>
                      <w:lang w:eastAsia="zh-CN"/>
                    </w:rPr>
                    <w:t>3</w:t>
                  </w:r>
                </w:p>
              </w:tc>
              <w:tc>
                <w:tcPr>
                  <w:tcW w:w="1417" w:type="dxa"/>
                </w:tcPr>
                <w:p w14:paraId="22CC1EA0" w14:textId="53A07A98" w:rsidR="009F0D12" w:rsidRPr="009D7A72" w:rsidRDefault="00DE0C0C" w:rsidP="009F0D12">
                  <w:pPr>
                    <w:jc w:val="both"/>
                    <w:rPr>
                      <w:sz w:val="16"/>
                      <w:szCs w:val="16"/>
                      <w:lang w:eastAsia="zh-CN"/>
                    </w:rPr>
                  </w:pPr>
                  <w:r>
                    <w:rPr>
                      <w:rFonts w:hint="eastAsia"/>
                      <w:sz w:val="16"/>
                      <w:szCs w:val="16"/>
                      <w:lang w:eastAsia="zh-CN"/>
                    </w:rPr>
                    <w:t>$95-145</w:t>
                  </w:r>
                </w:p>
              </w:tc>
            </w:tr>
          </w:tbl>
          <w:p w14:paraId="577D83D9" w14:textId="77777777" w:rsidR="002D3CFC" w:rsidRPr="002F062C" w:rsidRDefault="002D3CFC" w:rsidP="00443ED9">
            <w:pPr>
              <w:jc w:val="both"/>
              <w:rPr>
                <w:sz w:val="16"/>
                <w:szCs w:val="16"/>
              </w:rPr>
            </w:pP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7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10720B">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DF0D9C">
        <w:trPr>
          <w:trHeight w:val="2591"/>
        </w:trPr>
        <w:tc>
          <w:tcPr>
            <w:tcW w:w="7488" w:type="dxa"/>
          </w:tcPr>
          <w:p w14:paraId="3F2A33BE" w14:textId="77777777" w:rsidR="004F2EAA" w:rsidRDefault="004F2EAA" w:rsidP="0010720B">
            <w:pPr>
              <w:jc w:val="both"/>
              <w:rPr>
                <w:b/>
                <w:sz w:val="16"/>
                <w:szCs w:val="16"/>
              </w:rPr>
            </w:pPr>
          </w:p>
          <w:tbl>
            <w:tblPr>
              <w:tblStyle w:val="TableGrid"/>
              <w:tblW w:w="7247" w:type="dxa"/>
              <w:tblLook w:val="04A0" w:firstRow="1" w:lastRow="0" w:firstColumn="1" w:lastColumn="0" w:noHBand="0" w:noVBand="1"/>
            </w:tblPr>
            <w:tblGrid>
              <w:gridCol w:w="1577"/>
              <w:gridCol w:w="1134"/>
              <w:gridCol w:w="1134"/>
              <w:gridCol w:w="1276"/>
              <w:gridCol w:w="1086"/>
              <w:gridCol w:w="1040"/>
            </w:tblGrid>
            <w:tr w:rsidR="00617CC4" w14:paraId="03A7F5D8" w14:textId="77777777" w:rsidTr="00617CC4">
              <w:tc>
                <w:tcPr>
                  <w:tcW w:w="1577" w:type="dxa"/>
                  <w:shd w:val="clear" w:color="auto" w:fill="DBE5F1" w:themeFill="accent1" w:themeFillTint="33"/>
                </w:tcPr>
                <w:p w14:paraId="18F981FE" w14:textId="1E4297F6" w:rsidR="00617CC4" w:rsidRDefault="00617CC4" w:rsidP="004F2EAA">
                  <w:pPr>
                    <w:rPr>
                      <w:sz w:val="16"/>
                      <w:szCs w:val="16"/>
                      <w:lang w:eastAsia="zh-CN"/>
                    </w:rPr>
                  </w:pPr>
                  <w:r>
                    <w:rPr>
                      <w:sz w:val="16"/>
                      <w:szCs w:val="16"/>
                    </w:rPr>
                    <w:t>FY201</w:t>
                  </w:r>
                  <w:r>
                    <w:rPr>
                      <w:rFonts w:hint="eastAsia"/>
                      <w:sz w:val="16"/>
                      <w:szCs w:val="16"/>
                      <w:lang w:eastAsia="zh-CN"/>
                    </w:rPr>
                    <w:t>5</w:t>
                  </w:r>
                </w:p>
              </w:tc>
              <w:tc>
                <w:tcPr>
                  <w:tcW w:w="1134" w:type="dxa"/>
                  <w:shd w:val="clear" w:color="auto" w:fill="DBE5F1" w:themeFill="accent1" w:themeFillTint="33"/>
                </w:tcPr>
                <w:p w14:paraId="36FCBD39" w14:textId="4986023D" w:rsidR="00617CC4" w:rsidRDefault="00DF007C" w:rsidP="0097552E">
                  <w:pPr>
                    <w:jc w:val="center"/>
                    <w:rPr>
                      <w:sz w:val="16"/>
                      <w:szCs w:val="16"/>
                      <w:lang w:eastAsia="zh-CN"/>
                    </w:rPr>
                  </w:pPr>
                  <w:r>
                    <w:rPr>
                      <w:sz w:val="16"/>
                      <w:szCs w:val="16"/>
                    </w:rPr>
                    <w:t>EEP</w:t>
                  </w:r>
                </w:p>
              </w:tc>
              <w:tc>
                <w:tcPr>
                  <w:tcW w:w="1134" w:type="dxa"/>
                  <w:shd w:val="clear" w:color="auto" w:fill="DBE5F1" w:themeFill="accent1" w:themeFillTint="33"/>
                </w:tcPr>
                <w:p w14:paraId="3D1A50AD" w14:textId="3510AA37" w:rsidR="00617CC4" w:rsidRDefault="00DF007C" w:rsidP="0097552E">
                  <w:pPr>
                    <w:jc w:val="center"/>
                    <w:rPr>
                      <w:sz w:val="16"/>
                      <w:szCs w:val="16"/>
                      <w:lang w:eastAsia="zh-CN"/>
                    </w:rPr>
                  </w:pPr>
                  <w:r>
                    <w:rPr>
                      <w:rFonts w:hint="eastAsia"/>
                      <w:sz w:val="16"/>
                      <w:szCs w:val="16"/>
                      <w:lang w:eastAsia="zh-CN"/>
                    </w:rPr>
                    <w:t>ETP</w:t>
                  </w:r>
                </w:p>
              </w:tc>
              <w:tc>
                <w:tcPr>
                  <w:tcW w:w="1276" w:type="dxa"/>
                  <w:shd w:val="clear" w:color="auto" w:fill="DBE5F1" w:themeFill="accent1" w:themeFillTint="33"/>
                </w:tcPr>
                <w:p w14:paraId="18F40648" w14:textId="38672E4B" w:rsidR="00617CC4" w:rsidRDefault="00DF007C" w:rsidP="0097552E">
                  <w:pPr>
                    <w:jc w:val="center"/>
                    <w:rPr>
                      <w:sz w:val="16"/>
                      <w:szCs w:val="16"/>
                      <w:lang w:eastAsia="zh-CN"/>
                    </w:rPr>
                  </w:pPr>
                  <w:r>
                    <w:rPr>
                      <w:sz w:val="16"/>
                      <w:szCs w:val="16"/>
                    </w:rPr>
                    <w:t>EPD</w:t>
                  </w:r>
                </w:p>
              </w:tc>
              <w:tc>
                <w:tcPr>
                  <w:tcW w:w="1086" w:type="dxa"/>
                  <w:shd w:val="clear" w:color="auto" w:fill="DBE5F1" w:themeFill="accent1" w:themeFillTint="33"/>
                </w:tcPr>
                <w:p w14:paraId="2A396C67" w14:textId="384FC983" w:rsidR="00617CC4" w:rsidRDefault="00617CC4" w:rsidP="0097552E">
                  <w:pPr>
                    <w:jc w:val="center"/>
                    <w:rPr>
                      <w:sz w:val="16"/>
                      <w:szCs w:val="16"/>
                    </w:rPr>
                  </w:pPr>
                  <w:r>
                    <w:rPr>
                      <w:sz w:val="16"/>
                      <w:szCs w:val="16"/>
                    </w:rPr>
                    <w:t>Industry</w:t>
                  </w:r>
                </w:p>
              </w:tc>
              <w:tc>
                <w:tcPr>
                  <w:tcW w:w="1040" w:type="dxa"/>
                  <w:shd w:val="clear" w:color="auto" w:fill="DBE5F1" w:themeFill="accent1" w:themeFillTint="33"/>
                </w:tcPr>
                <w:p w14:paraId="78007BAA" w14:textId="3A3A1D4D" w:rsidR="00617CC4" w:rsidRDefault="00617CC4" w:rsidP="0097552E">
                  <w:pPr>
                    <w:jc w:val="center"/>
                    <w:rPr>
                      <w:sz w:val="16"/>
                      <w:szCs w:val="16"/>
                      <w:lang w:eastAsia="zh-CN"/>
                    </w:rPr>
                  </w:pPr>
                  <w:r>
                    <w:rPr>
                      <w:sz w:val="16"/>
                      <w:szCs w:val="16"/>
                    </w:rPr>
                    <w:t>MMP</w:t>
                  </w:r>
                </w:p>
              </w:tc>
            </w:tr>
            <w:tr w:rsidR="00DF007C" w14:paraId="5DA42BF7" w14:textId="77777777" w:rsidTr="00DF007C">
              <w:tc>
                <w:tcPr>
                  <w:tcW w:w="1577" w:type="dxa"/>
                </w:tcPr>
                <w:p w14:paraId="5D8F0BAD" w14:textId="77777777" w:rsidR="00DF007C" w:rsidRDefault="00DF007C" w:rsidP="006B0A61">
                  <w:pPr>
                    <w:rPr>
                      <w:sz w:val="16"/>
                      <w:szCs w:val="16"/>
                    </w:rPr>
                  </w:pPr>
                  <w:r>
                    <w:rPr>
                      <w:sz w:val="16"/>
                      <w:szCs w:val="16"/>
                    </w:rPr>
                    <w:t>P/E</w:t>
                  </w:r>
                </w:p>
              </w:tc>
              <w:tc>
                <w:tcPr>
                  <w:tcW w:w="1134" w:type="dxa"/>
                  <w:vAlign w:val="bottom"/>
                </w:tcPr>
                <w:p w14:paraId="53BFCC21" w14:textId="4B763638" w:rsidR="00DF007C" w:rsidRDefault="00DF007C" w:rsidP="00DF007C">
                  <w:pPr>
                    <w:jc w:val="center"/>
                    <w:rPr>
                      <w:sz w:val="16"/>
                      <w:szCs w:val="16"/>
                    </w:rPr>
                  </w:pPr>
                  <w:r w:rsidRPr="00DF007C">
                    <w:rPr>
                      <w:sz w:val="16"/>
                      <w:szCs w:val="16"/>
                    </w:rPr>
                    <w:t>20.17</w:t>
                  </w:r>
                </w:p>
              </w:tc>
              <w:tc>
                <w:tcPr>
                  <w:tcW w:w="1134" w:type="dxa"/>
                  <w:vAlign w:val="bottom"/>
                </w:tcPr>
                <w:p w14:paraId="4F2C1D30" w14:textId="69D2FB8D" w:rsidR="00DF007C" w:rsidRPr="00E76B43" w:rsidRDefault="00DF007C" w:rsidP="00DF007C">
                  <w:pPr>
                    <w:jc w:val="center"/>
                    <w:rPr>
                      <w:sz w:val="16"/>
                      <w:szCs w:val="16"/>
                    </w:rPr>
                  </w:pPr>
                  <w:r w:rsidRPr="00DF007C">
                    <w:rPr>
                      <w:sz w:val="16"/>
                      <w:szCs w:val="16"/>
                    </w:rPr>
                    <w:t>28.86</w:t>
                  </w:r>
                </w:p>
              </w:tc>
              <w:tc>
                <w:tcPr>
                  <w:tcW w:w="1276" w:type="dxa"/>
                  <w:vAlign w:val="bottom"/>
                </w:tcPr>
                <w:p w14:paraId="0006F77E" w14:textId="268D3534" w:rsidR="00DF007C" w:rsidRDefault="00DF007C" w:rsidP="00DF007C">
                  <w:pPr>
                    <w:jc w:val="center"/>
                    <w:rPr>
                      <w:sz w:val="16"/>
                      <w:szCs w:val="16"/>
                    </w:rPr>
                  </w:pPr>
                  <w:r w:rsidRPr="00DF007C">
                    <w:rPr>
                      <w:sz w:val="16"/>
                      <w:szCs w:val="16"/>
                    </w:rPr>
                    <w:t>15.73</w:t>
                  </w:r>
                </w:p>
              </w:tc>
              <w:tc>
                <w:tcPr>
                  <w:tcW w:w="1086" w:type="dxa"/>
                  <w:vAlign w:val="bottom"/>
                </w:tcPr>
                <w:p w14:paraId="1710897B" w14:textId="0DCCF8FA" w:rsidR="00DF007C" w:rsidRDefault="00DF007C" w:rsidP="00DF007C">
                  <w:pPr>
                    <w:jc w:val="center"/>
                    <w:rPr>
                      <w:sz w:val="16"/>
                      <w:szCs w:val="16"/>
                    </w:rPr>
                  </w:pPr>
                  <w:r w:rsidRPr="00DF007C">
                    <w:rPr>
                      <w:sz w:val="16"/>
                      <w:szCs w:val="16"/>
                    </w:rPr>
                    <w:t>16.74</w:t>
                  </w:r>
                </w:p>
              </w:tc>
              <w:tc>
                <w:tcPr>
                  <w:tcW w:w="1040" w:type="dxa"/>
                  <w:vAlign w:val="bottom"/>
                </w:tcPr>
                <w:p w14:paraId="7076EAC1" w14:textId="2085A46C" w:rsidR="00DF007C" w:rsidRDefault="00DF007C" w:rsidP="00DF007C">
                  <w:pPr>
                    <w:jc w:val="center"/>
                    <w:rPr>
                      <w:sz w:val="16"/>
                      <w:szCs w:val="16"/>
                    </w:rPr>
                  </w:pPr>
                  <w:r w:rsidRPr="00DF007C">
                    <w:rPr>
                      <w:sz w:val="16"/>
                      <w:szCs w:val="16"/>
                    </w:rPr>
                    <w:t>17.57</w:t>
                  </w:r>
                </w:p>
              </w:tc>
            </w:tr>
            <w:tr w:rsidR="00DF007C" w14:paraId="3CF28431" w14:textId="77777777" w:rsidTr="00DF007C">
              <w:tc>
                <w:tcPr>
                  <w:tcW w:w="1577" w:type="dxa"/>
                </w:tcPr>
                <w:p w14:paraId="7E3790DF" w14:textId="77777777" w:rsidR="00DF007C" w:rsidRDefault="00DF007C" w:rsidP="006B0A61">
                  <w:pPr>
                    <w:rPr>
                      <w:sz w:val="16"/>
                      <w:szCs w:val="16"/>
                    </w:rPr>
                  </w:pPr>
                  <w:r>
                    <w:rPr>
                      <w:sz w:val="16"/>
                      <w:szCs w:val="16"/>
                    </w:rPr>
                    <w:t>P/B</w:t>
                  </w:r>
                </w:p>
              </w:tc>
              <w:tc>
                <w:tcPr>
                  <w:tcW w:w="1134" w:type="dxa"/>
                  <w:vAlign w:val="bottom"/>
                </w:tcPr>
                <w:p w14:paraId="34BDBBAA" w14:textId="4D00381E" w:rsidR="00DF007C" w:rsidRDefault="00DF007C" w:rsidP="00DF007C">
                  <w:pPr>
                    <w:jc w:val="center"/>
                    <w:rPr>
                      <w:sz w:val="16"/>
                      <w:szCs w:val="16"/>
                    </w:rPr>
                  </w:pPr>
                  <w:r w:rsidRPr="00DF007C">
                    <w:rPr>
                      <w:sz w:val="16"/>
                      <w:szCs w:val="16"/>
                    </w:rPr>
                    <w:t>1.67</w:t>
                  </w:r>
                </w:p>
              </w:tc>
              <w:tc>
                <w:tcPr>
                  <w:tcW w:w="1134" w:type="dxa"/>
                  <w:vAlign w:val="bottom"/>
                </w:tcPr>
                <w:p w14:paraId="4A9707BF" w14:textId="69971981" w:rsidR="00DF007C" w:rsidRPr="00E76B43" w:rsidRDefault="00DF007C" w:rsidP="00DF007C">
                  <w:pPr>
                    <w:jc w:val="center"/>
                    <w:rPr>
                      <w:sz w:val="16"/>
                      <w:szCs w:val="16"/>
                    </w:rPr>
                  </w:pPr>
                  <w:r w:rsidRPr="00DF007C">
                    <w:rPr>
                      <w:sz w:val="16"/>
                      <w:szCs w:val="16"/>
                    </w:rPr>
                    <w:t>0.51</w:t>
                  </w:r>
                </w:p>
              </w:tc>
              <w:tc>
                <w:tcPr>
                  <w:tcW w:w="1276" w:type="dxa"/>
                  <w:vAlign w:val="bottom"/>
                </w:tcPr>
                <w:p w14:paraId="6DD53DF3" w14:textId="5A67CF2E" w:rsidR="00DF007C" w:rsidRDefault="00DF007C" w:rsidP="00DF007C">
                  <w:pPr>
                    <w:jc w:val="center"/>
                    <w:rPr>
                      <w:sz w:val="16"/>
                      <w:szCs w:val="16"/>
                    </w:rPr>
                  </w:pPr>
                  <w:r w:rsidRPr="00DF007C">
                    <w:rPr>
                      <w:sz w:val="16"/>
                      <w:szCs w:val="16"/>
                    </w:rPr>
                    <w:t>2.06</w:t>
                  </w:r>
                </w:p>
              </w:tc>
              <w:tc>
                <w:tcPr>
                  <w:tcW w:w="1086" w:type="dxa"/>
                  <w:vAlign w:val="bottom"/>
                </w:tcPr>
                <w:p w14:paraId="7C8A26C7" w14:textId="7196EBB8" w:rsidR="00DF007C" w:rsidRDefault="00DF007C" w:rsidP="00DF007C">
                  <w:pPr>
                    <w:jc w:val="center"/>
                    <w:rPr>
                      <w:sz w:val="16"/>
                      <w:szCs w:val="16"/>
                    </w:rPr>
                  </w:pPr>
                  <w:r w:rsidRPr="00DF007C">
                    <w:rPr>
                      <w:sz w:val="16"/>
                      <w:szCs w:val="16"/>
                    </w:rPr>
                    <w:t>1.46</w:t>
                  </w:r>
                </w:p>
              </w:tc>
              <w:tc>
                <w:tcPr>
                  <w:tcW w:w="1040" w:type="dxa"/>
                  <w:vAlign w:val="bottom"/>
                </w:tcPr>
                <w:p w14:paraId="5AFEA404" w14:textId="6A2EFB0F" w:rsidR="00DF007C" w:rsidRDefault="00DF007C" w:rsidP="00DF007C">
                  <w:pPr>
                    <w:jc w:val="center"/>
                    <w:rPr>
                      <w:sz w:val="16"/>
                      <w:szCs w:val="16"/>
                    </w:rPr>
                  </w:pPr>
                  <w:r w:rsidRPr="00DF007C">
                    <w:rPr>
                      <w:sz w:val="16"/>
                      <w:szCs w:val="16"/>
                    </w:rPr>
                    <w:t>6.80</w:t>
                  </w:r>
                </w:p>
              </w:tc>
            </w:tr>
            <w:tr w:rsidR="00DF007C" w14:paraId="0617F604" w14:textId="77777777" w:rsidTr="00DF007C">
              <w:tc>
                <w:tcPr>
                  <w:tcW w:w="1577" w:type="dxa"/>
                </w:tcPr>
                <w:p w14:paraId="3EC6238B" w14:textId="77777777" w:rsidR="00DF007C" w:rsidRDefault="00DF007C" w:rsidP="006B0A61">
                  <w:pPr>
                    <w:rPr>
                      <w:sz w:val="16"/>
                      <w:szCs w:val="16"/>
                    </w:rPr>
                  </w:pPr>
                  <w:r>
                    <w:rPr>
                      <w:sz w:val="16"/>
                      <w:szCs w:val="16"/>
                    </w:rPr>
                    <w:t xml:space="preserve">Dividend Yield </w:t>
                  </w:r>
                </w:p>
              </w:tc>
              <w:tc>
                <w:tcPr>
                  <w:tcW w:w="1134" w:type="dxa"/>
                  <w:vAlign w:val="bottom"/>
                </w:tcPr>
                <w:p w14:paraId="524E59DF" w14:textId="03534FD7" w:rsidR="00DF007C" w:rsidRDefault="00DF007C" w:rsidP="00DF007C">
                  <w:pPr>
                    <w:jc w:val="center"/>
                    <w:rPr>
                      <w:sz w:val="16"/>
                      <w:szCs w:val="16"/>
                    </w:rPr>
                  </w:pPr>
                  <w:r w:rsidRPr="00DF007C">
                    <w:rPr>
                      <w:sz w:val="16"/>
                      <w:szCs w:val="16"/>
                    </w:rPr>
                    <w:t>14.60</w:t>
                  </w:r>
                </w:p>
              </w:tc>
              <w:tc>
                <w:tcPr>
                  <w:tcW w:w="1134" w:type="dxa"/>
                  <w:vAlign w:val="bottom"/>
                </w:tcPr>
                <w:p w14:paraId="6C6B84C3" w14:textId="32FBB859" w:rsidR="00DF007C" w:rsidRPr="00E76B43" w:rsidRDefault="00DF007C" w:rsidP="00DF007C">
                  <w:pPr>
                    <w:jc w:val="center"/>
                    <w:rPr>
                      <w:sz w:val="16"/>
                      <w:szCs w:val="16"/>
                    </w:rPr>
                  </w:pPr>
                  <w:r w:rsidRPr="00DF007C">
                    <w:rPr>
                      <w:sz w:val="16"/>
                      <w:szCs w:val="16"/>
                    </w:rPr>
                    <w:t>18.77</w:t>
                  </w:r>
                </w:p>
              </w:tc>
              <w:tc>
                <w:tcPr>
                  <w:tcW w:w="1276" w:type="dxa"/>
                  <w:vAlign w:val="bottom"/>
                </w:tcPr>
                <w:p w14:paraId="22DA99B4" w14:textId="7D3DD123" w:rsidR="00DF007C" w:rsidRDefault="00DF007C" w:rsidP="00DF007C">
                  <w:pPr>
                    <w:jc w:val="center"/>
                    <w:rPr>
                      <w:sz w:val="16"/>
                      <w:szCs w:val="16"/>
                    </w:rPr>
                  </w:pPr>
                  <w:r w:rsidRPr="00DF007C">
                    <w:rPr>
                      <w:sz w:val="16"/>
                      <w:szCs w:val="16"/>
                    </w:rPr>
                    <w:t>7.38</w:t>
                  </w:r>
                </w:p>
              </w:tc>
              <w:tc>
                <w:tcPr>
                  <w:tcW w:w="1086" w:type="dxa"/>
                  <w:vAlign w:val="bottom"/>
                </w:tcPr>
                <w:p w14:paraId="46267742" w14:textId="0B56C517" w:rsidR="00DF007C" w:rsidRDefault="00DF007C" w:rsidP="00DF007C">
                  <w:pPr>
                    <w:jc w:val="center"/>
                    <w:rPr>
                      <w:sz w:val="16"/>
                      <w:szCs w:val="16"/>
                    </w:rPr>
                  </w:pPr>
                  <w:r w:rsidRPr="00DF007C">
                    <w:rPr>
                      <w:sz w:val="16"/>
                      <w:szCs w:val="16"/>
                    </w:rPr>
                    <w:t>13.75</w:t>
                  </w:r>
                </w:p>
              </w:tc>
              <w:tc>
                <w:tcPr>
                  <w:tcW w:w="1040" w:type="dxa"/>
                  <w:vAlign w:val="bottom"/>
                </w:tcPr>
                <w:p w14:paraId="4CB9EC74" w14:textId="486FEBA9" w:rsidR="00DF007C" w:rsidRDefault="00DF007C" w:rsidP="00DF007C">
                  <w:pPr>
                    <w:jc w:val="center"/>
                    <w:rPr>
                      <w:sz w:val="16"/>
                      <w:szCs w:val="16"/>
                    </w:rPr>
                  </w:pPr>
                  <w:r w:rsidRPr="00DF007C">
                    <w:rPr>
                      <w:sz w:val="16"/>
                      <w:szCs w:val="16"/>
                    </w:rPr>
                    <w:t>4.99</w:t>
                  </w:r>
                </w:p>
              </w:tc>
            </w:tr>
            <w:tr w:rsidR="00DF007C" w14:paraId="4505851E" w14:textId="77777777" w:rsidTr="00DF007C">
              <w:tc>
                <w:tcPr>
                  <w:tcW w:w="1577" w:type="dxa"/>
                </w:tcPr>
                <w:p w14:paraId="6045AE39" w14:textId="77777777" w:rsidR="00DF007C" w:rsidRDefault="00DF007C" w:rsidP="006B0A61">
                  <w:pPr>
                    <w:rPr>
                      <w:sz w:val="16"/>
                      <w:szCs w:val="16"/>
                    </w:rPr>
                  </w:pPr>
                  <w:r>
                    <w:rPr>
                      <w:sz w:val="16"/>
                      <w:szCs w:val="16"/>
                    </w:rPr>
                    <w:t xml:space="preserve">PEG Ratio </w:t>
                  </w:r>
                </w:p>
              </w:tc>
              <w:tc>
                <w:tcPr>
                  <w:tcW w:w="1134" w:type="dxa"/>
                  <w:vAlign w:val="bottom"/>
                </w:tcPr>
                <w:p w14:paraId="6C39B871" w14:textId="792E7DE3" w:rsidR="00DF007C" w:rsidRDefault="00DF007C" w:rsidP="00DF007C">
                  <w:pPr>
                    <w:jc w:val="center"/>
                    <w:rPr>
                      <w:sz w:val="16"/>
                      <w:szCs w:val="16"/>
                    </w:rPr>
                  </w:pPr>
                  <w:r w:rsidRPr="00DF007C">
                    <w:rPr>
                      <w:sz w:val="16"/>
                      <w:szCs w:val="16"/>
                    </w:rPr>
                    <w:t>0.51</w:t>
                  </w:r>
                </w:p>
              </w:tc>
              <w:tc>
                <w:tcPr>
                  <w:tcW w:w="1134" w:type="dxa"/>
                  <w:vAlign w:val="bottom"/>
                </w:tcPr>
                <w:p w14:paraId="3B0D2CEB" w14:textId="2EEFBE37" w:rsidR="00DF007C" w:rsidRPr="00E76B43" w:rsidRDefault="00DF007C" w:rsidP="00DF007C">
                  <w:pPr>
                    <w:jc w:val="center"/>
                    <w:rPr>
                      <w:sz w:val="16"/>
                      <w:szCs w:val="16"/>
                    </w:rPr>
                  </w:pPr>
                  <w:r w:rsidRPr="00DF007C">
                    <w:rPr>
                      <w:sz w:val="16"/>
                      <w:szCs w:val="16"/>
                    </w:rPr>
                    <w:t>2.08</w:t>
                  </w:r>
                </w:p>
              </w:tc>
              <w:tc>
                <w:tcPr>
                  <w:tcW w:w="1276" w:type="dxa"/>
                  <w:vAlign w:val="bottom"/>
                </w:tcPr>
                <w:p w14:paraId="7D65AAED" w14:textId="2B101D83" w:rsidR="00DF007C" w:rsidRDefault="00DF007C" w:rsidP="00DF007C">
                  <w:pPr>
                    <w:jc w:val="center"/>
                    <w:rPr>
                      <w:sz w:val="16"/>
                      <w:szCs w:val="16"/>
                    </w:rPr>
                  </w:pPr>
                  <w:r w:rsidRPr="00DF007C">
                    <w:rPr>
                      <w:sz w:val="16"/>
                      <w:szCs w:val="16"/>
                    </w:rPr>
                    <w:t>2.80</w:t>
                  </w:r>
                </w:p>
              </w:tc>
              <w:tc>
                <w:tcPr>
                  <w:tcW w:w="1086" w:type="dxa"/>
                  <w:vAlign w:val="bottom"/>
                </w:tcPr>
                <w:p w14:paraId="09628130" w14:textId="1C61CDFE" w:rsidR="00DF007C" w:rsidRDefault="00DF007C" w:rsidP="00DF007C">
                  <w:pPr>
                    <w:jc w:val="center"/>
                    <w:rPr>
                      <w:sz w:val="16"/>
                      <w:szCs w:val="16"/>
                    </w:rPr>
                  </w:pPr>
                  <w:r w:rsidRPr="00DF007C">
                    <w:rPr>
                      <w:sz w:val="16"/>
                      <w:szCs w:val="16"/>
                    </w:rPr>
                    <w:t>2.26</w:t>
                  </w:r>
                </w:p>
              </w:tc>
              <w:tc>
                <w:tcPr>
                  <w:tcW w:w="1040" w:type="dxa"/>
                  <w:vAlign w:val="bottom"/>
                </w:tcPr>
                <w:p w14:paraId="2302C4FD" w14:textId="7A7ACC32" w:rsidR="00DF007C" w:rsidRDefault="00DF007C" w:rsidP="00DF007C">
                  <w:pPr>
                    <w:jc w:val="center"/>
                    <w:rPr>
                      <w:sz w:val="16"/>
                      <w:szCs w:val="16"/>
                    </w:rPr>
                  </w:pPr>
                  <w:r w:rsidRPr="00DF007C">
                    <w:rPr>
                      <w:sz w:val="16"/>
                      <w:szCs w:val="16"/>
                    </w:rPr>
                    <w:t>2.65</w:t>
                  </w:r>
                </w:p>
              </w:tc>
            </w:tr>
            <w:tr w:rsidR="00DF007C" w14:paraId="06FF3325" w14:textId="77777777" w:rsidTr="00DF007C">
              <w:tc>
                <w:tcPr>
                  <w:tcW w:w="1577" w:type="dxa"/>
                </w:tcPr>
                <w:p w14:paraId="7FD0AD7B" w14:textId="77777777" w:rsidR="00DF007C" w:rsidRDefault="00DF007C" w:rsidP="006B0A61">
                  <w:pPr>
                    <w:rPr>
                      <w:sz w:val="16"/>
                      <w:szCs w:val="16"/>
                    </w:rPr>
                  </w:pPr>
                  <w:r>
                    <w:rPr>
                      <w:sz w:val="16"/>
                      <w:szCs w:val="16"/>
                    </w:rPr>
                    <w:t>EPS</w:t>
                  </w:r>
                </w:p>
              </w:tc>
              <w:tc>
                <w:tcPr>
                  <w:tcW w:w="1134" w:type="dxa"/>
                  <w:vAlign w:val="bottom"/>
                </w:tcPr>
                <w:p w14:paraId="039C42DF" w14:textId="03F911E2" w:rsidR="00DF007C" w:rsidRDefault="00DF007C" w:rsidP="00DF007C">
                  <w:pPr>
                    <w:jc w:val="center"/>
                    <w:rPr>
                      <w:sz w:val="16"/>
                      <w:szCs w:val="16"/>
                    </w:rPr>
                  </w:pPr>
                  <w:r w:rsidRPr="00DF007C">
                    <w:rPr>
                      <w:sz w:val="16"/>
                      <w:szCs w:val="16"/>
                    </w:rPr>
                    <w:t>0.78</w:t>
                  </w:r>
                </w:p>
              </w:tc>
              <w:tc>
                <w:tcPr>
                  <w:tcW w:w="1134" w:type="dxa"/>
                  <w:vAlign w:val="bottom"/>
                </w:tcPr>
                <w:p w14:paraId="082CAA92" w14:textId="10DD85E7" w:rsidR="00DF007C" w:rsidRPr="00E76B43" w:rsidRDefault="00DF007C" w:rsidP="00DF007C">
                  <w:pPr>
                    <w:jc w:val="center"/>
                    <w:rPr>
                      <w:sz w:val="16"/>
                      <w:szCs w:val="16"/>
                    </w:rPr>
                  </w:pPr>
                  <w:r w:rsidRPr="00DF007C">
                    <w:rPr>
                      <w:sz w:val="16"/>
                      <w:szCs w:val="16"/>
                    </w:rPr>
                    <w:t>0.83</w:t>
                  </w:r>
                </w:p>
              </w:tc>
              <w:tc>
                <w:tcPr>
                  <w:tcW w:w="1276" w:type="dxa"/>
                  <w:vAlign w:val="bottom"/>
                </w:tcPr>
                <w:p w14:paraId="1CBE09CE" w14:textId="0528F19A" w:rsidR="00DF007C" w:rsidRDefault="00DF007C" w:rsidP="00DF007C">
                  <w:pPr>
                    <w:jc w:val="center"/>
                    <w:rPr>
                      <w:sz w:val="16"/>
                      <w:szCs w:val="16"/>
                    </w:rPr>
                  </w:pPr>
                  <w:r w:rsidRPr="00DF007C">
                    <w:rPr>
                      <w:sz w:val="16"/>
                      <w:szCs w:val="16"/>
                    </w:rPr>
                    <w:t>1.34</w:t>
                  </w:r>
                </w:p>
              </w:tc>
              <w:tc>
                <w:tcPr>
                  <w:tcW w:w="1086" w:type="dxa"/>
                  <w:vAlign w:val="bottom"/>
                </w:tcPr>
                <w:p w14:paraId="0783FD74" w14:textId="5AD87A81" w:rsidR="00DF007C" w:rsidRDefault="00DF007C" w:rsidP="00DF007C">
                  <w:pPr>
                    <w:jc w:val="center"/>
                    <w:rPr>
                      <w:sz w:val="16"/>
                      <w:szCs w:val="16"/>
                    </w:rPr>
                  </w:pPr>
                  <w:r w:rsidRPr="00DF007C">
                    <w:rPr>
                      <w:sz w:val="16"/>
                      <w:szCs w:val="16"/>
                    </w:rPr>
                    <w:t>1.47</w:t>
                  </w:r>
                </w:p>
              </w:tc>
              <w:tc>
                <w:tcPr>
                  <w:tcW w:w="1040" w:type="dxa"/>
                  <w:vAlign w:val="bottom"/>
                </w:tcPr>
                <w:p w14:paraId="6D9EF64C" w14:textId="684BEFD8" w:rsidR="00DF007C" w:rsidRDefault="00DF007C" w:rsidP="00DF007C">
                  <w:pPr>
                    <w:jc w:val="center"/>
                    <w:rPr>
                      <w:sz w:val="16"/>
                      <w:szCs w:val="16"/>
                    </w:rPr>
                  </w:pPr>
                  <w:r w:rsidRPr="00DF007C">
                    <w:rPr>
                      <w:sz w:val="16"/>
                      <w:szCs w:val="16"/>
                    </w:rPr>
                    <w:t>3.38</w:t>
                  </w:r>
                </w:p>
              </w:tc>
            </w:tr>
            <w:tr w:rsidR="00DF007C" w14:paraId="777301C1" w14:textId="77777777" w:rsidTr="00DF007C">
              <w:tc>
                <w:tcPr>
                  <w:tcW w:w="1577" w:type="dxa"/>
                </w:tcPr>
                <w:p w14:paraId="0759BE0E" w14:textId="5BF8D697" w:rsidR="00DF007C" w:rsidRDefault="00DF007C" w:rsidP="006B0A61">
                  <w:pPr>
                    <w:rPr>
                      <w:sz w:val="16"/>
                      <w:szCs w:val="16"/>
                    </w:rPr>
                  </w:pPr>
                  <w:r>
                    <w:rPr>
                      <w:sz w:val="16"/>
                      <w:szCs w:val="16"/>
                    </w:rPr>
                    <w:t xml:space="preserve">Rev Growth (1 </w:t>
                  </w:r>
                  <w:proofErr w:type="spellStart"/>
                  <w:r>
                    <w:rPr>
                      <w:sz w:val="16"/>
                      <w:szCs w:val="16"/>
                    </w:rPr>
                    <w:t>Yr</w:t>
                  </w:r>
                  <w:proofErr w:type="spellEnd"/>
                  <w:r>
                    <w:rPr>
                      <w:sz w:val="16"/>
                      <w:szCs w:val="16"/>
                    </w:rPr>
                    <w:t>)</w:t>
                  </w:r>
                </w:p>
              </w:tc>
              <w:tc>
                <w:tcPr>
                  <w:tcW w:w="1134" w:type="dxa"/>
                  <w:vAlign w:val="bottom"/>
                </w:tcPr>
                <w:p w14:paraId="18DCC7A0" w14:textId="7A70C79C" w:rsidR="00DF007C" w:rsidRDefault="00DF007C" w:rsidP="00DF007C">
                  <w:pPr>
                    <w:jc w:val="center"/>
                    <w:rPr>
                      <w:sz w:val="16"/>
                      <w:szCs w:val="16"/>
                    </w:rPr>
                  </w:pPr>
                  <w:r w:rsidRPr="00DF007C">
                    <w:rPr>
                      <w:sz w:val="16"/>
                      <w:szCs w:val="16"/>
                    </w:rPr>
                    <w:t>11.53</w:t>
                  </w:r>
                </w:p>
              </w:tc>
              <w:tc>
                <w:tcPr>
                  <w:tcW w:w="1134" w:type="dxa"/>
                  <w:vAlign w:val="bottom"/>
                </w:tcPr>
                <w:p w14:paraId="5272A0AD" w14:textId="3C47A042" w:rsidR="00DF007C" w:rsidRPr="00E76B43" w:rsidRDefault="00DF007C" w:rsidP="00DF007C">
                  <w:pPr>
                    <w:jc w:val="center"/>
                    <w:rPr>
                      <w:sz w:val="16"/>
                      <w:szCs w:val="16"/>
                    </w:rPr>
                  </w:pPr>
                  <w:r w:rsidRPr="00DF007C">
                    <w:rPr>
                      <w:sz w:val="16"/>
                      <w:szCs w:val="16"/>
                    </w:rPr>
                    <w:t>10.40</w:t>
                  </w:r>
                </w:p>
              </w:tc>
              <w:tc>
                <w:tcPr>
                  <w:tcW w:w="1276" w:type="dxa"/>
                  <w:vAlign w:val="bottom"/>
                </w:tcPr>
                <w:p w14:paraId="68E302DD" w14:textId="22DBD3DA" w:rsidR="00DF007C" w:rsidRDefault="00DF007C" w:rsidP="00DF007C">
                  <w:pPr>
                    <w:jc w:val="center"/>
                    <w:rPr>
                      <w:sz w:val="16"/>
                      <w:szCs w:val="16"/>
                    </w:rPr>
                  </w:pPr>
                  <w:r w:rsidRPr="00DF007C">
                    <w:rPr>
                      <w:sz w:val="16"/>
                      <w:szCs w:val="16"/>
                    </w:rPr>
                    <w:t>(43.63)</w:t>
                  </w:r>
                </w:p>
              </w:tc>
              <w:tc>
                <w:tcPr>
                  <w:tcW w:w="1086" w:type="dxa"/>
                  <w:vAlign w:val="bottom"/>
                </w:tcPr>
                <w:p w14:paraId="42281ACF" w14:textId="5092FF83" w:rsidR="00DF007C" w:rsidRDefault="00DF007C" w:rsidP="00DF007C">
                  <w:pPr>
                    <w:jc w:val="center"/>
                    <w:rPr>
                      <w:sz w:val="16"/>
                      <w:szCs w:val="16"/>
                    </w:rPr>
                  </w:pPr>
                  <w:r w:rsidRPr="00DF007C">
                    <w:rPr>
                      <w:sz w:val="16"/>
                      <w:szCs w:val="16"/>
                    </w:rPr>
                    <w:t>5.95</w:t>
                  </w:r>
                </w:p>
              </w:tc>
              <w:tc>
                <w:tcPr>
                  <w:tcW w:w="1040" w:type="dxa"/>
                  <w:vAlign w:val="bottom"/>
                </w:tcPr>
                <w:p w14:paraId="17995264" w14:textId="32612DB7" w:rsidR="00DF007C" w:rsidRDefault="00DF007C" w:rsidP="00DF007C">
                  <w:pPr>
                    <w:jc w:val="center"/>
                    <w:rPr>
                      <w:sz w:val="16"/>
                      <w:szCs w:val="16"/>
                    </w:rPr>
                  </w:pPr>
                  <w:r w:rsidRPr="00DF007C">
                    <w:rPr>
                      <w:sz w:val="16"/>
                      <w:szCs w:val="16"/>
                    </w:rPr>
                    <w:t>(5.00)</w:t>
                  </w:r>
                </w:p>
              </w:tc>
            </w:tr>
            <w:tr w:rsidR="00DF007C" w14:paraId="616F0554" w14:textId="77777777" w:rsidTr="00DF007C">
              <w:tc>
                <w:tcPr>
                  <w:tcW w:w="1577" w:type="dxa"/>
                </w:tcPr>
                <w:p w14:paraId="12174486" w14:textId="19744DCD" w:rsidR="00DF007C" w:rsidRDefault="00DF007C" w:rsidP="006B0A61">
                  <w:pPr>
                    <w:rPr>
                      <w:sz w:val="16"/>
                      <w:szCs w:val="16"/>
                    </w:rPr>
                  </w:pPr>
                  <w:r>
                    <w:rPr>
                      <w:sz w:val="16"/>
                      <w:szCs w:val="16"/>
                    </w:rPr>
                    <w:t xml:space="preserve">NI Growth (1 </w:t>
                  </w:r>
                  <w:proofErr w:type="spellStart"/>
                  <w:r>
                    <w:rPr>
                      <w:sz w:val="16"/>
                      <w:szCs w:val="16"/>
                    </w:rPr>
                    <w:t>Yrs</w:t>
                  </w:r>
                  <w:proofErr w:type="spellEnd"/>
                  <w:r>
                    <w:rPr>
                      <w:sz w:val="16"/>
                      <w:szCs w:val="16"/>
                    </w:rPr>
                    <w:t xml:space="preserve">) </w:t>
                  </w:r>
                </w:p>
              </w:tc>
              <w:tc>
                <w:tcPr>
                  <w:tcW w:w="1134" w:type="dxa"/>
                  <w:vAlign w:val="bottom"/>
                </w:tcPr>
                <w:p w14:paraId="21AC8274" w14:textId="51BB08EF" w:rsidR="00DF007C" w:rsidRDefault="00DF007C" w:rsidP="00DF007C">
                  <w:pPr>
                    <w:jc w:val="center"/>
                    <w:rPr>
                      <w:sz w:val="16"/>
                      <w:szCs w:val="16"/>
                    </w:rPr>
                  </w:pPr>
                  <w:r w:rsidRPr="00DF007C">
                    <w:rPr>
                      <w:sz w:val="16"/>
                      <w:szCs w:val="16"/>
                    </w:rPr>
                    <w:t>561.17</w:t>
                  </w:r>
                </w:p>
              </w:tc>
              <w:tc>
                <w:tcPr>
                  <w:tcW w:w="1134" w:type="dxa"/>
                  <w:vAlign w:val="bottom"/>
                </w:tcPr>
                <w:p w14:paraId="78AC1DFB" w14:textId="71C807C6" w:rsidR="00DF007C" w:rsidRPr="00E76B43" w:rsidRDefault="00DF007C" w:rsidP="00DF007C">
                  <w:pPr>
                    <w:jc w:val="center"/>
                    <w:rPr>
                      <w:sz w:val="16"/>
                      <w:szCs w:val="16"/>
                    </w:rPr>
                  </w:pPr>
                  <w:r w:rsidRPr="00DF007C">
                    <w:rPr>
                      <w:sz w:val="16"/>
                      <w:szCs w:val="16"/>
                    </w:rPr>
                    <w:t>192.98</w:t>
                  </w:r>
                </w:p>
              </w:tc>
              <w:tc>
                <w:tcPr>
                  <w:tcW w:w="1276" w:type="dxa"/>
                  <w:vAlign w:val="bottom"/>
                </w:tcPr>
                <w:p w14:paraId="72155156" w14:textId="21DF39C2" w:rsidR="00DF007C" w:rsidRDefault="00DF007C" w:rsidP="00DF007C">
                  <w:pPr>
                    <w:jc w:val="center"/>
                    <w:rPr>
                      <w:sz w:val="16"/>
                      <w:szCs w:val="16"/>
                    </w:rPr>
                  </w:pPr>
                  <w:r w:rsidRPr="00DF007C">
                    <w:rPr>
                      <w:sz w:val="16"/>
                      <w:szCs w:val="16"/>
                    </w:rPr>
                    <w:t>(9.55)</w:t>
                  </w:r>
                </w:p>
              </w:tc>
              <w:tc>
                <w:tcPr>
                  <w:tcW w:w="1086" w:type="dxa"/>
                  <w:vAlign w:val="bottom"/>
                </w:tcPr>
                <w:p w14:paraId="098D397E" w14:textId="19CF2A7D" w:rsidR="00DF007C" w:rsidRDefault="00DF007C" w:rsidP="00DF007C">
                  <w:pPr>
                    <w:jc w:val="center"/>
                    <w:rPr>
                      <w:sz w:val="16"/>
                      <w:szCs w:val="16"/>
                    </w:rPr>
                  </w:pPr>
                  <w:r w:rsidRPr="00DF007C">
                    <w:rPr>
                      <w:sz w:val="16"/>
                      <w:szCs w:val="16"/>
                    </w:rPr>
                    <w:t>140.10</w:t>
                  </w:r>
                </w:p>
              </w:tc>
              <w:tc>
                <w:tcPr>
                  <w:tcW w:w="1040" w:type="dxa"/>
                  <w:vAlign w:val="bottom"/>
                </w:tcPr>
                <w:p w14:paraId="09E34E39" w14:textId="3B9DAA25" w:rsidR="00DF007C" w:rsidRDefault="00DF007C" w:rsidP="00DF007C">
                  <w:pPr>
                    <w:jc w:val="center"/>
                    <w:rPr>
                      <w:sz w:val="16"/>
                      <w:szCs w:val="16"/>
                    </w:rPr>
                  </w:pPr>
                  <w:r w:rsidRPr="00DF007C">
                    <w:rPr>
                      <w:sz w:val="16"/>
                      <w:szCs w:val="16"/>
                    </w:rPr>
                    <w:t>(2.43)</w:t>
                  </w:r>
                </w:p>
              </w:tc>
            </w:tr>
            <w:tr w:rsidR="00DF007C" w14:paraId="339AECB6" w14:textId="77777777" w:rsidTr="00DF007C">
              <w:tc>
                <w:tcPr>
                  <w:tcW w:w="1577" w:type="dxa"/>
                </w:tcPr>
                <w:p w14:paraId="7B2C49BE" w14:textId="77777777" w:rsidR="00DF007C" w:rsidRDefault="00DF007C" w:rsidP="006B0A61">
                  <w:pPr>
                    <w:rPr>
                      <w:sz w:val="16"/>
                      <w:szCs w:val="16"/>
                    </w:rPr>
                  </w:pPr>
                  <w:r>
                    <w:rPr>
                      <w:sz w:val="16"/>
                      <w:szCs w:val="16"/>
                    </w:rPr>
                    <w:t xml:space="preserve">Operating Margin </w:t>
                  </w:r>
                </w:p>
              </w:tc>
              <w:tc>
                <w:tcPr>
                  <w:tcW w:w="1134" w:type="dxa"/>
                  <w:vAlign w:val="bottom"/>
                </w:tcPr>
                <w:p w14:paraId="6D16033E" w14:textId="33D7CBF2" w:rsidR="00DF007C" w:rsidRDefault="00DF007C" w:rsidP="00DF007C">
                  <w:pPr>
                    <w:jc w:val="center"/>
                    <w:rPr>
                      <w:sz w:val="16"/>
                      <w:szCs w:val="16"/>
                    </w:rPr>
                  </w:pPr>
                  <w:r w:rsidRPr="00DF007C">
                    <w:rPr>
                      <w:sz w:val="16"/>
                      <w:szCs w:val="16"/>
                    </w:rPr>
                    <w:t>20.10</w:t>
                  </w:r>
                </w:p>
              </w:tc>
              <w:tc>
                <w:tcPr>
                  <w:tcW w:w="1134" w:type="dxa"/>
                  <w:vAlign w:val="bottom"/>
                </w:tcPr>
                <w:p w14:paraId="73AEB1D4" w14:textId="3F9155D0" w:rsidR="00DF007C" w:rsidRPr="00E76B43" w:rsidRDefault="00DF007C" w:rsidP="00DF007C">
                  <w:pPr>
                    <w:jc w:val="center"/>
                    <w:rPr>
                      <w:sz w:val="16"/>
                      <w:szCs w:val="16"/>
                    </w:rPr>
                  </w:pPr>
                  <w:r w:rsidRPr="00DF007C">
                    <w:rPr>
                      <w:sz w:val="16"/>
                      <w:szCs w:val="16"/>
                    </w:rPr>
                    <w:t>8.73</w:t>
                  </w:r>
                </w:p>
              </w:tc>
              <w:tc>
                <w:tcPr>
                  <w:tcW w:w="1276" w:type="dxa"/>
                  <w:vAlign w:val="bottom"/>
                </w:tcPr>
                <w:p w14:paraId="0087603B" w14:textId="22981063" w:rsidR="00DF007C" w:rsidRDefault="00DF007C" w:rsidP="00DF007C">
                  <w:pPr>
                    <w:jc w:val="center"/>
                    <w:rPr>
                      <w:sz w:val="16"/>
                      <w:szCs w:val="16"/>
                    </w:rPr>
                  </w:pPr>
                  <w:r w:rsidRPr="00DF007C">
                    <w:rPr>
                      <w:sz w:val="16"/>
                      <w:szCs w:val="16"/>
                    </w:rPr>
                    <w:t>15.18</w:t>
                  </w:r>
                </w:p>
              </w:tc>
              <w:tc>
                <w:tcPr>
                  <w:tcW w:w="1086" w:type="dxa"/>
                  <w:vAlign w:val="bottom"/>
                </w:tcPr>
                <w:p w14:paraId="218F33F9" w14:textId="68051195" w:rsidR="00DF007C" w:rsidRDefault="00DF007C" w:rsidP="00DF007C">
                  <w:pPr>
                    <w:jc w:val="center"/>
                    <w:rPr>
                      <w:sz w:val="16"/>
                      <w:szCs w:val="16"/>
                    </w:rPr>
                  </w:pPr>
                  <w:r w:rsidRPr="00DF007C">
                    <w:rPr>
                      <w:sz w:val="16"/>
                      <w:szCs w:val="16"/>
                    </w:rPr>
                    <w:t>16.97</w:t>
                  </w:r>
                </w:p>
              </w:tc>
              <w:tc>
                <w:tcPr>
                  <w:tcW w:w="1040" w:type="dxa"/>
                  <w:vAlign w:val="bottom"/>
                </w:tcPr>
                <w:p w14:paraId="0DC9A589" w14:textId="4B59494C" w:rsidR="00DF007C" w:rsidRDefault="00DF007C" w:rsidP="00DF007C">
                  <w:pPr>
                    <w:jc w:val="center"/>
                    <w:rPr>
                      <w:sz w:val="16"/>
                      <w:szCs w:val="16"/>
                    </w:rPr>
                  </w:pPr>
                  <w:r w:rsidRPr="00DF007C">
                    <w:rPr>
                      <w:sz w:val="16"/>
                      <w:szCs w:val="16"/>
                    </w:rPr>
                    <w:t>42.99</w:t>
                  </w:r>
                </w:p>
              </w:tc>
            </w:tr>
            <w:tr w:rsidR="00DF007C" w14:paraId="064AA80D" w14:textId="77777777" w:rsidTr="00DF007C">
              <w:tc>
                <w:tcPr>
                  <w:tcW w:w="1577" w:type="dxa"/>
                </w:tcPr>
                <w:p w14:paraId="5977E240" w14:textId="77777777" w:rsidR="00DF007C" w:rsidRDefault="00DF007C" w:rsidP="006B0A61">
                  <w:pPr>
                    <w:rPr>
                      <w:sz w:val="16"/>
                      <w:szCs w:val="16"/>
                    </w:rPr>
                  </w:pPr>
                  <w:r>
                    <w:rPr>
                      <w:sz w:val="16"/>
                      <w:szCs w:val="16"/>
                    </w:rPr>
                    <w:t xml:space="preserve">Debt / Equity </w:t>
                  </w:r>
                </w:p>
              </w:tc>
              <w:tc>
                <w:tcPr>
                  <w:tcW w:w="1134" w:type="dxa"/>
                  <w:vAlign w:val="bottom"/>
                </w:tcPr>
                <w:p w14:paraId="672F8CCF" w14:textId="15391BA1" w:rsidR="00DF007C" w:rsidRDefault="00DF007C" w:rsidP="00DF007C">
                  <w:pPr>
                    <w:jc w:val="center"/>
                    <w:rPr>
                      <w:sz w:val="16"/>
                      <w:szCs w:val="16"/>
                    </w:rPr>
                  </w:pPr>
                  <w:r w:rsidRPr="00DF007C">
                    <w:rPr>
                      <w:sz w:val="16"/>
                      <w:szCs w:val="16"/>
                    </w:rPr>
                    <w:t>79.14</w:t>
                  </w:r>
                </w:p>
              </w:tc>
              <w:tc>
                <w:tcPr>
                  <w:tcW w:w="1134" w:type="dxa"/>
                  <w:vAlign w:val="bottom"/>
                </w:tcPr>
                <w:p w14:paraId="7B220373" w14:textId="65340036" w:rsidR="00DF007C" w:rsidRPr="00E76B43" w:rsidRDefault="00DF007C" w:rsidP="00DF007C">
                  <w:pPr>
                    <w:jc w:val="center"/>
                    <w:rPr>
                      <w:sz w:val="16"/>
                      <w:szCs w:val="16"/>
                    </w:rPr>
                  </w:pPr>
                  <w:r w:rsidRPr="00DF007C">
                    <w:rPr>
                      <w:sz w:val="16"/>
                      <w:szCs w:val="16"/>
                    </w:rPr>
                    <w:t>101.43</w:t>
                  </w:r>
                </w:p>
              </w:tc>
              <w:tc>
                <w:tcPr>
                  <w:tcW w:w="1276" w:type="dxa"/>
                  <w:vAlign w:val="bottom"/>
                </w:tcPr>
                <w:p w14:paraId="2639E00E" w14:textId="6CCEA810" w:rsidR="00DF007C" w:rsidRDefault="00DF007C" w:rsidP="00DF007C">
                  <w:pPr>
                    <w:jc w:val="center"/>
                    <w:rPr>
                      <w:sz w:val="16"/>
                      <w:szCs w:val="16"/>
                    </w:rPr>
                  </w:pPr>
                  <w:r w:rsidRPr="00DF007C">
                    <w:rPr>
                      <w:sz w:val="16"/>
                      <w:szCs w:val="16"/>
                    </w:rPr>
                    <w:t>110.35</w:t>
                  </w:r>
                </w:p>
              </w:tc>
              <w:tc>
                <w:tcPr>
                  <w:tcW w:w="1086" w:type="dxa"/>
                  <w:vAlign w:val="bottom"/>
                </w:tcPr>
                <w:p w14:paraId="02951FB8" w14:textId="0E953DEA" w:rsidR="00DF007C" w:rsidRDefault="00DF007C" w:rsidP="00DF007C">
                  <w:pPr>
                    <w:jc w:val="center"/>
                    <w:rPr>
                      <w:sz w:val="16"/>
                      <w:szCs w:val="16"/>
                    </w:rPr>
                  </w:pPr>
                  <w:r w:rsidRPr="00DF007C">
                    <w:rPr>
                      <w:sz w:val="16"/>
                      <w:szCs w:val="16"/>
                    </w:rPr>
                    <w:t>104.99</w:t>
                  </w:r>
                </w:p>
              </w:tc>
              <w:tc>
                <w:tcPr>
                  <w:tcW w:w="1040" w:type="dxa"/>
                  <w:vAlign w:val="bottom"/>
                </w:tcPr>
                <w:p w14:paraId="2DEE76F7" w14:textId="36E15E8E" w:rsidR="00DF007C" w:rsidRDefault="00DF007C" w:rsidP="00DF007C">
                  <w:pPr>
                    <w:jc w:val="center"/>
                    <w:rPr>
                      <w:sz w:val="16"/>
                      <w:szCs w:val="16"/>
                    </w:rPr>
                  </w:pPr>
                  <w:r w:rsidRPr="00DF007C">
                    <w:rPr>
                      <w:sz w:val="16"/>
                      <w:szCs w:val="16"/>
                    </w:rPr>
                    <w:t>171.90</w:t>
                  </w:r>
                </w:p>
              </w:tc>
            </w:tr>
            <w:tr w:rsidR="00DF007C" w14:paraId="36B329ED" w14:textId="77777777" w:rsidTr="00DF007C">
              <w:tc>
                <w:tcPr>
                  <w:tcW w:w="1577" w:type="dxa"/>
                </w:tcPr>
                <w:p w14:paraId="791DB0D1" w14:textId="77777777" w:rsidR="00DF007C" w:rsidRDefault="00DF007C" w:rsidP="006B0A61">
                  <w:pPr>
                    <w:rPr>
                      <w:sz w:val="16"/>
                      <w:szCs w:val="16"/>
                    </w:rPr>
                  </w:pPr>
                  <w:r>
                    <w:rPr>
                      <w:sz w:val="16"/>
                      <w:szCs w:val="16"/>
                    </w:rPr>
                    <w:t>Market Cap</w:t>
                  </w:r>
                </w:p>
              </w:tc>
              <w:tc>
                <w:tcPr>
                  <w:tcW w:w="1134" w:type="dxa"/>
                  <w:vAlign w:val="bottom"/>
                </w:tcPr>
                <w:p w14:paraId="031547AD" w14:textId="22E190D9" w:rsidR="00DF007C" w:rsidRDefault="00DF007C" w:rsidP="00DF007C">
                  <w:pPr>
                    <w:jc w:val="center"/>
                    <w:rPr>
                      <w:sz w:val="16"/>
                      <w:szCs w:val="16"/>
                    </w:rPr>
                  </w:pPr>
                  <w:r w:rsidRPr="00DF007C">
                    <w:rPr>
                      <w:sz w:val="16"/>
                      <w:szCs w:val="16"/>
                    </w:rPr>
                    <w:t>5,294.29</w:t>
                  </w:r>
                </w:p>
              </w:tc>
              <w:tc>
                <w:tcPr>
                  <w:tcW w:w="1134" w:type="dxa"/>
                  <w:vAlign w:val="bottom"/>
                </w:tcPr>
                <w:p w14:paraId="78A49B4F" w14:textId="0FE61AD5" w:rsidR="00DF007C" w:rsidRPr="00E76B43" w:rsidRDefault="00DF007C" w:rsidP="00DF007C">
                  <w:pPr>
                    <w:jc w:val="center"/>
                    <w:rPr>
                      <w:sz w:val="16"/>
                      <w:szCs w:val="16"/>
                    </w:rPr>
                  </w:pPr>
                  <w:r w:rsidRPr="00DF007C">
                    <w:rPr>
                      <w:sz w:val="16"/>
                      <w:szCs w:val="16"/>
                    </w:rPr>
                    <w:t>10,857.08</w:t>
                  </w:r>
                </w:p>
              </w:tc>
              <w:tc>
                <w:tcPr>
                  <w:tcW w:w="1276" w:type="dxa"/>
                  <w:vAlign w:val="bottom"/>
                </w:tcPr>
                <w:p w14:paraId="626B742A" w14:textId="5FAA5116" w:rsidR="00DF007C" w:rsidRDefault="00DF007C" w:rsidP="00DF007C">
                  <w:pPr>
                    <w:jc w:val="center"/>
                    <w:rPr>
                      <w:sz w:val="16"/>
                      <w:szCs w:val="16"/>
                    </w:rPr>
                  </w:pPr>
                  <w:r w:rsidRPr="00DF007C">
                    <w:rPr>
                      <w:sz w:val="16"/>
                      <w:szCs w:val="16"/>
                    </w:rPr>
                    <w:t>41,599.33</w:t>
                  </w:r>
                </w:p>
              </w:tc>
              <w:tc>
                <w:tcPr>
                  <w:tcW w:w="1086" w:type="dxa"/>
                  <w:vAlign w:val="bottom"/>
                </w:tcPr>
                <w:p w14:paraId="70C9FE24" w14:textId="22AC5D69" w:rsidR="00DF007C" w:rsidRDefault="00DF007C" w:rsidP="00DF007C">
                  <w:pPr>
                    <w:jc w:val="center"/>
                    <w:rPr>
                      <w:sz w:val="16"/>
                      <w:szCs w:val="16"/>
                    </w:rPr>
                  </w:pPr>
                  <w:r w:rsidRPr="00DF007C">
                    <w:rPr>
                      <w:sz w:val="16"/>
                      <w:szCs w:val="16"/>
                    </w:rPr>
                    <w:t>7,332.14</w:t>
                  </w:r>
                </w:p>
              </w:tc>
              <w:tc>
                <w:tcPr>
                  <w:tcW w:w="1040" w:type="dxa"/>
                  <w:vAlign w:val="bottom"/>
                </w:tcPr>
                <w:p w14:paraId="10279C73" w14:textId="0C3B630E" w:rsidR="00DF007C" w:rsidRDefault="00DF007C" w:rsidP="00DF007C">
                  <w:pPr>
                    <w:jc w:val="center"/>
                    <w:rPr>
                      <w:sz w:val="16"/>
                      <w:szCs w:val="16"/>
                    </w:rPr>
                  </w:pPr>
                  <w:r w:rsidRPr="00DF007C">
                    <w:rPr>
                      <w:sz w:val="16"/>
                      <w:szCs w:val="16"/>
                    </w:rPr>
                    <w:t>13,486.44</w:t>
                  </w:r>
                </w:p>
              </w:tc>
            </w:tr>
          </w:tbl>
          <w:p w14:paraId="67108435" w14:textId="3EF34397" w:rsidR="00D8492B" w:rsidRDefault="00D8492B" w:rsidP="0010720B">
            <w:pPr>
              <w:jc w:val="both"/>
              <w:rPr>
                <w:b/>
                <w:sz w:val="16"/>
                <w:szCs w:val="16"/>
              </w:rPr>
            </w:pPr>
            <w:r w:rsidRPr="00D8492B">
              <w:rPr>
                <w:b/>
                <w:sz w:val="16"/>
                <w:szCs w:val="16"/>
              </w:rPr>
              <w:t xml:space="preserve">Sources: Bloomberg, S&amp;P </w:t>
            </w:r>
            <w:proofErr w:type="spellStart"/>
            <w:r w:rsidRPr="00D8492B">
              <w:rPr>
                <w:b/>
                <w:sz w:val="16"/>
                <w:szCs w:val="16"/>
              </w:rPr>
              <w:t>NetAdvantage</w:t>
            </w:r>
            <w:proofErr w:type="spellEnd"/>
            <w:r w:rsidRPr="00D8492B">
              <w:rPr>
                <w:b/>
                <w:sz w:val="16"/>
                <w:szCs w:val="16"/>
              </w:rPr>
              <w:t xml:space="preserve">, VLIS, Morningstar </w:t>
            </w:r>
          </w:p>
        </w:tc>
        <w:tc>
          <w:tcPr>
            <w:tcW w:w="4320" w:type="dxa"/>
          </w:tcPr>
          <w:p w14:paraId="7FACE228" w14:textId="170AD80A" w:rsidR="004F2EAA"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7ADC77C1" w:rsidR="00EA5213" w:rsidRDefault="00C505BA" w:rsidP="00EA5213">
                  <w:pPr>
                    <w:rPr>
                      <w:sz w:val="16"/>
                      <w:szCs w:val="16"/>
                      <w:lang w:eastAsia="zh-CN"/>
                    </w:rPr>
                  </w:pPr>
                  <w:r>
                    <w:rPr>
                      <w:sz w:val="16"/>
                      <w:szCs w:val="16"/>
                    </w:rPr>
                    <w:t>MMP</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469B84FD" w:rsidR="00EA5213" w:rsidRDefault="00D3608A" w:rsidP="00EA5213">
                  <w:pPr>
                    <w:rPr>
                      <w:sz w:val="16"/>
                      <w:szCs w:val="16"/>
                    </w:rPr>
                  </w:pPr>
                  <w:r>
                    <w:rPr>
                      <w:sz w:val="16"/>
                      <w:szCs w:val="16"/>
                    </w:rPr>
                    <w:t>-11.6%</w:t>
                  </w:r>
                </w:p>
              </w:tc>
              <w:tc>
                <w:tcPr>
                  <w:tcW w:w="810" w:type="dxa"/>
                </w:tcPr>
                <w:p w14:paraId="432CEBBB" w14:textId="5749C503" w:rsidR="00EA5213" w:rsidRDefault="00D3608A" w:rsidP="00EA5213">
                  <w:pPr>
                    <w:rPr>
                      <w:sz w:val="16"/>
                      <w:szCs w:val="16"/>
                    </w:rPr>
                  </w:pPr>
                  <w:r>
                    <w:rPr>
                      <w:sz w:val="16"/>
                      <w:szCs w:val="16"/>
                    </w:rPr>
                    <w:t>-8.66%</w:t>
                  </w:r>
                </w:p>
              </w:tc>
              <w:tc>
                <w:tcPr>
                  <w:tcW w:w="962" w:type="dxa"/>
                </w:tcPr>
                <w:p w14:paraId="2D5C424C" w14:textId="4417DB88" w:rsidR="00EA5213" w:rsidRDefault="00D3608A" w:rsidP="00EA5213">
                  <w:pPr>
                    <w:rPr>
                      <w:sz w:val="16"/>
                      <w:szCs w:val="16"/>
                    </w:rPr>
                  </w:pPr>
                  <w:r>
                    <w:rPr>
                      <w:sz w:val="16"/>
                      <w:szCs w:val="16"/>
                    </w:rPr>
                    <w:t>-9.17%</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0A2CAE18" w:rsidR="00EA5213" w:rsidRDefault="00D3608A" w:rsidP="00EA5213">
                  <w:pPr>
                    <w:rPr>
                      <w:sz w:val="16"/>
                      <w:szCs w:val="16"/>
                    </w:rPr>
                  </w:pPr>
                  <w:r>
                    <w:rPr>
                      <w:sz w:val="16"/>
                      <w:szCs w:val="16"/>
                    </w:rPr>
                    <w:t>10.8%</w:t>
                  </w:r>
                </w:p>
              </w:tc>
              <w:tc>
                <w:tcPr>
                  <w:tcW w:w="810" w:type="dxa"/>
                </w:tcPr>
                <w:p w14:paraId="046C9C8D" w14:textId="1A0D2F54" w:rsidR="00EA5213" w:rsidRDefault="00D3608A" w:rsidP="00EA5213">
                  <w:pPr>
                    <w:rPr>
                      <w:sz w:val="16"/>
                      <w:szCs w:val="16"/>
                    </w:rPr>
                  </w:pPr>
                  <w:r>
                    <w:rPr>
                      <w:sz w:val="16"/>
                      <w:szCs w:val="16"/>
                    </w:rPr>
                    <w:t>-8.62%</w:t>
                  </w:r>
                </w:p>
              </w:tc>
              <w:tc>
                <w:tcPr>
                  <w:tcW w:w="962" w:type="dxa"/>
                </w:tcPr>
                <w:p w14:paraId="55BE815F" w14:textId="78D92FE5" w:rsidR="00EA5213" w:rsidRDefault="00D3608A" w:rsidP="00EA5213">
                  <w:pPr>
                    <w:rPr>
                      <w:sz w:val="16"/>
                      <w:szCs w:val="16"/>
                    </w:rPr>
                  </w:pPr>
                  <w:r>
                    <w:rPr>
                      <w:sz w:val="16"/>
                      <w:szCs w:val="16"/>
                    </w:rPr>
                    <w:t>9.1%</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41A3A3BC" w:rsidR="00EA5213" w:rsidRDefault="00D3608A" w:rsidP="00EA5213">
                  <w:pPr>
                    <w:rPr>
                      <w:sz w:val="16"/>
                      <w:szCs w:val="16"/>
                    </w:rPr>
                  </w:pPr>
                  <w:r>
                    <w:rPr>
                      <w:sz w:val="16"/>
                      <w:szCs w:val="16"/>
                    </w:rPr>
                    <w:t>20.88%</w:t>
                  </w:r>
                </w:p>
              </w:tc>
              <w:tc>
                <w:tcPr>
                  <w:tcW w:w="810" w:type="dxa"/>
                </w:tcPr>
                <w:p w14:paraId="3A2AF828" w14:textId="5CDD468D" w:rsidR="00EA5213" w:rsidRDefault="00D3608A" w:rsidP="00EA5213">
                  <w:pPr>
                    <w:rPr>
                      <w:sz w:val="16"/>
                      <w:szCs w:val="16"/>
                    </w:rPr>
                  </w:pPr>
                  <w:r>
                    <w:rPr>
                      <w:sz w:val="16"/>
                      <w:szCs w:val="16"/>
                    </w:rPr>
                    <w:t>-3.55%</w:t>
                  </w:r>
                </w:p>
              </w:tc>
              <w:tc>
                <w:tcPr>
                  <w:tcW w:w="962" w:type="dxa"/>
                </w:tcPr>
                <w:p w14:paraId="1D7EE8E1" w14:textId="4889EF6B" w:rsidR="00EA5213" w:rsidRDefault="00D3608A" w:rsidP="00EA5213">
                  <w:pPr>
                    <w:rPr>
                      <w:sz w:val="16"/>
                      <w:szCs w:val="16"/>
                    </w:rPr>
                  </w:pPr>
                  <w:r>
                    <w:rPr>
                      <w:sz w:val="16"/>
                      <w:szCs w:val="16"/>
                    </w:rPr>
                    <w:t>9.27%</w:t>
                  </w:r>
                </w:p>
              </w:tc>
            </w:tr>
          </w:tbl>
          <w:p w14:paraId="51BB9526" w14:textId="77777777" w:rsidR="00096901" w:rsidRDefault="00096901" w:rsidP="0010720B">
            <w:pPr>
              <w:jc w:val="both"/>
              <w:rPr>
                <w:b/>
                <w:sz w:val="16"/>
                <w:szCs w:val="16"/>
              </w:rPr>
            </w:pPr>
          </w:p>
          <w:p w14:paraId="221910A7" w14:textId="368D2A1A" w:rsidR="009F0D12" w:rsidRDefault="009F0D12" w:rsidP="0010720B">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14:paraId="331C9CF3" w14:textId="77777777" w:rsidTr="002D655C">
              <w:tc>
                <w:tcPr>
                  <w:tcW w:w="2497" w:type="dxa"/>
                  <w:shd w:val="clear" w:color="auto" w:fill="DBE5F1" w:themeFill="accent1" w:themeFillTint="33"/>
                </w:tcPr>
                <w:p w14:paraId="434A59A4" w14:textId="77777777" w:rsidR="00EB73D7" w:rsidRDefault="00EB73D7" w:rsidP="002D655C">
                  <w:pPr>
                    <w:rPr>
                      <w:sz w:val="16"/>
                      <w:szCs w:val="16"/>
                    </w:rPr>
                  </w:pPr>
                </w:p>
              </w:tc>
              <w:tc>
                <w:tcPr>
                  <w:tcW w:w="862" w:type="dxa"/>
                  <w:shd w:val="clear" w:color="auto" w:fill="DBE5F1" w:themeFill="accent1" w:themeFillTint="33"/>
                </w:tcPr>
                <w:p w14:paraId="165DC052" w14:textId="2BB428EE" w:rsidR="00EB73D7" w:rsidRDefault="00C505BA" w:rsidP="002D655C">
                  <w:pPr>
                    <w:rPr>
                      <w:sz w:val="16"/>
                      <w:szCs w:val="16"/>
                      <w:lang w:eastAsia="zh-CN"/>
                    </w:rPr>
                  </w:pPr>
                  <w:r>
                    <w:rPr>
                      <w:sz w:val="16"/>
                      <w:szCs w:val="16"/>
                    </w:rPr>
                    <w:t>MMP</w:t>
                  </w:r>
                </w:p>
              </w:tc>
              <w:tc>
                <w:tcPr>
                  <w:tcW w:w="807" w:type="dxa"/>
                  <w:shd w:val="clear" w:color="auto" w:fill="DBE5F1" w:themeFill="accent1" w:themeFillTint="33"/>
                </w:tcPr>
                <w:p w14:paraId="25A7D82A" w14:textId="77777777" w:rsidR="00EB73D7" w:rsidRDefault="00EB73D7" w:rsidP="002D655C">
                  <w:pPr>
                    <w:rPr>
                      <w:sz w:val="16"/>
                      <w:szCs w:val="16"/>
                    </w:rPr>
                  </w:pPr>
                  <w:r>
                    <w:rPr>
                      <w:sz w:val="16"/>
                      <w:szCs w:val="16"/>
                    </w:rPr>
                    <w:t xml:space="preserve">Industry  </w:t>
                  </w:r>
                </w:p>
              </w:tc>
            </w:tr>
            <w:tr w:rsidR="00E76B43" w14:paraId="5846D050" w14:textId="77777777" w:rsidTr="00E76B43">
              <w:tc>
                <w:tcPr>
                  <w:tcW w:w="2497" w:type="dxa"/>
                </w:tcPr>
                <w:p w14:paraId="6BBDDA03" w14:textId="77777777" w:rsidR="00E76B43" w:rsidRDefault="00E76B43" w:rsidP="002D655C">
                  <w:pPr>
                    <w:rPr>
                      <w:sz w:val="16"/>
                      <w:szCs w:val="16"/>
                    </w:rPr>
                  </w:pPr>
                  <w:r>
                    <w:rPr>
                      <w:sz w:val="16"/>
                      <w:szCs w:val="16"/>
                    </w:rPr>
                    <w:t>ESG Disclosure Score</w:t>
                  </w:r>
                </w:p>
              </w:tc>
              <w:tc>
                <w:tcPr>
                  <w:tcW w:w="862" w:type="dxa"/>
                  <w:vAlign w:val="bottom"/>
                </w:tcPr>
                <w:p w14:paraId="6D6186B8" w14:textId="5004ECA5" w:rsidR="00E76B43" w:rsidRDefault="00617CC4" w:rsidP="002D655C">
                  <w:pPr>
                    <w:rPr>
                      <w:sz w:val="16"/>
                      <w:szCs w:val="16"/>
                    </w:rPr>
                  </w:pPr>
                  <w:r>
                    <w:rPr>
                      <w:sz w:val="16"/>
                      <w:szCs w:val="16"/>
                    </w:rPr>
                    <w:t xml:space="preserve"> 17.36</w:t>
                  </w:r>
                  <w:r w:rsidR="00E76B43" w:rsidRPr="00E76B43">
                    <w:rPr>
                      <w:sz w:val="16"/>
                      <w:szCs w:val="16"/>
                    </w:rPr>
                    <w:t xml:space="preserve"> </w:t>
                  </w:r>
                </w:p>
              </w:tc>
              <w:tc>
                <w:tcPr>
                  <w:tcW w:w="807" w:type="dxa"/>
                  <w:vAlign w:val="bottom"/>
                </w:tcPr>
                <w:p w14:paraId="517A34C2" w14:textId="170CCE33" w:rsidR="00E76B43" w:rsidRDefault="00617CC4" w:rsidP="002D655C">
                  <w:pPr>
                    <w:rPr>
                      <w:sz w:val="16"/>
                      <w:szCs w:val="16"/>
                    </w:rPr>
                  </w:pPr>
                  <w:r>
                    <w:rPr>
                      <w:sz w:val="16"/>
                      <w:szCs w:val="16"/>
                    </w:rPr>
                    <w:t xml:space="preserve"> 13.49</w:t>
                  </w:r>
                  <w:r w:rsidR="00E76B43" w:rsidRPr="00E76B43">
                    <w:rPr>
                      <w:sz w:val="16"/>
                      <w:szCs w:val="16"/>
                    </w:rPr>
                    <w:t xml:space="preserve"> </w:t>
                  </w:r>
                </w:p>
              </w:tc>
            </w:tr>
            <w:tr w:rsidR="00E76B43" w14:paraId="7A94F7D3" w14:textId="77777777" w:rsidTr="00E76B43">
              <w:tc>
                <w:tcPr>
                  <w:tcW w:w="2497" w:type="dxa"/>
                </w:tcPr>
                <w:p w14:paraId="2FB28519" w14:textId="77777777" w:rsidR="00E76B43" w:rsidRDefault="00E76B43" w:rsidP="002D655C">
                  <w:pPr>
                    <w:rPr>
                      <w:sz w:val="16"/>
                      <w:szCs w:val="16"/>
                    </w:rPr>
                  </w:pPr>
                  <w:r>
                    <w:rPr>
                      <w:sz w:val="16"/>
                      <w:szCs w:val="16"/>
                    </w:rPr>
                    <w:t>Governance Disclosure Score</w:t>
                  </w:r>
                </w:p>
              </w:tc>
              <w:tc>
                <w:tcPr>
                  <w:tcW w:w="862" w:type="dxa"/>
                  <w:vAlign w:val="bottom"/>
                </w:tcPr>
                <w:p w14:paraId="6EA8E978" w14:textId="26D85727" w:rsidR="00E76B43" w:rsidRDefault="00617CC4" w:rsidP="002D655C">
                  <w:pPr>
                    <w:rPr>
                      <w:sz w:val="16"/>
                      <w:szCs w:val="16"/>
                    </w:rPr>
                  </w:pPr>
                  <w:r>
                    <w:rPr>
                      <w:sz w:val="16"/>
                      <w:szCs w:val="16"/>
                    </w:rPr>
                    <w:t xml:space="preserve"> 51.79</w:t>
                  </w:r>
                </w:p>
              </w:tc>
              <w:tc>
                <w:tcPr>
                  <w:tcW w:w="807" w:type="dxa"/>
                  <w:vAlign w:val="bottom"/>
                </w:tcPr>
                <w:p w14:paraId="6111952E" w14:textId="067C1D88" w:rsidR="00E76B43" w:rsidRDefault="00E76B43" w:rsidP="002D655C">
                  <w:pPr>
                    <w:rPr>
                      <w:sz w:val="16"/>
                      <w:szCs w:val="16"/>
                    </w:rPr>
                  </w:pPr>
                  <w:r w:rsidRPr="00E76B43">
                    <w:rPr>
                      <w:sz w:val="16"/>
                      <w:szCs w:val="16"/>
                    </w:rPr>
                    <w:t xml:space="preserve"> </w:t>
                  </w:r>
                  <w:r w:rsidR="00617CC4">
                    <w:rPr>
                      <w:sz w:val="16"/>
                      <w:szCs w:val="16"/>
                    </w:rPr>
                    <w:t>40.18</w:t>
                  </w:r>
                </w:p>
              </w:tc>
            </w:tr>
            <w:tr w:rsidR="00E76B43" w14:paraId="4A0DF326" w14:textId="77777777" w:rsidTr="00E76B43">
              <w:tc>
                <w:tcPr>
                  <w:tcW w:w="2497" w:type="dxa"/>
                </w:tcPr>
                <w:p w14:paraId="3FF44BFE" w14:textId="77777777" w:rsidR="00E76B43" w:rsidRDefault="00E76B43" w:rsidP="002D655C">
                  <w:pPr>
                    <w:rPr>
                      <w:sz w:val="16"/>
                      <w:szCs w:val="16"/>
                    </w:rPr>
                  </w:pPr>
                  <w:r>
                    <w:rPr>
                      <w:sz w:val="16"/>
                      <w:szCs w:val="16"/>
                    </w:rPr>
                    <w:t>Social Disclosure Score</w:t>
                  </w:r>
                </w:p>
              </w:tc>
              <w:tc>
                <w:tcPr>
                  <w:tcW w:w="862" w:type="dxa"/>
                  <w:vAlign w:val="bottom"/>
                </w:tcPr>
                <w:p w14:paraId="1A14304F" w14:textId="0396C9E7" w:rsidR="00E76B43" w:rsidRDefault="00617CC4" w:rsidP="002D655C">
                  <w:pPr>
                    <w:rPr>
                      <w:sz w:val="16"/>
                      <w:szCs w:val="16"/>
                    </w:rPr>
                  </w:pPr>
                  <w:r>
                    <w:rPr>
                      <w:sz w:val="16"/>
                      <w:szCs w:val="16"/>
                    </w:rPr>
                    <w:t xml:space="preserve"> 19.30</w:t>
                  </w:r>
                </w:p>
              </w:tc>
              <w:tc>
                <w:tcPr>
                  <w:tcW w:w="807" w:type="dxa"/>
                  <w:vAlign w:val="bottom"/>
                </w:tcPr>
                <w:p w14:paraId="138E02CB" w14:textId="1EBEB3F9" w:rsidR="00E76B43" w:rsidRDefault="00617CC4" w:rsidP="002D655C">
                  <w:pPr>
                    <w:rPr>
                      <w:sz w:val="16"/>
                      <w:szCs w:val="16"/>
                    </w:rPr>
                  </w:pPr>
                  <w:r>
                    <w:rPr>
                      <w:sz w:val="16"/>
                      <w:szCs w:val="16"/>
                    </w:rPr>
                    <w:t xml:space="preserve"> 16.63</w:t>
                  </w:r>
                  <w:r w:rsidR="00E76B43" w:rsidRPr="00E76B43">
                    <w:rPr>
                      <w:sz w:val="16"/>
                      <w:szCs w:val="16"/>
                    </w:rPr>
                    <w:t xml:space="preserve"> </w:t>
                  </w:r>
                </w:p>
              </w:tc>
            </w:tr>
            <w:tr w:rsidR="00E76B43" w14:paraId="390BAB0E" w14:textId="77777777" w:rsidTr="00E76B43">
              <w:tc>
                <w:tcPr>
                  <w:tcW w:w="2497" w:type="dxa"/>
                </w:tcPr>
                <w:p w14:paraId="1435C4A3" w14:textId="77777777" w:rsidR="00E76B43" w:rsidRDefault="00E76B43" w:rsidP="002D655C">
                  <w:pPr>
                    <w:rPr>
                      <w:sz w:val="16"/>
                      <w:szCs w:val="16"/>
                    </w:rPr>
                  </w:pPr>
                  <w:r>
                    <w:rPr>
                      <w:sz w:val="16"/>
                      <w:szCs w:val="16"/>
                    </w:rPr>
                    <w:t>Environmental Disclosure Score</w:t>
                  </w:r>
                </w:p>
              </w:tc>
              <w:tc>
                <w:tcPr>
                  <w:tcW w:w="862" w:type="dxa"/>
                  <w:vAlign w:val="bottom"/>
                </w:tcPr>
                <w:p w14:paraId="6DC54DCB" w14:textId="74AF2DDE" w:rsidR="00E76B43" w:rsidRDefault="00617CC4" w:rsidP="002D655C">
                  <w:pPr>
                    <w:rPr>
                      <w:sz w:val="16"/>
                      <w:szCs w:val="16"/>
                    </w:rPr>
                  </w:pPr>
                  <w:r>
                    <w:rPr>
                      <w:sz w:val="16"/>
                      <w:szCs w:val="16"/>
                    </w:rPr>
                    <w:t xml:space="preserve"> 1.55</w:t>
                  </w:r>
                </w:p>
              </w:tc>
              <w:tc>
                <w:tcPr>
                  <w:tcW w:w="807" w:type="dxa"/>
                  <w:vAlign w:val="bottom"/>
                </w:tcPr>
                <w:p w14:paraId="454667DF" w14:textId="52430B91" w:rsidR="00E76B43" w:rsidRDefault="00617CC4" w:rsidP="002D655C">
                  <w:pPr>
                    <w:rPr>
                      <w:sz w:val="16"/>
                      <w:szCs w:val="16"/>
                    </w:rPr>
                  </w:pPr>
                  <w:r>
                    <w:rPr>
                      <w:sz w:val="16"/>
                      <w:szCs w:val="16"/>
                    </w:rPr>
                    <w:t xml:space="preserve"> 5.09</w:t>
                  </w:r>
                </w:p>
              </w:tc>
            </w:tr>
          </w:tbl>
          <w:p w14:paraId="62EFF545" w14:textId="629EE9CE" w:rsidR="009F0D12" w:rsidRDefault="00C91424" w:rsidP="0010720B">
            <w:pPr>
              <w:jc w:val="both"/>
              <w:rPr>
                <w:b/>
                <w:sz w:val="16"/>
                <w:szCs w:val="16"/>
                <w:lang w:eastAsia="zh-CN"/>
              </w:rPr>
            </w:pPr>
            <w:r>
              <w:rPr>
                <w:b/>
                <w:sz w:val="16"/>
                <w:szCs w:val="16"/>
              </w:rPr>
              <w:t xml:space="preserve">Prepared By: </w:t>
            </w:r>
            <w:proofErr w:type="spellStart"/>
            <w:r>
              <w:rPr>
                <w:b/>
                <w:sz w:val="16"/>
                <w:szCs w:val="16"/>
              </w:rPr>
              <w:t>Jifeng</w:t>
            </w:r>
            <w:proofErr w:type="spellEnd"/>
            <w:r>
              <w:rPr>
                <w:b/>
                <w:sz w:val="16"/>
                <w:szCs w:val="16"/>
              </w:rPr>
              <w:t xml:space="preserve"> Hu, </w:t>
            </w:r>
            <w:r>
              <w:rPr>
                <w:rFonts w:hint="eastAsia"/>
                <w:b/>
                <w:sz w:val="16"/>
                <w:szCs w:val="16"/>
                <w:lang w:eastAsia="zh-CN"/>
              </w:rPr>
              <w:t>2</w:t>
            </w:r>
            <w:r>
              <w:rPr>
                <w:b/>
                <w:sz w:val="16"/>
                <w:szCs w:val="16"/>
              </w:rPr>
              <w:t>/</w:t>
            </w:r>
            <w:r w:rsidR="00617CC4">
              <w:rPr>
                <w:rFonts w:hint="eastAsia"/>
                <w:b/>
                <w:sz w:val="16"/>
                <w:szCs w:val="16"/>
                <w:lang w:eastAsia="zh-CN"/>
              </w:rPr>
              <w:t>10</w:t>
            </w:r>
            <w:r>
              <w:rPr>
                <w:b/>
                <w:sz w:val="16"/>
                <w:szCs w:val="16"/>
              </w:rPr>
              <w:t>/201</w:t>
            </w:r>
            <w:r>
              <w:rPr>
                <w:rFonts w:hint="eastAsia"/>
                <w:b/>
                <w:sz w:val="16"/>
                <w:szCs w:val="16"/>
                <w:lang w:eastAsia="zh-CN"/>
              </w:rPr>
              <w:t>6</w:t>
            </w:r>
            <w:r w:rsidR="00DF0D9C" w:rsidRPr="00D8492B">
              <w:rPr>
                <w:b/>
                <w:sz w:val="16"/>
                <w:szCs w:val="16"/>
              </w:rPr>
              <w:t> </w:t>
            </w:r>
          </w:p>
        </w:tc>
      </w:tr>
    </w:tbl>
    <w:p w14:paraId="5C1E381E" w14:textId="36A09156" w:rsidR="00830F06" w:rsidRDefault="00830F06" w:rsidP="00D8492B">
      <w:pPr>
        <w:jc w:val="both"/>
        <w:rPr>
          <w:b/>
          <w:sz w:val="16"/>
          <w:szCs w:val="16"/>
          <w:lang w:eastAsia="zh-CN"/>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7D323D"/>
    <w:multiLevelType w:val="hybridMultilevel"/>
    <w:tmpl w:val="2DC6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14EFE"/>
    <w:rsid w:val="00022508"/>
    <w:rsid w:val="00026F5E"/>
    <w:rsid w:val="0003326A"/>
    <w:rsid w:val="00034A52"/>
    <w:rsid w:val="00042A3B"/>
    <w:rsid w:val="000528A3"/>
    <w:rsid w:val="00053B90"/>
    <w:rsid w:val="00056CE9"/>
    <w:rsid w:val="00066CC4"/>
    <w:rsid w:val="00071F4F"/>
    <w:rsid w:val="00096901"/>
    <w:rsid w:val="000973A6"/>
    <w:rsid w:val="000A0DE5"/>
    <w:rsid w:val="000E0407"/>
    <w:rsid w:val="000E0C3A"/>
    <w:rsid w:val="000E4C0C"/>
    <w:rsid w:val="000F122E"/>
    <w:rsid w:val="0010720B"/>
    <w:rsid w:val="00107431"/>
    <w:rsid w:val="00107E5A"/>
    <w:rsid w:val="0012425D"/>
    <w:rsid w:val="0013332F"/>
    <w:rsid w:val="001366A3"/>
    <w:rsid w:val="0014778C"/>
    <w:rsid w:val="0018105A"/>
    <w:rsid w:val="00197A37"/>
    <w:rsid w:val="001A0791"/>
    <w:rsid w:val="001A0951"/>
    <w:rsid w:val="001A4CD7"/>
    <w:rsid w:val="001A54DB"/>
    <w:rsid w:val="001C5C89"/>
    <w:rsid w:val="001D3CAE"/>
    <w:rsid w:val="001F411C"/>
    <w:rsid w:val="001F4C8C"/>
    <w:rsid w:val="002039D4"/>
    <w:rsid w:val="00206EA0"/>
    <w:rsid w:val="002105B2"/>
    <w:rsid w:val="00231ED5"/>
    <w:rsid w:val="00242434"/>
    <w:rsid w:val="00245DD4"/>
    <w:rsid w:val="002523F7"/>
    <w:rsid w:val="002535D2"/>
    <w:rsid w:val="00254456"/>
    <w:rsid w:val="00260948"/>
    <w:rsid w:val="00263A2E"/>
    <w:rsid w:val="00274740"/>
    <w:rsid w:val="00287C09"/>
    <w:rsid w:val="0029559F"/>
    <w:rsid w:val="002A0663"/>
    <w:rsid w:val="002A7956"/>
    <w:rsid w:val="002B04FE"/>
    <w:rsid w:val="002D3CFC"/>
    <w:rsid w:val="002D655C"/>
    <w:rsid w:val="002E16BA"/>
    <w:rsid w:val="002F062C"/>
    <w:rsid w:val="003073EA"/>
    <w:rsid w:val="003173DA"/>
    <w:rsid w:val="0033512A"/>
    <w:rsid w:val="00357218"/>
    <w:rsid w:val="00364BFF"/>
    <w:rsid w:val="00371C05"/>
    <w:rsid w:val="00375DB5"/>
    <w:rsid w:val="00384388"/>
    <w:rsid w:val="00386A22"/>
    <w:rsid w:val="00392411"/>
    <w:rsid w:val="00392719"/>
    <w:rsid w:val="003A37CB"/>
    <w:rsid w:val="003B3070"/>
    <w:rsid w:val="003C3391"/>
    <w:rsid w:val="003C3EC1"/>
    <w:rsid w:val="003E5DB4"/>
    <w:rsid w:val="003E7CA1"/>
    <w:rsid w:val="003F3FCE"/>
    <w:rsid w:val="00401063"/>
    <w:rsid w:val="00401E94"/>
    <w:rsid w:val="00417CC5"/>
    <w:rsid w:val="00443ED9"/>
    <w:rsid w:val="00462682"/>
    <w:rsid w:val="004870D9"/>
    <w:rsid w:val="004D3729"/>
    <w:rsid w:val="004D7282"/>
    <w:rsid w:val="004F2EAA"/>
    <w:rsid w:val="004F53DC"/>
    <w:rsid w:val="0050052A"/>
    <w:rsid w:val="00500BAE"/>
    <w:rsid w:val="00501519"/>
    <w:rsid w:val="00521066"/>
    <w:rsid w:val="005226C0"/>
    <w:rsid w:val="00532418"/>
    <w:rsid w:val="00537D04"/>
    <w:rsid w:val="00547B13"/>
    <w:rsid w:val="0056019E"/>
    <w:rsid w:val="00566D6B"/>
    <w:rsid w:val="00575123"/>
    <w:rsid w:val="00594257"/>
    <w:rsid w:val="005A43A8"/>
    <w:rsid w:val="005D4654"/>
    <w:rsid w:val="005D533F"/>
    <w:rsid w:val="005E114B"/>
    <w:rsid w:val="005E4CAC"/>
    <w:rsid w:val="005F606E"/>
    <w:rsid w:val="0060598F"/>
    <w:rsid w:val="00617CC4"/>
    <w:rsid w:val="00630775"/>
    <w:rsid w:val="00667760"/>
    <w:rsid w:val="00674795"/>
    <w:rsid w:val="006953F0"/>
    <w:rsid w:val="006A37B5"/>
    <w:rsid w:val="006A575D"/>
    <w:rsid w:val="006A61A4"/>
    <w:rsid w:val="006A778C"/>
    <w:rsid w:val="006B0A61"/>
    <w:rsid w:val="006C1408"/>
    <w:rsid w:val="006E2939"/>
    <w:rsid w:val="006E44B8"/>
    <w:rsid w:val="006E5EA1"/>
    <w:rsid w:val="0073207E"/>
    <w:rsid w:val="00747220"/>
    <w:rsid w:val="0076327C"/>
    <w:rsid w:val="007814A0"/>
    <w:rsid w:val="00786CCC"/>
    <w:rsid w:val="0079525F"/>
    <w:rsid w:val="007B2A6D"/>
    <w:rsid w:val="007B6409"/>
    <w:rsid w:val="007B6D7D"/>
    <w:rsid w:val="007D12F0"/>
    <w:rsid w:val="007D4DEC"/>
    <w:rsid w:val="007D6661"/>
    <w:rsid w:val="007F4659"/>
    <w:rsid w:val="00804E00"/>
    <w:rsid w:val="00815FF3"/>
    <w:rsid w:val="008304CC"/>
    <w:rsid w:val="00830F06"/>
    <w:rsid w:val="00832142"/>
    <w:rsid w:val="00835134"/>
    <w:rsid w:val="00841E8A"/>
    <w:rsid w:val="008428F6"/>
    <w:rsid w:val="0085115D"/>
    <w:rsid w:val="00857BC1"/>
    <w:rsid w:val="008717C3"/>
    <w:rsid w:val="00874223"/>
    <w:rsid w:val="00874A7B"/>
    <w:rsid w:val="008B72AE"/>
    <w:rsid w:val="008D49EF"/>
    <w:rsid w:val="008D6FBE"/>
    <w:rsid w:val="008E59B8"/>
    <w:rsid w:val="008F5A79"/>
    <w:rsid w:val="00900789"/>
    <w:rsid w:val="009007A6"/>
    <w:rsid w:val="00911AF8"/>
    <w:rsid w:val="00913FF8"/>
    <w:rsid w:val="00915605"/>
    <w:rsid w:val="00920D13"/>
    <w:rsid w:val="00923CAB"/>
    <w:rsid w:val="00927E43"/>
    <w:rsid w:val="00944804"/>
    <w:rsid w:val="00947B96"/>
    <w:rsid w:val="009564F2"/>
    <w:rsid w:val="009574EF"/>
    <w:rsid w:val="0097552E"/>
    <w:rsid w:val="009B77FB"/>
    <w:rsid w:val="009C57C6"/>
    <w:rsid w:val="009D5A45"/>
    <w:rsid w:val="009D7A72"/>
    <w:rsid w:val="009E520D"/>
    <w:rsid w:val="009F0830"/>
    <w:rsid w:val="009F0D12"/>
    <w:rsid w:val="009F2E51"/>
    <w:rsid w:val="00A10BEF"/>
    <w:rsid w:val="00A217ED"/>
    <w:rsid w:val="00A26727"/>
    <w:rsid w:val="00A30926"/>
    <w:rsid w:val="00A36F84"/>
    <w:rsid w:val="00A56542"/>
    <w:rsid w:val="00A603A6"/>
    <w:rsid w:val="00A63E9D"/>
    <w:rsid w:val="00A717BA"/>
    <w:rsid w:val="00A8460D"/>
    <w:rsid w:val="00A85575"/>
    <w:rsid w:val="00A85D07"/>
    <w:rsid w:val="00AA0C48"/>
    <w:rsid w:val="00AA5ED5"/>
    <w:rsid w:val="00AB003F"/>
    <w:rsid w:val="00AB159E"/>
    <w:rsid w:val="00B22327"/>
    <w:rsid w:val="00B271D1"/>
    <w:rsid w:val="00B335E6"/>
    <w:rsid w:val="00B355CD"/>
    <w:rsid w:val="00B502EC"/>
    <w:rsid w:val="00B52573"/>
    <w:rsid w:val="00B6610C"/>
    <w:rsid w:val="00B7642F"/>
    <w:rsid w:val="00B76988"/>
    <w:rsid w:val="00B94DBA"/>
    <w:rsid w:val="00BA6F89"/>
    <w:rsid w:val="00BA7CED"/>
    <w:rsid w:val="00BB3908"/>
    <w:rsid w:val="00BB61F8"/>
    <w:rsid w:val="00BC3AB4"/>
    <w:rsid w:val="00BC5E50"/>
    <w:rsid w:val="00BD22CE"/>
    <w:rsid w:val="00BD4639"/>
    <w:rsid w:val="00BE10B7"/>
    <w:rsid w:val="00BF2DE5"/>
    <w:rsid w:val="00BF7BB3"/>
    <w:rsid w:val="00C15E83"/>
    <w:rsid w:val="00C161B3"/>
    <w:rsid w:val="00C2195E"/>
    <w:rsid w:val="00C352F3"/>
    <w:rsid w:val="00C441B3"/>
    <w:rsid w:val="00C505BA"/>
    <w:rsid w:val="00C75DE2"/>
    <w:rsid w:val="00C9117C"/>
    <w:rsid w:val="00C91424"/>
    <w:rsid w:val="00C97C4E"/>
    <w:rsid w:val="00CA45D9"/>
    <w:rsid w:val="00CA4BBF"/>
    <w:rsid w:val="00CA7C70"/>
    <w:rsid w:val="00CC0565"/>
    <w:rsid w:val="00CE4435"/>
    <w:rsid w:val="00CF27D4"/>
    <w:rsid w:val="00CF2F28"/>
    <w:rsid w:val="00D04F99"/>
    <w:rsid w:val="00D0612C"/>
    <w:rsid w:val="00D12C28"/>
    <w:rsid w:val="00D16B81"/>
    <w:rsid w:val="00D3608A"/>
    <w:rsid w:val="00D363A8"/>
    <w:rsid w:val="00D570FE"/>
    <w:rsid w:val="00D636EF"/>
    <w:rsid w:val="00D7103F"/>
    <w:rsid w:val="00D809CF"/>
    <w:rsid w:val="00D8492B"/>
    <w:rsid w:val="00DA56AC"/>
    <w:rsid w:val="00DB303B"/>
    <w:rsid w:val="00DB5A10"/>
    <w:rsid w:val="00DB5E73"/>
    <w:rsid w:val="00DB7B0E"/>
    <w:rsid w:val="00DC41DC"/>
    <w:rsid w:val="00DE0586"/>
    <w:rsid w:val="00DE069C"/>
    <w:rsid w:val="00DE0C0C"/>
    <w:rsid w:val="00DF007C"/>
    <w:rsid w:val="00DF0D9C"/>
    <w:rsid w:val="00DF5BFB"/>
    <w:rsid w:val="00E0583C"/>
    <w:rsid w:val="00E14AC6"/>
    <w:rsid w:val="00E348AE"/>
    <w:rsid w:val="00E349B1"/>
    <w:rsid w:val="00E3542E"/>
    <w:rsid w:val="00E51FAC"/>
    <w:rsid w:val="00E56142"/>
    <w:rsid w:val="00E5675C"/>
    <w:rsid w:val="00E6009F"/>
    <w:rsid w:val="00E713EB"/>
    <w:rsid w:val="00E76B43"/>
    <w:rsid w:val="00E8555E"/>
    <w:rsid w:val="00E90970"/>
    <w:rsid w:val="00E96657"/>
    <w:rsid w:val="00E96739"/>
    <w:rsid w:val="00EA31B0"/>
    <w:rsid w:val="00EA5213"/>
    <w:rsid w:val="00EB73D7"/>
    <w:rsid w:val="00EB7E76"/>
    <w:rsid w:val="00EC2755"/>
    <w:rsid w:val="00EC75B4"/>
    <w:rsid w:val="00EE3D4D"/>
    <w:rsid w:val="00EF1E8D"/>
    <w:rsid w:val="00F04E1E"/>
    <w:rsid w:val="00F2004E"/>
    <w:rsid w:val="00F272C6"/>
    <w:rsid w:val="00F31E0C"/>
    <w:rsid w:val="00F52D1F"/>
    <w:rsid w:val="00F56067"/>
    <w:rsid w:val="00F56E16"/>
    <w:rsid w:val="00F65A7F"/>
    <w:rsid w:val="00F75698"/>
    <w:rsid w:val="00F77D0C"/>
    <w:rsid w:val="00F83E10"/>
    <w:rsid w:val="00F856C9"/>
    <w:rsid w:val="00F92EDE"/>
    <w:rsid w:val="00F96F5E"/>
    <w:rsid w:val="00FB159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semiHidden/>
    <w:unhideWhenUsed/>
    <w:rsid w:val="00D8492B"/>
    <w:rPr>
      <w:rFonts w:ascii="Times New Roman" w:hAnsi="Times New Roman" w:cs="Times New Roman"/>
    </w:rPr>
  </w:style>
  <w:style w:type="character" w:styleId="Hyperlink">
    <w:name w:val="Hyperlink"/>
    <w:basedOn w:val="DefaultParagraphFont"/>
    <w:uiPriority w:val="99"/>
    <w:unhideWhenUsed/>
    <w:rsid w:val="009564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semiHidden/>
    <w:unhideWhenUsed/>
    <w:rsid w:val="00D8492B"/>
    <w:rPr>
      <w:rFonts w:ascii="Times New Roman" w:hAnsi="Times New Roman" w:cs="Times New Roman"/>
    </w:rPr>
  </w:style>
  <w:style w:type="character" w:styleId="Hyperlink">
    <w:name w:val="Hyperlink"/>
    <w:basedOn w:val="DefaultParagraphFont"/>
    <w:uiPriority w:val="99"/>
    <w:unhideWhenUsed/>
    <w:rsid w:val="00956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600">
      <w:bodyDiv w:val="1"/>
      <w:marLeft w:val="0"/>
      <w:marRight w:val="0"/>
      <w:marTop w:val="0"/>
      <w:marBottom w:val="0"/>
      <w:divBdr>
        <w:top w:val="none" w:sz="0" w:space="0" w:color="auto"/>
        <w:left w:val="none" w:sz="0" w:space="0" w:color="auto"/>
        <w:bottom w:val="none" w:sz="0" w:space="0" w:color="auto"/>
        <w:right w:val="none" w:sz="0" w:space="0" w:color="auto"/>
      </w:divBdr>
      <w:divsChild>
        <w:div w:id="1172987387">
          <w:marLeft w:val="0"/>
          <w:marRight w:val="0"/>
          <w:marTop w:val="0"/>
          <w:marBottom w:val="0"/>
          <w:divBdr>
            <w:top w:val="none" w:sz="0" w:space="0" w:color="auto"/>
            <w:left w:val="none" w:sz="0" w:space="0" w:color="auto"/>
            <w:bottom w:val="none" w:sz="0" w:space="0" w:color="auto"/>
            <w:right w:val="none" w:sz="0" w:space="0" w:color="auto"/>
          </w:divBdr>
          <w:divsChild>
            <w:div w:id="984772771">
              <w:marLeft w:val="0"/>
              <w:marRight w:val="0"/>
              <w:marTop w:val="0"/>
              <w:marBottom w:val="0"/>
              <w:divBdr>
                <w:top w:val="none" w:sz="0" w:space="0" w:color="auto"/>
                <w:left w:val="none" w:sz="0" w:space="0" w:color="auto"/>
                <w:bottom w:val="none" w:sz="0" w:space="0" w:color="auto"/>
                <w:right w:val="none" w:sz="0" w:space="0" w:color="auto"/>
              </w:divBdr>
              <w:divsChild>
                <w:div w:id="680930212">
                  <w:marLeft w:val="0"/>
                  <w:marRight w:val="0"/>
                  <w:marTop w:val="0"/>
                  <w:marBottom w:val="0"/>
                  <w:divBdr>
                    <w:top w:val="none" w:sz="0" w:space="0" w:color="auto"/>
                    <w:left w:val="none" w:sz="0" w:space="0" w:color="auto"/>
                    <w:bottom w:val="none" w:sz="0" w:space="0" w:color="auto"/>
                    <w:right w:val="none" w:sz="0" w:space="0" w:color="auto"/>
                  </w:divBdr>
                  <w:divsChild>
                    <w:div w:id="1057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245">
      <w:bodyDiv w:val="1"/>
      <w:marLeft w:val="0"/>
      <w:marRight w:val="0"/>
      <w:marTop w:val="0"/>
      <w:marBottom w:val="0"/>
      <w:divBdr>
        <w:top w:val="none" w:sz="0" w:space="0" w:color="auto"/>
        <w:left w:val="none" w:sz="0" w:space="0" w:color="auto"/>
        <w:bottom w:val="none" w:sz="0" w:space="0" w:color="auto"/>
        <w:right w:val="none" w:sz="0" w:space="0" w:color="auto"/>
      </w:divBdr>
      <w:divsChild>
        <w:div w:id="1587835805">
          <w:marLeft w:val="0"/>
          <w:marRight w:val="0"/>
          <w:marTop w:val="0"/>
          <w:marBottom w:val="0"/>
          <w:divBdr>
            <w:top w:val="none" w:sz="0" w:space="0" w:color="auto"/>
            <w:left w:val="none" w:sz="0" w:space="0" w:color="auto"/>
            <w:bottom w:val="none" w:sz="0" w:space="0" w:color="auto"/>
            <w:right w:val="none" w:sz="0" w:space="0" w:color="auto"/>
          </w:divBdr>
          <w:divsChild>
            <w:div w:id="1725566102">
              <w:marLeft w:val="0"/>
              <w:marRight w:val="0"/>
              <w:marTop w:val="0"/>
              <w:marBottom w:val="0"/>
              <w:divBdr>
                <w:top w:val="none" w:sz="0" w:space="0" w:color="auto"/>
                <w:left w:val="none" w:sz="0" w:space="0" w:color="auto"/>
                <w:bottom w:val="none" w:sz="0" w:space="0" w:color="auto"/>
                <w:right w:val="none" w:sz="0" w:space="0" w:color="auto"/>
              </w:divBdr>
              <w:divsChild>
                <w:div w:id="1553007555">
                  <w:marLeft w:val="0"/>
                  <w:marRight w:val="0"/>
                  <w:marTop w:val="0"/>
                  <w:marBottom w:val="0"/>
                  <w:divBdr>
                    <w:top w:val="none" w:sz="0" w:space="0" w:color="auto"/>
                    <w:left w:val="none" w:sz="0" w:space="0" w:color="auto"/>
                    <w:bottom w:val="none" w:sz="0" w:space="0" w:color="auto"/>
                    <w:right w:val="none" w:sz="0" w:space="0" w:color="auto"/>
                  </w:divBdr>
                  <w:divsChild>
                    <w:div w:id="387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579">
      <w:bodyDiv w:val="1"/>
      <w:marLeft w:val="0"/>
      <w:marRight w:val="0"/>
      <w:marTop w:val="0"/>
      <w:marBottom w:val="0"/>
      <w:divBdr>
        <w:top w:val="none" w:sz="0" w:space="0" w:color="auto"/>
        <w:left w:val="none" w:sz="0" w:space="0" w:color="auto"/>
        <w:bottom w:val="none" w:sz="0" w:space="0" w:color="auto"/>
        <w:right w:val="none" w:sz="0" w:space="0" w:color="auto"/>
      </w:divBdr>
      <w:divsChild>
        <w:div w:id="500781612">
          <w:marLeft w:val="0"/>
          <w:marRight w:val="0"/>
          <w:marTop w:val="0"/>
          <w:marBottom w:val="0"/>
          <w:divBdr>
            <w:top w:val="none" w:sz="0" w:space="0" w:color="auto"/>
            <w:left w:val="none" w:sz="0" w:space="0" w:color="auto"/>
            <w:bottom w:val="none" w:sz="0" w:space="0" w:color="auto"/>
            <w:right w:val="none" w:sz="0" w:space="0" w:color="auto"/>
          </w:divBdr>
          <w:divsChild>
            <w:div w:id="237834088">
              <w:marLeft w:val="0"/>
              <w:marRight w:val="0"/>
              <w:marTop w:val="0"/>
              <w:marBottom w:val="0"/>
              <w:divBdr>
                <w:top w:val="none" w:sz="0" w:space="0" w:color="auto"/>
                <w:left w:val="none" w:sz="0" w:space="0" w:color="auto"/>
                <w:bottom w:val="none" w:sz="0" w:space="0" w:color="auto"/>
                <w:right w:val="none" w:sz="0" w:space="0" w:color="auto"/>
              </w:divBdr>
              <w:divsChild>
                <w:div w:id="1181551780">
                  <w:marLeft w:val="0"/>
                  <w:marRight w:val="0"/>
                  <w:marTop w:val="0"/>
                  <w:marBottom w:val="0"/>
                  <w:divBdr>
                    <w:top w:val="none" w:sz="0" w:space="0" w:color="auto"/>
                    <w:left w:val="none" w:sz="0" w:space="0" w:color="auto"/>
                    <w:bottom w:val="none" w:sz="0" w:space="0" w:color="auto"/>
                    <w:right w:val="none" w:sz="0" w:space="0" w:color="auto"/>
                  </w:divBdr>
                  <w:divsChild>
                    <w:div w:id="1673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48064216">
      <w:bodyDiv w:val="1"/>
      <w:marLeft w:val="0"/>
      <w:marRight w:val="0"/>
      <w:marTop w:val="0"/>
      <w:marBottom w:val="0"/>
      <w:divBdr>
        <w:top w:val="none" w:sz="0" w:space="0" w:color="auto"/>
        <w:left w:val="none" w:sz="0" w:space="0" w:color="auto"/>
        <w:bottom w:val="none" w:sz="0" w:space="0" w:color="auto"/>
        <w:right w:val="none" w:sz="0" w:space="0" w:color="auto"/>
      </w:divBdr>
      <w:divsChild>
        <w:div w:id="22707984">
          <w:marLeft w:val="0"/>
          <w:marRight w:val="0"/>
          <w:marTop w:val="0"/>
          <w:marBottom w:val="0"/>
          <w:divBdr>
            <w:top w:val="none" w:sz="0" w:space="0" w:color="auto"/>
            <w:left w:val="none" w:sz="0" w:space="0" w:color="auto"/>
            <w:bottom w:val="none" w:sz="0" w:space="0" w:color="auto"/>
            <w:right w:val="none" w:sz="0" w:space="0" w:color="auto"/>
          </w:divBdr>
          <w:divsChild>
            <w:div w:id="2010865557">
              <w:marLeft w:val="0"/>
              <w:marRight w:val="0"/>
              <w:marTop w:val="0"/>
              <w:marBottom w:val="0"/>
              <w:divBdr>
                <w:top w:val="none" w:sz="0" w:space="0" w:color="auto"/>
                <w:left w:val="none" w:sz="0" w:space="0" w:color="auto"/>
                <w:bottom w:val="none" w:sz="0" w:space="0" w:color="auto"/>
                <w:right w:val="none" w:sz="0" w:space="0" w:color="auto"/>
              </w:divBdr>
              <w:divsChild>
                <w:div w:id="45029891">
                  <w:marLeft w:val="0"/>
                  <w:marRight w:val="0"/>
                  <w:marTop w:val="0"/>
                  <w:marBottom w:val="0"/>
                  <w:divBdr>
                    <w:top w:val="none" w:sz="0" w:space="0" w:color="auto"/>
                    <w:left w:val="none" w:sz="0" w:space="0" w:color="auto"/>
                    <w:bottom w:val="none" w:sz="0" w:space="0" w:color="auto"/>
                    <w:right w:val="none" w:sz="0" w:space="0" w:color="auto"/>
                  </w:divBdr>
                  <w:divsChild>
                    <w:div w:id="1456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55721980">
      <w:bodyDiv w:val="1"/>
      <w:marLeft w:val="0"/>
      <w:marRight w:val="0"/>
      <w:marTop w:val="0"/>
      <w:marBottom w:val="0"/>
      <w:divBdr>
        <w:top w:val="none" w:sz="0" w:space="0" w:color="auto"/>
        <w:left w:val="none" w:sz="0" w:space="0" w:color="auto"/>
        <w:bottom w:val="none" w:sz="0" w:space="0" w:color="auto"/>
        <w:right w:val="none" w:sz="0" w:space="0" w:color="auto"/>
      </w:divBdr>
      <w:divsChild>
        <w:div w:id="2027362331">
          <w:marLeft w:val="0"/>
          <w:marRight w:val="0"/>
          <w:marTop w:val="0"/>
          <w:marBottom w:val="0"/>
          <w:divBdr>
            <w:top w:val="none" w:sz="0" w:space="0" w:color="auto"/>
            <w:left w:val="none" w:sz="0" w:space="0" w:color="auto"/>
            <w:bottom w:val="none" w:sz="0" w:space="0" w:color="auto"/>
            <w:right w:val="none" w:sz="0" w:space="0" w:color="auto"/>
          </w:divBdr>
          <w:divsChild>
            <w:div w:id="1464229130">
              <w:marLeft w:val="0"/>
              <w:marRight w:val="0"/>
              <w:marTop w:val="0"/>
              <w:marBottom w:val="0"/>
              <w:divBdr>
                <w:top w:val="none" w:sz="0" w:space="0" w:color="auto"/>
                <w:left w:val="none" w:sz="0" w:space="0" w:color="auto"/>
                <w:bottom w:val="none" w:sz="0" w:space="0" w:color="auto"/>
                <w:right w:val="none" w:sz="0" w:space="0" w:color="auto"/>
              </w:divBdr>
              <w:divsChild>
                <w:div w:id="197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93C6-8961-324C-B8D5-7A0017B1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胡 记丰</cp:lastModifiedBy>
  <cp:revision>36</cp:revision>
  <dcterms:created xsi:type="dcterms:W3CDTF">2015-10-27T14:07:00Z</dcterms:created>
  <dcterms:modified xsi:type="dcterms:W3CDTF">2016-02-25T21:26:00Z</dcterms:modified>
</cp:coreProperties>
</file>