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397"/>
        <w:gridCol w:w="2693"/>
        <w:gridCol w:w="2605"/>
      </w:tblGrid>
      <w:tr w:rsidR="00E8555E" w:rsidRPr="00E5675C" w14:paraId="3AA29E37" w14:textId="77777777" w:rsidTr="00EB7E76">
        <w:trPr>
          <w:trHeight w:val="80"/>
        </w:trPr>
        <w:tc>
          <w:tcPr>
            <w:tcW w:w="3005" w:type="dxa"/>
            <w:shd w:val="clear" w:color="auto" w:fill="365F91" w:themeFill="accent1" w:themeFillShade="BF"/>
          </w:tcPr>
          <w:p w14:paraId="2E49CA38" w14:textId="524C5FC1" w:rsidR="00E8555E" w:rsidRPr="00E8555E" w:rsidRDefault="00E8555E" w:rsidP="00E8555E">
            <w:pPr>
              <w:rPr>
                <w:b/>
                <w:color w:val="FFFFFF" w:themeColor="background1"/>
                <w:sz w:val="16"/>
                <w:szCs w:val="16"/>
              </w:rPr>
            </w:pPr>
            <w:r w:rsidRPr="00E8555E">
              <w:rPr>
                <w:b/>
                <w:color w:val="FFFFFF" w:themeColor="background1"/>
                <w:sz w:val="16"/>
                <w:szCs w:val="16"/>
              </w:rPr>
              <w:t xml:space="preserve">Company: </w:t>
            </w:r>
            <w:r w:rsidR="0010720B">
              <w:rPr>
                <w:b/>
                <w:color w:val="FFFFFF" w:themeColor="background1"/>
                <w:sz w:val="16"/>
                <w:szCs w:val="16"/>
              </w:rPr>
              <w:t xml:space="preserve"> </w:t>
            </w:r>
            <w:r w:rsidR="00EB7E76">
              <w:rPr>
                <w:b/>
                <w:color w:val="FFFFFF" w:themeColor="background1"/>
                <w:sz w:val="16"/>
                <w:szCs w:val="16"/>
              </w:rPr>
              <w:t>Carmax</w:t>
            </w:r>
          </w:p>
        </w:tc>
        <w:tc>
          <w:tcPr>
            <w:tcW w:w="3397" w:type="dxa"/>
            <w:shd w:val="clear" w:color="auto" w:fill="365F91" w:themeFill="accent1" w:themeFillShade="BF"/>
          </w:tcPr>
          <w:p w14:paraId="5FDF97F0" w14:textId="17940EFD" w:rsidR="00E8555E" w:rsidRPr="00E8555E" w:rsidRDefault="00E8555E">
            <w:pPr>
              <w:rPr>
                <w:color w:val="FFFFFF" w:themeColor="background1"/>
                <w:sz w:val="16"/>
                <w:szCs w:val="16"/>
              </w:rPr>
            </w:pPr>
            <w:r>
              <w:rPr>
                <w:color w:val="FFFFFF" w:themeColor="background1"/>
                <w:sz w:val="16"/>
                <w:szCs w:val="16"/>
              </w:rPr>
              <w:t xml:space="preserve">Ticker:  </w:t>
            </w:r>
            <w:r w:rsidR="00EB7E76">
              <w:rPr>
                <w:color w:val="FFFFFF" w:themeColor="background1"/>
                <w:sz w:val="16"/>
                <w:szCs w:val="16"/>
              </w:rPr>
              <w:t xml:space="preserve">KMX                    </w:t>
            </w:r>
            <w:r>
              <w:rPr>
                <w:color w:val="FFFFFF" w:themeColor="background1"/>
                <w:sz w:val="16"/>
                <w:szCs w:val="16"/>
              </w:rPr>
              <w:t xml:space="preserve">   Current Price:</w:t>
            </w:r>
            <w:r w:rsidR="00EB7E76">
              <w:rPr>
                <w:color w:val="FFFFFF" w:themeColor="background1"/>
                <w:sz w:val="16"/>
                <w:szCs w:val="16"/>
              </w:rPr>
              <w:t xml:space="preserve"> $58.05</w:t>
            </w:r>
          </w:p>
        </w:tc>
        <w:tc>
          <w:tcPr>
            <w:tcW w:w="2693" w:type="dxa"/>
            <w:shd w:val="clear" w:color="auto" w:fill="365F91" w:themeFill="accent1" w:themeFillShade="BF"/>
          </w:tcPr>
          <w:p w14:paraId="1FD4CAF9" w14:textId="667ED7B3" w:rsidR="00E8555E" w:rsidRPr="00E8555E" w:rsidRDefault="00E8555E">
            <w:pPr>
              <w:rPr>
                <w:color w:val="FFFFFF" w:themeColor="background1"/>
                <w:sz w:val="16"/>
                <w:szCs w:val="16"/>
              </w:rPr>
            </w:pPr>
            <w:r>
              <w:rPr>
                <w:color w:val="FFFFFF" w:themeColor="background1"/>
                <w:sz w:val="16"/>
                <w:szCs w:val="16"/>
              </w:rPr>
              <w:t>Industry:</w:t>
            </w:r>
            <w:r w:rsidR="00EB7E76">
              <w:rPr>
                <w:color w:val="FFFFFF" w:themeColor="background1"/>
                <w:sz w:val="16"/>
                <w:szCs w:val="16"/>
              </w:rPr>
              <w:t xml:space="preserve"> Consumer Discretionary</w:t>
            </w:r>
          </w:p>
        </w:tc>
        <w:tc>
          <w:tcPr>
            <w:tcW w:w="2605" w:type="dxa"/>
            <w:shd w:val="clear" w:color="auto" w:fill="365F91" w:themeFill="accent1" w:themeFillShade="BF"/>
          </w:tcPr>
          <w:p w14:paraId="417B84CE" w14:textId="2B25DB93" w:rsidR="00E8555E" w:rsidRPr="00E8555E" w:rsidRDefault="00E8555E">
            <w:pPr>
              <w:rPr>
                <w:color w:val="FFFFFF" w:themeColor="background1"/>
                <w:sz w:val="16"/>
                <w:szCs w:val="16"/>
              </w:rPr>
            </w:pPr>
            <w:r>
              <w:rPr>
                <w:color w:val="FFFFFF" w:themeColor="background1"/>
                <w:sz w:val="16"/>
                <w:szCs w:val="16"/>
              </w:rPr>
              <w:t xml:space="preserve">Sub Industry: </w:t>
            </w:r>
            <w:r w:rsidR="00EB7E76">
              <w:rPr>
                <w:color w:val="FFFFFF" w:themeColor="background1"/>
                <w:sz w:val="16"/>
                <w:szCs w:val="16"/>
              </w:rPr>
              <w:t>Automotive Retail</w:t>
            </w:r>
          </w:p>
        </w:tc>
      </w:tr>
      <w:tr w:rsidR="006E44B8" w:rsidRPr="00E5675C" w14:paraId="185E94E4" w14:textId="77777777" w:rsidTr="00EB7E76">
        <w:trPr>
          <w:trHeight w:val="512"/>
        </w:trPr>
        <w:tc>
          <w:tcPr>
            <w:tcW w:w="3005" w:type="dxa"/>
          </w:tcPr>
          <w:p w14:paraId="159CAB82" w14:textId="66655F4E" w:rsidR="00E8555E" w:rsidRDefault="00E8555E" w:rsidP="00E8555E">
            <w:pPr>
              <w:rPr>
                <w:sz w:val="16"/>
                <w:szCs w:val="16"/>
              </w:rPr>
            </w:pPr>
            <w:r>
              <w:rPr>
                <w:sz w:val="16"/>
                <w:szCs w:val="16"/>
              </w:rPr>
              <w:t>Target Price</w:t>
            </w:r>
            <w:r w:rsidR="00C161B3">
              <w:rPr>
                <w:sz w:val="16"/>
                <w:szCs w:val="16"/>
              </w:rPr>
              <w:t>:</w:t>
            </w:r>
            <w:r w:rsidR="00EB7E76">
              <w:rPr>
                <w:sz w:val="16"/>
                <w:szCs w:val="16"/>
              </w:rPr>
              <w:t xml:space="preserve"> $68</w:t>
            </w:r>
          </w:p>
          <w:p w14:paraId="366C508D" w14:textId="260FC1ED" w:rsidR="00E8555E" w:rsidRPr="00E5675C" w:rsidRDefault="00C161B3" w:rsidP="00E8555E">
            <w:pPr>
              <w:rPr>
                <w:sz w:val="16"/>
                <w:szCs w:val="16"/>
              </w:rPr>
            </w:pPr>
            <w:r>
              <w:rPr>
                <w:sz w:val="16"/>
                <w:szCs w:val="16"/>
              </w:rPr>
              <w:t>Stop Loss:</w:t>
            </w:r>
            <w:r w:rsidR="00EB7E76">
              <w:rPr>
                <w:sz w:val="16"/>
                <w:szCs w:val="16"/>
              </w:rPr>
              <w:t xml:space="preserve"> $46.44</w:t>
            </w:r>
          </w:p>
          <w:p w14:paraId="7E50A51D" w14:textId="570EDBDF" w:rsidR="006E44B8" w:rsidRPr="00E5675C" w:rsidRDefault="00E8555E" w:rsidP="00E8555E">
            <w:pPr>
              <w:rPr>
                <w:sz w:val="16"/>
                <w:szCs w:val="16"/>
              </w:rPr>
            </w:pPr>
            <w:r>
              <w:rPr>
                <w:sz w:val="16"/>
                <w:szCs w:val="16"/>
              </w:rPr>
              <w:t xml:space="preserve">52 Week High/ Low: </w:t>
            </w:r>
            <w:r w:rsidR="00EB7E76">
              <w:rPr>
                <w:sz w:val="16"/>
                <w:szCs w:val="16"/>
              </w:rPr>
              <w:t>$53.56-75.40</w:t>
            </w:r>
          </w:p>
        </w:tc>
        <w:tc>
          <w:tcPr>
            <w:tcW w:w="3397" w:type="dxa"/>
          </w:tcPr>
          <w:p w14:paraId="461A4200" w14:textId="458F558C" w:rsidR="00E8555E" w:rsidRDefault="00E8555E" w:rsidP="00E8555E">
            <w:pPr>
              <w:rPr>
                <w:sz w:val="16"/>
                <w:szCs w:val="16"/>
              </w:rPr>
            </w:pPr>
            <w:r>
              <w:rPr>
                <w:sz w:val="16"/>
                <w:szCs w:val="16"/>
              </w:rPr>
              <w:t xml:space="preserve">TTM P/E: </w:t>
            </w:r>
            <w:r w:rsidR="00EB7E76">
              <w:rPr>
                <w:sz w:val="16"/>
                <w:szCs w:val="16"/>
              </w:rPr>
              <w:t>19.98</w:t>
            </w:r>
          </w:p>
          <w:p w14:paraId="7862C274" w14:textId="26D1BB65" w:rsidR="00E8555E" w:rsidRPr="00FC20D0" w:rsidRDefault="00E8555E" w:rsidP="00E8555E">
            <w:pPr>
              <w:rPr>
                <w:sz w:val="16"/>
                <w:szCs w:val="16"/>
                <w:highlight w:val="yellow"/>
              </w:rPr>
            </w:pPr>
            <w:r>
              <w:rPr>
                <w:sz w:val="16"/>
                <w:szCs w:val="16"/>
              </w:rPr>
              <w:t xml:space="preserve">Forward P/E: </w:t>
            </w:r>
            <w:r w:rsidR="00EB7E76">
              <w:rPr>
                <w:sz w:val="16"/>
                <w:szCs w:val="16"/>
              </w:rPr>
              <w:t>16.56</w:t>
            </w:r>
          </w:p>
          <w:p w14:paraId="5AA3FEF7" w14:textId="7015CD1B" w:rsidR="006E44B8" w:rsidRPr="00E5675C" w:rsidRDefault="00E8555E" w:rsidP="00E8555E">
            <w:pPr>
              <w:rPr>
                <w:sz w:val="16"/>
                <w:szCs w:val="16"/>
                <w:lang w:eastAsia="zh-CN"/>
              </w:rPr>
            </w:pPr>
            <w:r>
              <w:rPr>
                <w:sz w:val="16"/>
                <w:szCs w:val="16"/>
              </w:rPr>
              <w:t xml:space="preserve">EPS: </w:t>
            </w:r>
            <w:r w:rsidR="00EB7E76">
              <w:rPr>
                <w:sz w:val="16"/>
                <w:szCs w:val="16"/>
              </w:rPr>
              <w:t>$2.94</w:t>
            </w:r>
          </w:p>
        </w:tc>
        <w:tc>
          <w:tcPr>
            <w:tcW w:w="2693" w:type="dxa"/>
          </w:tcPr>
          <w:p w14:paraId="25238E11" w14:textId="602056BC" w:rsidR="00E8555E" w:rsidRDefault="00923CAB" w:rsidP="00E8555E">
            <w:pPr>
              <w:rPr>
                <w:sz w:val="16"/>
                <w:szCs w:val="16"/>
                <w:lang w:eastAsia="zh-CN"/>
              </w:rPr>
            </w:pPr>
            <w:r>
              <w:rPr>
                <w:sz w:val="16"/>
                <w:szCs w:val="16"/>
              </w:rPr>
              <w:t xml:space="preserve">Beta: </w:t>
            </w:r>
            <w:r w:rsidR="00401E94">
              <w:rPr>
                <w:sz w:val="16"/>
                <w:szCs w:val="16"/>
              </w:rPr>
              <w:t>1.</w:t>
            </w:r>
            <w:r w:rsidR="00401E94">
              <w:rPr>
                <w:rFonts w:hint="eastAsia"/>
                <w:sz w:val="16"/>
                <w:szCs w:val="16"/>
                <w:lang w:eastAsia="zh-CN"/>
              </w:rPr>
              <w:t>26</w:t>
            </w:r>
          </w:p>
          <w:p w14:paraId="61C6D51C" w14:textId="732021C0" w:rsidR="00A30926" w:rsidRDefault="00E8555E" w:rsidP="00E8555E">
            <w:pPr>
              <w:rPr>
                <w:sz w:val="16"/>
                <w:szCs w:val="16"/>
              </w:rPr>
            </w:pPr>
            <w:r>
              <w:rPr>
                <w:sz w:val="16"/>
                <w:szCs w:val="16"/>
              </w:rPr>
              <w:t>Credit Rating:</w:t>
            </w:r>
            <w:r w:rsidR="00EB7E76">
              <w:rPr>
                <w:sz w:val="16"/>
                <w:szCs w:val="16"/>
              </w:rPr>
              <w:t xml:space="preserve"> </w:t>
            </w:r>
            <w:r w:rsidR="00B52573">
              <w:rPr>
                <w:sz w:val="16"/>
                <w:szCs w:val="16"/>
              </w:rPr>
              <w:t>--</w:t>
            </w:r>
          </w:p>
          <w:p w14:paraId="5BFE3D7B" w14:textId="32BBB40B" w:rsidR="003073EA" w:rsidRPr="00E5675C" w:rsidRDefault="003073EA" w:rsidP="00E8555E">
            <w:pPr>
              <w:rPr>
                <w:sz w:val="16"/>
                <w:szCs w:val="16"/>
              </w:rPr>
            </w:pPr>
            <w:r>
              <w:rPr>
                <w:sz w:val="16"/>
                <w:szCs w:val="16"/>
              </w:rPr>
              <w:t xml:space="preserve">Rating Outlook: </w:t>
            </w:r>
            <w:r w:rsidR="00B52573">
              <w:rPr>
                <w:sz w:val="16"/>
                <w:szCs w:val="16"/>
              </w:rPr>
              <w:t>--</w:t>
            </w:r>
          </w:p>
        </w:tc>
        <w:tc>
          <w:tcPr>
            <w:tcW w:w="2605" w:type="dxa"/>
          </w:tcPr>
          <w:p w14:paraId="438980BC" w14:textId="5EC416EC" w:rsidR="006E44B8" w:rsidRDefault="0013332F">
            <w:pPr>
              <w:rPr>
                <w:sz w:val="16"/>
                <w:szCs w:val="16"/>
              </w:rPr>
            </w:pPr>
            <w:r>
              <w:rPr>
                <w:sz w:val="16"/>
                <w:szCs w:val="16"/>
              </w:rPr>
              <w:t xml:space="preserve">Market Cap: </w:t>
            </w:r>
            <w:r w:rsidR="00F56E16">
              <w:rPr>
                <w:sz w:val="16"/>
                <w:szCs w:val="16"/>
              </w:rPr>
              <w:t>$11.72(B)</w:t>
            </w:r>
          </w:p>
          <w:p w14:paraId="37B82920" w14:textId="3163BF81" w:rsidR="00C441B3" w:rsidRPr="00501519" w:rsidRDefault="00501519">
            <w:pPr>
              <w:rPr>
                <w:rFonts w:asciiTheme="majorHAnsi" w:hAnsiTheme="majorHAnsi"/>
                <w:sz w:val="16"/>
                <w:szCs w:val="16"/>
              </w:rPr>
            </w:pPr>
            <w:r w:rsidRPr="00501519">
              <w:rPr>
                <w:rFonts w:asciiTheme="majorHAnsi" w:hAnsiTheme="majorHAnsi" w:cs="UniversLTStd-BoldCn"/>
                <w:bCs/>
                <w:sz w:val="16"/>
                <w:szCs w:val="16"/>
              </w:rPr>
              <w:t>Avg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AB159E">
              <w:rPr>
                <w:rFonts w:asciiTheme="majorHAnsi" w:hAnsiTheme="majorHAnsi" w:cs="UniversLTStd-BoldCn"/>
                <w:bCs/>
                <w:sz w:val="16"/>
                <w:szCs w:val="16"/>
              </w:rPr>
              <w:t xml:space="preserve"> 1.9 mil</w:t>
            </w:r>
          </w:p>
          <w:p w14:paraId="0D1C791A" w14:textId="39887FA3" w:rsidR="00E5675C" w:rsidRPr="00E5675C" w:rsidRDefault="00E5675C" w:rsidP="00BF2DE5">
            <w:pPr>
              <w:rPr>
                <w:sz w:val="16"/>
                <w:szCs w:val="16"/>
              </w:rPr>
            </w:pPr>
            <w:r>
              <w:rPr>
                <w:sz w:val="16"/>
                <w:szCs w:val="16"/>
              </w:rPr>
              <w:t xml:space="preserve">Dividend Yield: </w:t>
            </w:r>
            <w:r w:rsidR="00F56E16">
              <w:rPr>
                <w:sz w:val="16"/>
                <w:szCs w:val="16"/>
              </w:rPr>
              <w:t>0</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p>
          <w:p w14:paraId="1FAF743B" w14:textId="60CAE3C5" w:rsidR="00DB5A10" w:rsidRDefault="00D04F99" w:rsidP="005E114B">
            <w:pPr>
              <w:rPr>
                <w:sz w:val="16"/>
                <w:szCs w:val="16"/>
              </w:rPr>
            </w:pPr>
            <w:r w:rsidRPr="00D04F99">
              <w:rPr>
                <w:sz w:val="16"/>
                <w:szCs w:val="16"/>
              </w:rPr>
              <w:t xml:space="preserve">CarMax, Inc. is the largest U.S. retailer of used cars. As of April 1, 2015, CarMax owned and operated 146 used car superstores. It also sells new vehicles at locations under franchise agreements with four new car manufacturers. The company provides financial services to customers through CarMax Auto Finance </w:t>
            </w:r>
            <w:r w:rsidRPr="00D04F99">
              <w:rPr>
                <w:rFonts w:hint="eastAsia"/>
                <w:sz w:val="16"/>
                <w:szCs w:val="16"/>
              </w:rPr>
              <w:t>(CAF).</w:t>
            </w:r>
            <w:r w:rsidRPr="00D04F99">
              <w:rPr>
                <w:sz w:val="16"/>
                <w:szCs w:val="16"/>
              </w:rPr>
              <w:t xml:space="preserve"> The company's strategy is to overcome important sources of customer dissatisfaction with traditional auto retailers, while maximizing operating efficiencies.</w:t>
            </w:r>
          </w:p>
          <w:p w14:paraId="0A8884D5" w14:textId="77777777" w:rsidR="00DB5A10" w:rsidRDefault="00DB5A10" w:rsidP="005E114B">
            <w:pPr>
              <w:rPr>
                <w:sz w:val="16"/>
                <w:szCs w:val="16"/>
              </w:rPr>
            </w:pP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4A319D79" w14:textId="1D37FE5E" w:rsidR="00274740" w:rsidRDefault="00D04F99" w:rsidP="005E114B">
            <w:pPr>
              <w:rPr>
                <w:sz w:val="16"/>
                <w:szCs w:val="16"/>
              </w:rPr>
            </w:pPr>
            <w:r w:rsidRPr="00D04F99">
              <w:rPr>
                <w:sz w:val="16"/>
                <w:szCs w:val="16"/>
              </w:rPr>
              <w:t>Th</w:t>
            </w:r>
            <w:r w:rsidR="002D655C">
              <w:rPr>
                <w:sz w:val="16"/>
                <w:szCs w:val="16"/>
              </w:rPr>
              <w:t>e industry is highly fragmented.</w:t>
            </w:r>
            <w:r w:rsidRPr="00D04F99">
              <w:rPr>
                <w:sz w:val="16"/>
                <w:szCs w:val="16"/>
              </w:rPr>
              <w:t xml:space="preserve"> </w:t>
            </w:r>
            <w:r w:rsidR="002D655C" w:rsidRPr="002D655C">
              <w:rPr>
                <w:sz w:val="16"/>
                <w:szCs w:val="16"/>
              </w:rPr>
              <w:t>While CarMax is the largest used auto retailer, it still represented only about 2% of the total late model used units sold.</w:t>
            </w:r>
            <w:r w:rsidRPr="00D04F99">
              <w:rPr>
                <w:sz w:val="16"/>
                <w:szCs w:val="16"/>
              </w:rPr>
              <w:t xml:space="preserve"> During the past few years, Internet marketing has taken on great significance for the used vehicle and vehicle financing markets. </w:t>
            </w:r>
            <w:r w:rsidRPr="00D04F99">
              <w:rPr>
                <w:rFonts w:hint="eastAsia"/>
                <w:sz w:val="16"/>
                <w:szCs w:val="16"/>
              </w:rPr>
              <w:t xml:space="preserve">The outlook for this industry is positive. </w:t>
            </w:r>
            <w:r w:rsidRPr="00D04F99">
              <w:rPr>
                <w:sz w:val="16"/>
                <w:szCs w:val="16"/>
              </w:rPr>
              <w:t>Many new and restyled vehicles, combined with updated in-vehicle technology and greater fuel efficiency, as well as more vehicles coming off leases, should also drive new vehicle sales.</w:t>
            </w:r>
          </w:p>
          <w:p w14:paraId="2219CC73" w14:textId="77777777" w:rsidR="00274740" w:rsidRDefault="00274740" w:rsidP="005E114B">
            <w:pPr>
              <w:rPr>
                <w:sz w:val="16"/>
                <w:szCs w:val="16"/>
              </w:rPr>
            </w:pP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77777777" w:rsidR="00DB5A10" w:rsidRDefault="00DB5A10" w:rsidP="005E114B">
            <w:pPr>
              <w:rPr>
                <w:sz w:val="16"/>
                <w:szCs w:val="16"/>
              </w:rPr>
            </w:pPr>
          </w:p>
          <w:p w14:paraId="496969E9" w14:textId="3F0FC3A9" w:rsidR="00DB5A10" w:rsidRDefault="00D04F99" w:rsidP="005E114B">
            <w:pPr>
              <w:rPr>
                <w:sz w:val="16"/>
                <w:szCs w:val="16"/>
              </w:rPr>
            </w:pPr>
            <w:r w:rsidRPr="00D04F99">
              <w:rPr>
                <w:rFonts w:hint="eastAsia"/>
                <w:sz w:val="16"/>
                <w:szCs w:val="16"/>
              </w:rPr>
              <w:t xml:space="preserve">Automotive Retail </w:t>
            </w:r>
            <w:r w:rsidR="00F272C6">
              <w:rPr>
                <w:rFonts w:hint="eastAsia"/>
                <w:sz w:val="16"/>
                <w:szCs w:val="16"/>
              </w:rPr>
              <w:t>has</w:t>
            </w:r>
            <w:r w:rsidRPr="00D04F99">
              <w:rPr>
                <w:rFonts w:hint="eastAsia"/>
                <w:sz w:val="16"/>
                <w:szCs w:val="16"/>
              </w:rPr>
              <w:t xml:space="preserve"> a #2 industry rank</w:t>
            </w:r>
            <w:r w:rsidR="00F272C6">
              <w:rPr>
                <w:rFonts w:hint="eastAsia"/>
                <w:sz w:val="16"/>
                <w:szCs w:val="16"/>
              </w:rPr>
              <w:t>ing</w:t>
            </w:r>
            <w:r w:rsidRPr="00D04F99">
              <w:rPr>
                <w:rFonts w:hint="eastAsia"/>
                <w:sz w:val="16"/>
                <w:szCs w:val="16"/>
              </w:rPr>
              <w:t xml:space="preserve"> in Value Line</w:t>
            </w:r>
            <w:r w:rsidR="00F272C6">
              <w:rPr>
                <w:rFonts w:hint="eastAsia"/>
                <w:sz w:val="16"/>
                <w:szCs w:val="16"/>
              </w:rPr>
              <w:t>, with a great potential under the current market situation</w:t>
            </w:r>
            <w:r w:rsidRPr="00D04F99">
              <w:rPr>
                <w:rFonts w:hint="eastAsia"/>
                <w:sz w:val="16"/>
                <w:szCs w:val="16"/>
              </w:rPr>
              <w:t xml:space="preserve">. CarMax </w:t>
            </w:r>
            <w:r w:rsidR="000A0DE5">
              <w:rPr>
                <w:rFonts w:hint="eastAsia"/>
                <w:sz w:val="16"/>
                <w:szCs w:val="16"/>
              </w:rPr>
              <w:t xml:space="preserve">has increased revenue and profitability at a remarkable rate and </w:t>
            </w:r>
            <w:r w:rsidRPr="00D04F99">
              <w:rPr>
                <w:rFonts w:hint="eastAsia"/>
                <w:sz w:val="16"/>
                <w:szCs w:val="16"/>
              </w:rPr>
              <w:t xml:space="preserve">has a significantly higher operating margin </w:t>
            </w:r>
            <w:r w:rsidRPr="00D04F99">
              <w:rPr>
                <w:sz w:val="16"/>
                <w:szCs w:val="16"/>
              </w:rPr>
              <w:t>compared</w:t>
            </w:r>
            <w:r w:rsidRPr="00D04F99">
              <w:rPr>
                <w:rFonts w:hint="eastAsia"/>
                <w:sz w:val="16"/>
                <w:szCs w:val="16"/>
              </w:rPr>
              <w:t xml:space="preserve"> with its competitors. In addition, CarMax </w:t>
            </w:r>
            <w:r w:rsidRPr="00D04F99">
              <w:rPr>
                <w:sz w:val="16"/>
                <w:szCs w:val="16"/>
              </w:rPr>
              <w:t>stock is near the bottom of its 12-month trading range</w:t>
            </w:r>
            <w:r w:rsidRPr="00D04F99">
              <w:rPr>
                <w:rFonts w:hint="eastAsia"/>
                <w:sz w:val="16"/>
                <w:szCs w:val="16"/>
              </w:rPr>
              <w:t>, but due to the better-than expected showing in the August quarter, it has a great appreciation potential. Also, its share repurchase grogram sh</w:t>
            </w:r>
            <w:r w:rsidR="00263A2E">
              <w:rPr>
                <w:rFonts w:hint="eastAsia"/>
                <w:sz w:val="16"/>
                <w:szCs w:val="16"/>
              </w:rPr>
              <w:t>ows the confidence of the board, and this company is most probably undervalued.</w:t>
            </w:r>
          </w:p>
          <w:p w14:paraId="35F9E681" w14:textId="77777777" w:rsidR="00DB5A10" w:rsidRDefault="00DB5A10" w:rsidP="005E114B">
            <w:pPr>
              <w:rPr>
                <w:sz w:val="16"/>
                <w:szCs w:val="16"/>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Default="00DB5A10" w:rsidP="005E114B">
            <w:pPr>
              <w:rPr>
                <w:sz w:val="16"/>
                <w:szCs w:val="16"/>
              </w:rPr>
            </w:pPr>
          </w:p>
          <w:p w14:paraId="72F83B33" w14:textId="77777777" w:rsidR="00D04F99" w:rsidRPr="00D04F99" w:rsidRDefault="00D04F99" w:rsidP="00D04F99">
            <w:pPr>
              <w:pStyle w:val="ListParagraph"/>
              <w:numPr>
                <w:ilvl w:val="0"/>
                <w:numId w:val="3"/>
              </w:numPr>
              <w:rPr>
                <w:b/>
                <w:sz w:val="16"/>
                <w:szCs w:val="16"/>
              </w:rPr>
            </w:pPr>
            <w:r w:rsidRPr="00D04F99">
              <w:rPr>
                <w:rFonts w:hint="eastAsia"/>
                <w:sz w:val="16"/>
                <w:szCs w:val="16"/>
              </w:rPr>
              <w:t>Rising investment in new facilities and ongoing share repurchases will likely limit capital available in other purposes, and also increase its debt ratio</w:t>
            </w:r>
          </w:p>
          <w:p w14:paraId="38040678" w14:textId="77777777" w:rsidR="00D04F99" w:rsidRPr="00D04F99" w:rsidRDefault="00D04F99" w:rsidP="00D04F99">
            <w:pPr>
              <w:pStyle w:val="ListParagraph"/>
              <w:numPr>
                <w:ilvl w:val="0"/>
                <w:numId w:val="3"/>
              </w:numPr>
              <w:rPr>
                <w:b/>
                <w:sz w:val="16"/>
                <w:szCs w:val="16"/>
              </w:rPr>
            </w:pPr>
            <w:r w:rsidRPr="00D04F99">
              <w:rPr>
                <w:rFonts w:hint="eastAsia"/>
                <w:sz w:val="16"/>
                <w:szCs w:val="16"/>
              </w:rPr>
              <w:t>Based on the EPS, KMX recently traded at a premium to the average of automobile retailers</w:t>
            </w:r>
          </w:p>
          <w:p w14:paraId="2F0BE593" w14:textId="043C3EDA" w:rsidR="00DB5A10" w:rsidRPr="00D04F99" w:rsidRDefault="00D04F99" w:rsidP="005E114B">
            <w:pPr>
              <w:pStyle w:val="ListParagraph"/>
              <w:numPr>
                <w:ilvl w:val="0"/>
                <w:numId w:val="3"/>
              </w:numPr>
              <w:rPr>
                <w:sz w:val="16"/>
                <w:szCs w:val="16"/>
              </w:rPr>
            </w:pPr>
            <w:r w:rsidRPr="00D04F99">
              <w:rPr>
                <w:rFonts w:hint="eastAsia"/>
                <w:sz w:val="16"/>
                <w:szCs w:val="16"/>
              </w:rPr>
              <w:t>Demand for and pricing of used vehicles could be weaker than analysts expect</w:t>
            </w:r>
          </w:p>
          <w:p w14:paraId="78159DC0" w14:textId="77777777" w:rsidR="00DB5A10" w:rsidRDefault="00DB5A10" w:rsidP="005E114B">
            <w:pPr>
              <w:rPr>
                <w:sz w:val="16"/>
                <w:szCs w:val="16"/>
              </w:rPr>
            </w:pP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3333CC8F" w:rsidR="00DB5A10" w:rsidRDefault="00DB5A10" w:rsidP="005E114B">
            <w:pPr>
              <w:rPr>
                <w:sz w:val="16"/>
                <w:szCs w:val="16"/>
              </w:rPr>
            </w:pPr>
          </w:p>
          <w:p w14:paraId="5480B530" w14:textId="066BCFA4" w:rsidR="00DB5A10" w:rsidRPr="002105B2" w:rsidRDefault="00357218" w:rsidP="002105B2">
            <w:pPr>
              <w:pStyle w:val="ListParagraph"/>
              <w:numPr>
                <w:ilvl w:val="0"/>
                <w:numId w:val="4"/>
              </w:numPr>
              <w:rPr>
                <w:sz w:val="16"/>
                <w:szCs w:val="16"/>
              </w:rPr>
            </w:pPr>
            <w:r w:rsidRPr="002105B2">
              <w:rPr>
                <w:sz w:val="16"/>
                <w:szCs w:val="16"/>
              </w:rPr>
              <w:t>Facing the new competitors, Carmax is trying to make sure its customers can do transactions from home. And its huge competitive advanta</w:t>
            </w:r>
            <w:r w:rsidR="00C97C4E" w:rsidRPr="002105B2">
              <w:rPr>
                <w:sz w:val="16"/>
                <w:szCs w:val="16"/>
              </w:rPr>
              <w:t xml:space="preserve">ge is the 50,000 selections of </w:t>
            </w:r>
            <w:r w:rsidRPr="002105B2">
              <w:rPr>
                <w:sz w:val="16"/>
                <w:szCs w:val="16"/>
              </w:rPr>
              <w:t>inventory, which can be searched by customers onli</w:t>
            </w:r>
            <w:r w:rsidR="00C97C4E" w:rsidRPr="002105B2">
              <w:rPr>
                <w:sz w:val="16"/>
                <w:szCs w:val="16"/>
              </w:rPr>
              <w:t>ne;</w:t>
            </w:r>
          </w:p>
          <w:p w14:paraId="5A275D51" w14:textId="47073902" w:rsidR="00357218" w:rsidRPr="002105B2" w:rsidRDefault="00BC3AB4" w:rsidP="002105B2">
            <w:pPr>
              <w:pStyle w:val="ListParagraph"/>
              <w:numPr>
                <w:ilvl w:val="0"/>
                <w:numId w:val="4"/>
              </w:numPr>
              <w:rPr>
                <w:sz w:val="16"/>
                <w:szCs w:val="16"/>
              </w:rPr>
            </w:pPr>
            <w:r w:rsidRPr="002105B2">
              <w:rPr>
                <w:sz w:val="16"/>
                <w:szCs w:val="16"/>
              </w:rPr>
              <w:t xml:space="preserve">Despite the gas prices are low, rates are low and employment is improving, the showroom traffic was stagnant. </w:t>
            </w:r>
            <w:r w:rsidR="00417CC5" w:rsidRPr="002105B2">
              <w:rPr>
                <w:sz w:val="16"/>
                <w:szCs w:val="16"/>
              </w:rPr>
              <w:t>The CEO said it’s hard to explain it on a quarter to quarter basis, and maybe customers are more prepared before they show up, which is just as good as getting more traffic;</w:t>
            </w:r>
          </w:p>
          <w:p w14:paraId="4F6C4B50" w14:textId="55C606B1" w:rsidR="000A0DE5" w:rsidRPr="000A0DE5" w:rsidRDefault="002105B2" w:rsidP="000A0DE5">
            <w:pPr>
              <w:pStyle w:val="ListParagraph"/>
              <w:numPr>
                <w:ilvl w:val="0"/>
                <w:numId w:val="4"/>
              </w:numPr>
              <w:rPr>
                <w:sz w:val="16"/>
                <w:szCs w:val="16"/>
                <w:lang w:eastAsia="zh-CN"/>
              </w:rPr>
            </w:pPr>
            <w:r w:rsidRPr="002105B2">
              <w:rPr>
                <w:sz w:val="16"/>
                <w:szCs w:val="16"/>
              </w:rPr>
              <w:t xml:space="preserve">In terms of the pace of new stores opening, Carmax replied that they don’t want to accelerate the growth pace </w:t>
            </w:r>
            <w:r w:rsidRPr="002105B2">
              <w:rPr>
                <w:rFonts w:hint="eastAsia"/>
                <w:sz w:val="16"/>
                <w:szCs w:val="16"/>
                <w:lang w:eastAsia="zh-CN"/>
              </w:rPr>
              <w:t>blindly, they are focused on making operational improvement in their existing stores;</w:t>
            </w:r>
          </w:p>
          <w:p w14:paraId="4205DC0B" w14:textId="77777777" w:rsidR="00DB5A10" w:rsidRDefault="00DB5A10" w:rsidP="00B335E6">
            <w:pPr>
              <w:rPr>
                <w:sz w:val="16"/>
                <w:szCs w:val="16"/>
              </w:rPr>
            </w:pP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830F06" w:rsidRPr="002F062C" w14:paraId="23FAEDA0" w14:textId="77777777" w:rsidTr="006B0A61">
              <w:tc>
                <w:tcPr>
                  <w:tcW w:w="1562" w:type="dxa"/>
                  <w:shd w:val="clear" w:color="auto" w:fill="DBE5F1" w:themeFill="accent1" w:themeFillTint="33"/>
                </w:tcPr>
                <w:p w14:paraId="165C82C4" w14:textId="77777777" w:rsidR="00830F06" w:rsidRDefault="00830F06" w:rsidP="00830F06">
                  <w:pPr>
                    <w:rPr>
                      <w:sz w:val="16"/>
                      <w:szCs w:val="16"/>
                    </w:rPr>
                  </w:pPr>
                </w:p>
              </w:tc>
              <w:tc>
                <w:tcPr>
                  <w:tcW w:w="1007" w:type="dxa"/>
                  <w:tcBorders>
                    <w:bottom w:val="single" w:sz="4" w:space="0" w:color="auto"/>
                  </w:tcBorders>
                  <w:shd w:val="clear" w:color="auto" w:fill="DBE5F1" w:themeFill="accent1" w:themeFillTint="33"/>
                </w:tcPr>
                <w:p w14:paraId="76114568" w14:textId="77777777" w:rsidR="00830F06" w:rsidRDefault="00830F06" w:rsidP="00830F06">
                  <w:pPr>
                    <w:rPr>
                      <w:sz w:val="16"/>
                      <w:szCs w:val="16"/>
                    </w:rPr>
                  </w:pPr>
                  <w:r>
                    <w:rPr>
                      <w:sz w:val="16"/>
                      <w:szCs w:val="16"/>
                    </w:rPr>
                    <w:t>2012</w:t>
                  </w:r>
                </w:p>
              </w:tc>
              <w:tc>
                <w:tcPr>
                  <w:tcW w:w="990" w:type="dxa"/>
                  <w:tcBorders>
                    <w:bottom w:val="single" w:sz="4" w:space="0" w:color="auto"/>
                  </w:tcBorders>
                  <w:shd w:val="clear" w:color="auto" w:fill="DBE5F1" w:themeFill="accent1" w:themeFillTint="33"/>
                </w:tcPr>
                <w:p w14:paraId="0FA0AD6E" w14:textId="77777777" w:rsidR="00830F06" w:rsidRDefault="00830F06" w:rsidP="00830F06">
                  <w:pPr>
                    <w:rPr>
                      <w:sz w:val="16"/>
                      <w:szCs w:val="16"/>
                    </w:rPr>
                  </w:pPr>
                  <w:r>
                    <w:rPr>
                      <w:sz w:val="16"/>
                      <w:szCs w:val="16"/>
                    </w:rPr>
                    <w:t>2013</w:t>
                  </w:r>
                </w:p>
              </w:tc>
              <w:tc>
                <w:tcPr>
                  <w:tcW w:w="920" w:type="dxa"/>
                  <w:tcBorders>
                    <w:bottom w:val="single" w:sz="4" w:space="0" w:color="auto"/>
                  </w:tcBorders>
                  <w:shd w:val="clear" w:color="auto" w:fill="DBE5F1" w:themeFill="accent1" w:themeFillTint="33"/>
                </w:tcPr>
                <w:p w14:paraId="222A182C" w14:textId="77777777" w:rsidR="00830F06" w:rsidRDefault="00830F06" w:rsidP="00830F06">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43EE2733" w14:textId="77777777" w:rsidR="00830F06" w:rsidRDefault="00830F06" w:rsidP="00830F06">
                  <w:pPr>
                    <w:rPr>
                      <w:sz w:val="16"/>
                      <w:szCs w:val="16"/>
                    </w:rPr>
                  </w:pPr>
                  <w:r>
                    <w:rPr>
                      <w:sz w:val="16"/>
                      <w:szCs w:val="16"/>
                    </w:rPr>
                    <w:t>Q1-2015</w:t>
                  </w:r>
                </w:p>
              </w:tc>
              <w:tc>
                <w:tcPr>
                  <w:tcW w:w="920" w:type="dxa"/>
                  <w:tcBorders>
                    <w:bottom w:val="single" w:sz="4" w:space="0" w:color="auto"/>
                  </w:tcBorders>
                  <w:shd w:val="clear" w:color="auto" w:fill="DBE5F1" w:themeFill="accent1" w:themeFillTint="33"/>
                </w:tcPr>
                <w:p w14:paraId="2262B9DA" w14:textId="77777777" w:rsidR="00830F06" w:rsidRDefault="00830F06" w:rsidP="00830F06">
                  <w:pPr>
                    <w:rPr>
                      <w:sz w:val="16"/>
                      <w:szCs w:val="16"/>
                    </w:rPr>
                  </w:pPr>
                  <w:r>
                    <w:rPr>
                      <w:sz w:val="16"/>
                      <w:szCs w:val="16"/>
                    </w:rPr>
                    <w:t>Q2-2015</w:t>
                  </w:r>
                </w:p>
              </w:tc>
              <w:tc>
                <w:tcPr>
                  <w:tcW w:w="920" w:type="dxa"/>
                  <w:tcBorders>
                    <w:bottom w:val="single" w:sz="4" w:space="0" w:color="auto"/>
                  </w:tcBorders>
                  <w:shd w:val="clear" w:color="auto" w:fill="DBE5F1" w:themeFill="accent1" w:themeFillTint="33"/>
                </w:tcPr>
                <w:p w14:paraId="4080B05E" w14:textId="77777777" w:rsidR="00830F06" w:rsidRDefault="00830F06" w:rsidP="00830F06">
                  <w:pPr>
                    <w:rPr>
                      <w:sz w:val="16"/>
                      <w:szCs w:val="16"/>
                    </w:rPr>
                  </w:pPr>
                  <w:r>
                    <w:rPr>
                      <w:sz w:val="16"/>
                      <w:szCs w:val="16"/>
                    </w:rPr>
                    <w:t>Q3-2015</w:t>
                  </w:r>
                </w:p>
              </w:tc>
            </w:tr>
            <w:tr w:rsidR="002F062C" w:rsidRPr="002F062C" w14:paraId="5835BCA6" w14:textId="77777777" w:rsidTr="006B0A61">
              <w:tc>
                <w:tcPr>
                  <w:tcW w:w="1562" w:type="dxa"/>
                </w:tcPr>
                <w:p w14:paraId="6C7AE70B" w14:textId="713192A3" w:rsidR="002F062C" w:rsidRDefault="002F062C" w:rsidP="002F062C">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vAlign w:val="bottom"/>
                </w:tcPr>
                <w:p w14:paraId="41FE7B9F" w14:textId="58FD658C" w:rsidR="002F062C" w:rsidRDefault="002F062C" w:rsidP="002F062C">
                  <w:pPr>
                    <w:rPr>
                      <w:sz w:val="16"/>
                      <w:szCs w:val="16"/>
                    </w:rPr>
                  </w:pPr>
                  <w:r w:rsidRPr="002F062C">
                    <w:rPr>
                      <w:rFonts w:hint="eastAsia"/>
                      <w:sz w:val="16"/>
                      <w:szCs w:val="16"/>
                    </w:rPr>
                    <w:t xml:space="preserve"> 10,003.60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AD94885" w14:textId="0C2D7E95" w:rsidR="002F062C" w:rsidRDefault="002F062C" w:rsidP="002F062C">
                  <w:pPr>
                    <w:rPr>
                      <w:sz w:val="16"/>
                      <w:szCs w:val="16"/>
                    </w:rPr>
                  </w:pPr>
                  <w:r w:rsidRPr="002F062C">
                    <w:rPr>
                      <w:rFonts w:hint="eastAsia"/>
                      <w:sz w:val="16"/>
                      <w:szCs w:val="16"/>
                    </w:rPr>
                    <w:t xml:space="preserve"> 10,962.82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CBFF446" w14:textId="6459E6A1" w:rsidR="002F062C" w:rsidRDefault="002F062C" w:rsidP="002F062C">
                  <w:pPr>
                    <w:rPr>
                      <w:sz w:val="16"/>
                      <w:szCs w:val="16"/>
                    </w:rPr>
                  </w:pPr>
                  <w:r w:rsidRPr="002F062C">
                    <w:rPr>
                      <w:rFonts w:hint="eastAsia"/>
                      <w:sz w:val="16"/>
                      <w:szCs w:val="16"/>
                    </w:rPr>
                    <w:t xml:space="preserve">12,574.30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54B361CE" w:rsidR="002F062C" w:rsidRDefault="002F062C" w:rsidP="002F062C">
                  <w:pPr>
                    <w:rPr>
                      <w:sz w:val="16"/>
                      <w:szCs w:val="16"/>
                    </w:rPr>
                  </w:pPr>
                  <w:r w:rsidRPr="002F062C">
                    <w:rPr>
                      <w:rFonts w:hint="eastAsia"/>
                      <w:sz w:val="16"/>
                      <w:szCs w:val="16"/>
                    </w:rPr>
                    <w:t xml:space="preserve"> 3,750.20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00BBECD6" w:rsidR="002F062C" w:rsidRDefault="002F062C" w:rsidP="002F062C">
                  <w:pPr>
                    <w:rPr>
                      <w:sz w:val="16"/>
                      <w:szCs w:val="16"/>
                    </w:rPr>
                  </w:pPr>
                  <w:r w:rsidRPr="002F062C">
                    <w:rPr>
                      <w:rFonts w:hint="eastAsia"/>
                      <w:sz w:val="16"/>
                      <w:szCs w:val="16"/>
                    </w:rPr>
                    <w:t xml:space="preserve"> 3,599.19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44798EC8" w:rsidR="002F062C" w:rsidRDefault="002F062C" w:rsidP="002F062C">
                  <w:pPr>
                    <w:rPr>
                      <w:sz w:val="16"/>
                      <w:szCs w:val="16"/>
                    </w:rPr>
                  </w:pPr>
                  <w:r w:rsidRPr="002F062C">
                    <w:rPr>
                      <w:rFonts w:hint="eastAsia"/>
                      <w:sz w:val="16"/>
                      <w:szCs w:val="16"/>
                    </w:rPr>
                    <w:t xml:space="preserve"> 3,405.23 </w:t>
                  </w:r>
                </w:p>
              </w:tc>
            </w:tr>
            <w:tr w:rsidR="002F062C" w:rsidRPr="002F062C" w14:paraId="0D74DF99" w14:textId="77777777" w:rsidTr="006B0A61">
              <w:tc>
                <w:tcPr>
                  <w:tcW w:w="1562" w:type="dxa"/>
                </w:tcPr>
                <w:p w14:paraId="209309E4" w14:textId="77777777" w:rsidR="002F062C" w:rsidRDefault="002F062C" w:rsidP="002F062C">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vAlign w:val="bottom"/>
                </w:tcPr>
                <w:p w14:paraId="43EF44A6" w14:textId="06675B9D" w:rsidR="002F062C" w:rsidRDefault="002F062C" w:rsidP="002F062C">
                  <w:pPr>
                    <w:rPr>
                      <w:sz w:val="16"/>
                      <w:szCs w:val="16"/>
                    </w:rPr>
                  </w:pPr>
                  <w:r w:rsidRPr="002F062C">
                    <w:rPr>
                      <w:rFonts w:hint="eastAsia"/>
                      <w:sz w:val="16"/>
                      <w:szCs w:val="16"/>
                    </w:rPr>
                    <w:t xml:space="preserve">    700.16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295F75" w14:textId="46324384" w:rsidR="002F062C" w:rsidRDefault="002F062C" w:rsidP="002F062C">
                  <w:pPr>
                    <w:rPr>
                      <w:sz w:val="16"/>
                      <w:szCs w:val="16"/>
                    </w:rPr>
                  </w:pPr>
                  <w:r w:rsidRPr="002F062C">
                    <w:rPr>
                      <w:rFonts w:hint="eastAsia"/>
                      <w:sz w:val="16"/>
                      <w:szCs w:val="16"/>
                    </w:rPr>
                    <w:t xml:space="preserve">    732.60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73FEC76" w14:textId="1155029C" w:rsidR="002F062C" w:rsidRDefault="002F062C" w:rsidP="002F062C">
                  <w:pPr>
                    <w:rPr>
                      <w:sz w:val="16"/>
                      <w:szCs w:val="16"/>
                    </w:rPr>
                  </w:pPr>
                  <w:r w:rsidRPr="002F062C">
                    <w:rPr>
                      <w:rFonts w:hint="eastAsia"/>
                      <w:sz w:val="16"/>
                      <w:szCs w:val="16"/>
                    </w:rPr>
                    <w:t xml:space="preserve">    829.65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0551E47B" w:rsidR="002F062C" w:rsidRDefault="002F062C" w:rsidP="002F062C">
                  <w:pPr>
                    <w:rPr>
                      <w:sz w:val="16"/>
                      <w:szCs w:val="16"/>
                    </w:rPr>
                  </w:pPr>
                  <w:r w:rsidRPr="002F062C">
                    <w:rPr>
                      <w:rFonts w:hint="eastAsia"/>
                      <w:sz w:val="16"/>
                      <w:szCs w:val="16"/>
                    </w:rPr>
                    <w:t xml:space="preserve">   282.90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31B6F2F0" w:rsidR="002F062C" w:rsidRDefault="002F062C" w:rsidP="002F062C">
                  <w:pPr>
                    <w:rPr>
                      <w:sz w:val="16"/>
                      <w:szCs w:val="16"/>
                    </w:rPr>
                  </w:pPr>
                  <w:r w:rsidRPr="002F062C">
                    <w:rPr>
                      <w:rFonts w:hint="eastAsia"/>
                      <w:sz w:val="16"/>
                      <w:szCs w:val="16"/>
                    </w:rPr>
                    <w:t xml:space="preserve">   258.28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5292BA20" w:rsidR="002F062C" w:rsidRDefault="002F062C" w:rsidP="002F062C">
                  <w:pPr>
                    <w:rPr>
                      <w:sz w:val="16"/>
                      <w:szCs w:val="16"/>
                    </w:rPr>
                  </w:pPr>
                  <w:r w:rsidRPr="002F062C">
                    <w:rPr>
                      <w:rFonts w:hint="eastAsia"/>
                      <w:sz w:val="16"/>
                      <w:szCs w:val="16"/>
                    </w:rPr>
                    <w:t xml:space="preserve">   219.71 </w:t>
                  </w:r>
                </w:p>
              </w:tc>
            </w:tr>
            <w:tr w:rsidR="002F062C" w:rsidRPr="002F062C" w14:paraId="329334DC" w14:textId="77777777" w:rsidTr="006B0A61">
              <w:tc>
                <w:tcPr>
                  <w:tcW w:w="1562" w:type="dxa"/>
                </w:tcPr>
                <w:p w14:paraId="57B2BB96" w14:textId="77777777" w:rsidR="002F062C" w:rsidRDefault="002F062C" w:rsidP="002F062C">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ED33C82" w14:textId="61FB4EC4" w:rsidR="002F062C" w:rsidRDefault="002F062C" w:rsidP="002F062C">
                  <w:pPr>
                    <w:rPr>
                      <w:sz w:val="16"/>
                      <w:szCs w:val="16"/>
                    </w:rPr>
                  </w:pPr>
                  <w:r w:rsidRPr="002F062C">
                    <w:rPr>
                      <w:rFonts w:hint="eastAsia"/>
                      <w:sz w:val="16"/>
                      <w:szCs w:val="16"/>
                    </w:rPr>
                    <w:t xml:space="preserve">    413.80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8C55153" w14:textId="010999B0" w:rsidR="002F062C" w:rsidRDefault="002F062C" w:rsidP="002F062C">
                  <w:pPr>
                    <w:rPr>
                      <w:sz w:val="16"/>
                      <w:szCs w:val="16"/>
                    </w:rPr>
                  </w:pPr>
                  <w:r w:rsidRPr="002F062C">
                    <w:rPr>
                      <w:rFonts w:hint="eastAsia"/>
                      <w:sz w:val="16"/>
                      <w:szCs w:val="16"/>
                    </w:rPr>
                    <w:t xml:space="preserve">    434.28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CD87A4" w14:textId="6859984D" w:rsidR="002F062C" w:rsidRDefault="002F062C" w:rsidP="002F062C">
                  <w:pPr>
                    <w:rPr>
                      <w:sz w:val="16"/>
                      <w:szCs w:val="16"/>
                    </w:rPr>
                  </w:pPr>
                  <w:r w:rsidRPr="002F062C">
                    <w:rPr>
                      <w:rFonts w:hint="eastAsia"/>
                      <w:sz w:val="16"/>
                      <w:szCs w:val="16"/>
                    </w:rPr>
                    <w:t xml:space="preserve">    492.59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5034B7FC" w:rsidR="002F062C" w:rsidRDefault="002F062C" w:rsidP="002F062C">
                  <w:pPr>
                    <w:rPr>
                      <w:sz w:val="16"/>
                      <w:szCs w:val="16"/>
                    </w:rPr>
                  </w:pPr>
                  <w:r w:rsidRPr="002F062C">
                    <w:rPr>
                      <w:rFonts w:hint="eastAsia"/>
                      <w:sz w:val="16"/>
                      <w:szCs w:val="16"/>
                    </w:rPr>
                    <w:t xml:space="preserve">   169.65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11832713" w:rsidR="002F062C" w:rsidRDefault="002F062C" w:rsidP="002F062C">
                  <w:pPr>
                    <w:rPr>
                      <w:sz w:val="16"/>
                      <w:szCs w:val="16"/>
                    </w:rPr>
                  </w:pPr>
                  <w:r w:rsidRPr="002F062C">
                    <w:rPr>
                      <w:rFonts w:hint="eastAsia"/>
                      <w:sz w:val="16"/>
                      <w:szCs w:val="16"/>
                    </w:rPr>
                    <w:t xml:space="preserve">   154.52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6F7EC649" w:rsidR="002F062C" w:rsidRDefault="002F062C" w:rsidP="002F062C">
                  <w:pPr>
                    <w:rPr>
                      <w:sz w:val="16"/>
                      <w:szCs w:val="16"/>
                    </w:rPr>
                  </w:pPr>
                  <w:r w:rsidRPr="002F062C">
                    <w:rPr>
                      <w:rFonts w:hint="eastAsia"/>
                      <w:sz w:val="16"/>
                      <w:szCs w:val="16"/>
                    </w:rPr>
                    <w:t xml:space="preserve">   130.05 </w:t>
                  </w:r>
                </w:p>
              </w:tc>
            </w:tr>
            <w:tr w:rsidR="002F062C" w:rsidRPr="002F062C" w14:paraId="334202CA" w14:textId="77777777" w:rsidTr="006B0A61">
              <w:tc>
                <w:tcPr>
                  <w:tcW w:w="1562" w:type="dxa"/>
                </w:tcPr>
                <w:p w14:paraId="545FB948" w14:textId="77777777" w:rsidR="002F062C" w:rsidRDefault="002F062C" w:rsidP="002F062C">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753E56E" w14:textId="6D89DC2C" w:rsidR="002F062C" w:rsidRDefault="002F062C" w:rsidP="002F062C">
                  <w:pPr>
                    <w:rPr>
                      <w:sz w:val="16"/>
                      <w:szCs w:val="16"/>
                    </w:rPr>
                  </w:pPr>
                  <w:r w:rsidRPr="002F062C">
                    <w:rPr>
                      <w:rFonts w:hint="eastAsia"/>
                      <w:sz w:val="16"/>
                      <w:szCs w:val="16"/>
                    </w:rPr>
                    <w:t xml:space="preserve">     11.45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95AAD7" w14:textId="5CD07559" w:rsidR="002F062C" w:rsidRDefault="002F062C" w:rsidP="002F062C">
                  <w:pPr>
                    <w:rPr>
                      <w:sz w:val="16"/>
                      <w:szCs w:val="16"/>
                    </w:rPr>
                  </w:pPr>
                  <w:r w:rsidRPr="002F062C">
                    <w:rPr>
                      <w:rFonts w:hint="eastAsia"/>
                      <w:sz w:val="16"/>
                      <w:szCs w:val="16"/>
                    </w:rPr>
                    <w:t xml:space="preserve">      9.59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0C7D9F0" w14:textId="4432D0CA" w:rsidR="002F062C" w:rsidRDefault="002F062C" w:rsidP="002F062C">
                  <w:pPr>
                    <w:rPr>
                      <w:sz w:val="16"/>
                      <w:szCs w:val="16"/>
                    </w:rPr>
                  </w:pPr>
                  <w:r w:rsidRPr="002F062C">
                    <w:rPr>
                      <w:rFonts w:hint="eastAsia"/>
                      <w:sz w:val="16"/>
                      <w:szCs w:val="16"/>
                    </w:rPr>
                    <w:t xml:space="preserve">     14.70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6C80C014" w:rsidR="002F062C" w:rsidRDefault="002F062C" w:rsidP="002F062C">
                  <w:pPr>
                    <w:rPr>
                      <w:sz w:val="16"/>
                      <w:szCs w:val="16"/>
                    </w:rPr>
                  </w:pPr>
                  <w:r w:rsidRPr="002F062C">
                    <w:rPr>
                      <w:rFonts w:hint="eastAsia"/>
                      <w:sz w:val="16"/>
                      <w:szCs w:val="16"/>
                    </w:rPr>
                    <w:t xml:space="preserve">    13.26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2255B248" w:rsidR="002F062C" w:rsidRDefault="002F062C" w:rsidP="002F062C">
                  <w:pPr>
                    <w:rPr>
                      <w:sz w:val="16"/>
                      <w:szCs w:val="16"/>
                    </w:rPr>
                  </w:pPr>
                  <w:r w:rsidRPr="002F062C">
                    <w:rPr>
                      <w:rFonts w:hint="eastAsia"/>
                      <w:sz w:val="16"/>
                      <w:szCs w:val="16"/>
                    </w:rPr>
                    <w:t xml:space="preserve">    10.90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4CA5471A" w:rsidR="002F062C" w:rsidRDefault="002F062C" w:rsidP="002F062C">
                  <w:pPr>
                    <w:rPr>
                      <w:sz w:val="16"/>
                      <w:szCs w:val="16"/>
                    </w:rPr>
                  </w:pPr>
                  <w:r w:rsidRPr="002F062C">
                    <w:rPr>
                      <w:rFonts w:hint="eastAsia"/>
                      <w:sz w:val="16"/>
                      <w:szCs w:val="16"/>
                    </w:rPr>
                    <w:t xml:space="preserve">    15.77 </w:t>
                  </w:r>
                </w:p>
              </w:tc>
            </w:tr>
            <w:tr w:rsidR="002F062C" w:rsidRPr="002F062C" w14:paraId="100621BB" w14:textId="77777777" w:rsidTr="006B0A61">
              <w:tc>
                <w:tcPr>
                  <w:tcW w:w="1562" w:type="dxa"/>
                </w:tcPr>
                <w:p w14:paraId="0671CC90" w14:textId="77777777" w:rsidR="002F062C" w:rsidRDefault="002F062C" w:rsidP="002F062C">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vAlign w:val="bottom"/>
                </w:tcPr>
                <w:p w14:paraId="56C1673C" w14:textId="7BA58D34" w:rsidR="002F062C" w:rsidRDefault="002F062C" w:rsidP="002F062C">
                  <w:pPr>
                    <w:rPr>
                      <w:sz w:val="16"/>
                      <w:szCs w:val="16"/>
                    </w:rPr>
                  </w:pPr>
                  <w:r w:rsidRPr="002F062C">
                    <w:rPr>
                      <w:rFonts w:hint="eastAsia"/>
                      <w:sz w:val="16"/>
                      <w:szCs w:val="16"/>
                    </w:rPr>
                    <w:t xml:space="preserve">      7.83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4A2481B" w14:textId="1926FF26" w:rsidR="002F062C" w:rsidRDefault="002F062C" w:rsidP="002F062C">
                  <w:pPr>
                    <w:rPr>
                      <w:sz w:val="16"/>
                      <w:szCs w:val="16"/>
                    </w:rPr>
                  </w:pPr>
                  <w:r w:rsidRPr="002F062C">
                    <w:rPr>
                      <w:rFonts w:hint="eastAsia"/>
                      <w:sz w:val="16"/>
                      <w:szCs w:val="16"/>
                    </w:rPr>
                    <w:t xml:space="preserve">      7.55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0B50F71" w14:textId="08172701" w:rsidR="002F062C" w:rsidRDefault="002F062C" w:rsidP="002F062C">
                  <w:pPr>
                    <w:rPr>
                      <w:sz w:val="16"/>
                      <w:szCs w:val="16"/>
                    </w:rPr>
                  </w:pPr>
                  <w:r w:rsidRPr="002F062C">
                    <w:rPr>
                      <w:rFonts w:hint="eastAsia"/>
                      <w:sz w:val="16"/>
                      <w:szCs w:val="16"/>
                    </w:rPr>
                    <w:t xml:space="preserve">      7.41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7B400ECD" w:rsidR="002F062C" w:rsidRDefault="002F062C" w:rsidP="002F062C">
                  <w:pPr>
                    <w:rPr>
                      <w:sz w:val="16"/>
                      <w:szCs w:val="16"/>
                    </w:rPr>
                  </w:pPr>
                  <w:r w:rsidRPr="002F062C">
                    <w:rPr>
                      <w:rFonts w:hint="eastAsia"/>
                      <w:sz w:val="16"/>
                      <w:szCs w:val="16"/>
                    </w:rPr>
                    <w:t xml:space="preserve">     8.27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6384CC93" w:rsidR="002F062C" w:rsidRDefault="002F062C" w:rsidP="002F062C">
                  <w:pPr>
                    <w:rPr>
                      <w:sz w:val="16"/>
                      <w:szCs w:val="16"/>
                    </w:rPr>
                  </w:pPr>
                  <w:r w:rsidRPr="002F062C">
                    <w:rPr>
                      <w:rFonts w:hint="eastAsia"/>
                      <w:sz w:val="16"/>
                      <w:szCs w:val="16"/>
                    </w:rPr>
                    <w:t xml:space="preserve">     7.97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78A91836" w:rsidR="002F062C" w:rsidRDefault="002F062C" w:rsidP="002F062C">
                  <w:pPr>
                    <w:rPr>
                      <w:sz w:val="16"/>
                      <w:szCs w:val="16"/>
                    </w:rPr>
                  </w:pPr>
                  <w:r w:rsidRPr="002F062C">
                    <w:rPr>
                      <w:rFonts w:hint="eastAsia"/>
                      <w:sz w:val="16"/>
                      <w:szCs w:val="16"/>
                    </w:rPr>
                    <w:t xml:space="preserve">     7.31 </w:t>
                  </w:r>
                </w:p>
              </w:tc>
            </w:tr>
            <w:tr w:rsidR="002F062C" w:rsidRPr="002F062C" w14:paraId="3CD7B755" w14:textId="77777777" w:rsidTr="006B0A61">
              <w:tc>
                <w:tcPr>
                  <w:tcW w:w="1562" w:type="dxa"/>
                </w:tcPr>
                <w:p w14:paraId="5648CFBC" w14:textId="77777777" w:rsidR="002F062C" w:rsidRDefault="002F062C" w:rsidP="002F062C">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vAlign w:val="bottom"/>
                </w:tcPr>
                <w:p w14:paraId="4256401B" w14:textId="0A12D6A4" w:rsidR="002F062C" w:rsidRDefault="002F062C" w:rsidP="002F062C">
                  <w:pPr>
                    <w:rPr>
                      <w:sz w:val="16"/>
                      <w:szCs w:val="16"/>
                    </w:rPr>
                  </w:pPr>
                  <w:r w:rsidRPr="002F062C">
                    <w:rPr>
                      <w:rFonts w:hint="eastAsia"/>
                      <w:sz w:val="16"/>
                      <w:szCs w:val="16"/>
                    </w:rPr>
                    <w:t xml:space="preserve">      7.00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1E6195D" w14:textId="0FC11158" w:rsidR="002F062C" w:rsidRDefault="002F062C" w:rsidP="002F062C">
                  <w:pPr>
                    <w:rPr>
                      <w:sz w:val="16"/>
                      <w:szCs w:val="16"/>
                    </w:rPr>
                  </w:pPr>
                  <w:r w:rsidRPr="002F062C">
                    <w:rPr>
                      <w:rFonts w:hint="eastAsia"/>
                      <w:sz w:val="16"/>
                      <w:szCs w:val="16"/>
                    </w:rPr>
                    <w:t xml:space="preserve">      6.68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367B82F" w14:textId="7CC3268C" w:rsidR="002F062C" w:rsidRDefault="002F062C" w:rsidP="002F062C">
                  <w:pPr>
                    <w:rPr>
                      <w:sz w:val="16"/>
                      <w:szCs w:val="16"/>
                    </w:rPr>
                  </w:pPr>
                  <w:r w:rsidRPr="002F062C">
                    <w:rPr>
                      <w:rFonts w:hint="eastAsia"/>
                      <w:sz w:val="16"/>
                      <w:szCs w:val="16"/>
                    </w:rPr>
                    <w:t xml:space="preserve">      6.60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65AAB0EF" w:rsidR="002F062C" w:rsidRDefault="002F062C" w:rsidP="002F062C">
                  <w:pPr>
                    <w:rPr>
                      <w:sz w:val="16"/>
                      <w:szCs w:val="16"/>
                    </w:rPr>
                  </w:pPr>
                  <w:r w:rsidRPr="002F062C">
                    <w:rPr>
                      <w:rFonts w:hint="eastAsia"/>
                      <w:sz w:val="16"/>
                      <w:szCs w:val="16"/>
                    </w:rPr>
                    <w:t xml:space="preserve">     7.54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6052A633" w:rsidR="002F062C" w:rsidRDefault="002F062C" w:rsidP="002F062C">
                  <w:pPr>
                    <w:rPr>
                      <w:sz w:val="16"/>
                      <w:szCs w:val="16"/>
                    </w:rPr>
                  </w:pPr>
                  <w:r w:rsidRPr="002F062C">
                    <w:rPr>
                      <w:rFonts w:hint="eastAsia"/>
                      <w:sz w:val="16"/>
                      <w:szCs w:val="16"/>
                    </w:rPr>
                    <w:t xml:space="preserve">     7.18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5DBEE983" w:rsidR="002F062C" w:rsidRDefault="002F062C" w:rsidP="002F062C">
                  <w:pPr>
                    <w:rPr>
                      <w:sz w:val="16"/>
                      <w:szCs w:val="16"/>
                    </w:rPr>
                  </w:pPr>
                  <w:r w:rsidRPr="002F062C">
                    <w:rPr>
                      <w:rFonts w:hint="eastAsia"/>
                      <w:sz w:val="16"/>
                      <w:szCs w:val="16"/>
                    </w:rPr>
                    <w:t xml:space="preserve">     6.45 </w:t>
                  </w:r>
                </w:p>
              </w:tc>
            </w:tr>
            <w:tr w:rsidR="002F062C" w:rsidRPr="002F062C" w14:paraId="17F9D92A" w14:textId="77777777" w:rsidTr="006B0A61">
              <w:tc>
                <w:tcPr>
                  <w:tcW w:w="1562" w:type="dxa"/>
                </w:tcPr>
                <w:p w14:paraId="3AA11444" w14:textId="6FAB085E" w:rsidR="002F062C" w:rsidRDefault="002F062C" w:rsidP="002F062C">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vAlign w:val="bottom"/>
                </w:tcPr>
                <w:p w14:paraId="50934D1E" w14:textId="00113184" w:rsidR="002F062C" w:rsidRDefault="002F062C" w:rsidP="002F062C">
                  <w:pPr>
                    <w:rPr>
                      <w:sz w:val="16"/>
                      <w:szCs w:val="16"/>
                    </w:rPr>
                  </w:pPr>
                  <w:r w:rsidRPr="002F062C">
                    <w:rPr>
                      <w:rFonts w:hint="eastAsia"/>
                      <w:sz w:val="16"/>
                      <w:szCs w:val="16"/>
                    </w:rPr>
                    <w:t xml:space="preserve">      4.14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025EA0" w14:textId="2EA55026" w:rsidR="002F062C" w:rsidRDefault="002F062C" w:rsidP="002F062C">
                  <w:pPr>
                    <w:rPr>
                      <w:sz w:val="16"/>
                      <w:szCs w:val="16"/>
                    </w:rPr>
                  </w:pPr>
                  <w:r w:rsidRPr="002F062C">
                    <w:rPr>
                      <w:rFonts w:hint="eastAsia"/>
                      <w:sz w:val="16"/>
                      <w:szCs w:val="16"/>
                    </w:rPr>
                    <w:t xml:space="preserve">      3.96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F4FB16" w14:textId="17008851" w:rsidR="002F062C" w:rsidRDefault="002F062C" w:rsidP="002F062C">
                  <w:pPr>
                    <w:rPr>
                      <w:sz w:val="16"/>
                      <w:szCs w:val="16"/>
                    </w:rPr>
                  </w:pPr>
                  <w:r w:rsidRPr="002F062C">
                    <w:rPr>
                      <w:rFonts w:hint="eastAsia"/>
                      <w:sz w:val="16"/>
                      <w:szCs w:val="16"/>
                    </w:rPr>
                    <w:t xml:space="preserve">      3.92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0A7A499F" w:rsidR="002F062C" w:rsidRDefault="002F062C" w:rsidP="002F062C">
                  <w:pPr>
                    <w:rPr>
                      <w:sz w:val="16"/>
                      <w:szCs w:val="16"/>
                    </w:rPr>
                  </w:pPr>
                  <w:r w:rsidRPr="002F062C">
                    <w:rPr>
                      <w:rFonts w:hint="eastAsia"/>
                      <w:sz w:val="16"/>
                      <w:szCs w:val="16"/>
                    </w:rPr>
                    <w:t xml:space="preserve">     4.52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10670319" w:rsidR="002F062C" w:rsidRDefault="002F062C" w:rsidP="002F062C">
                  <w:pPr>
                    <w:rPr>
                      <w:sz w:val="16"/>
                      <w:szCs w:val="16"/>
                    </w:rPr>
                  </w:pPr>
                  <w:r w:rsidRPr="002F062C">
                    <w:rPr>
                      <w:rFonts w:hint="eastAsia"/>
                      <w:sz w:val="16"/>
                      <w:szCs w:val="16"/>
                    </w:rPr>
                    <w:t xml:space="preserve">     4.29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5AEEA19C" w:rsidR="002F062C" w:rsidRDefault="002F062C" w:rsidP="002F062C">
                  <w:pPr>
                    <w:rPr>
                      <w:sz w:val="16"/>
                      <w:szCs w:val="16"/>
                    </w:rPr>
                  </w:pPr>
                  <w:r w:rsidRPr="002F062C">
                    <w:rPr>
                      <w:rFonts w:hint="eastAsia"/>
                      <w:sz w:val="16"/>
                      <w:szCs w:val="16"/>
                    </w:rPr>
                    <w:t xml:space="preserve">     3.82 </w:t>
                  </w:r>
                </w:p>
              </w:tc>
            </w:tr>
            <w:tr w:rsidR="002F062C" w:rsidRPr="002F062C" w14:paraId="22A784BE" w14:textId="77777777" w:rsidTr="006B0A61">
              <w:tc>
                <w:tcPr>
                  <w:tcW w:w="1562" w:type="dxa"/>
                </w:tcPr>
                <w:p w14:paraId="670CE5B7" w14:textId="3F6AD1FA" w:rsidR="002F062C" w:rsidRDefault="002F062C" w:rsidP="002F062C">
                  <w:pPr>
                    <w:rPr>
                      <w:sz w:val="16"/>
                      <w:szCs w:val="16"/>
                    </w:rPr>
                  </w:pPr>
                  <w:r>
                    <w:rPr>
                      <w:sz w:val="16"/>
                      <w:szCs w:val="16"/>
                    </w:rPr>
                    <w:t>D/E</w:t>
                  </w:r>
                </w:p>
              </w:tc>
              <w:tc>
                <w:tcPr>
                  <w:tcW w:w="1007" w:type="dxa"/>
                  <w:tcBorders>
                    <w:top w:val="single" w:sz="4" w:space="0" w:color="auto"/>
                    <w:left w:val="nil"/>
                    <w:bottom w:val="single" w:sz="4" w:space="0" w:color="auto"/>
                    <w:right w:val="single" w:sz="4" w:space="0" w:color="auto"/>
                  </w:tcBorders>
                  <w:shd w:val="clear" w:color="auto" w:fill="auto"/>
                  <w:vAlign w:val="bottom"/>
                </w:tcPr>
                <w:p w14:paraId="74D585ED" w14:textId="0FBABB1C" w:rsidR="002F062C" w:rsidRDefault="002F062C" w:rsidP="002F062C">
                  <w:pPr>
                    <w:rPr>
                      <w:sz w:val="16"/>
                      <w:szCs w:val="16"/>
                    </w:rPr>
                  </w:pPr>
                  <w:r w:rsidRPr="002F062C">
                    <w:rPr>
                      <w:rFonts w:hint="eastAsia"/>
                      <w:sz w:val="16"/>
                      <w:szCs w:val="16"/>
                    </w:rPr>
                    <w:t xml:space="preserve">    175.79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7FDD3E" w14:textId="09A8E80F" w:rsidR="002F062C" w:rsidRDefault="002F062C" w:rsidP="002F062C">
                  <w:pPr>
                    <w:rPr>
                      <w:sz w:val="16"/>
                      <w:szCs w:val="16"/>
                    </w:rPr>
                  </w:pPr>
                  <w:r w:rsidRPr="002F062C">
                    <w:rPr>
                      <w:rFonts w:hint="eastAsia"/>
                      <w:sz w:val="16"/>
                      <w:szCs w:val="16"/>
                    </w:rPr>
                    <w:t xml:space="preserve">    194.48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A576F03" w14:textId="2FDB347C" w:rsidR="002F062C" w:rsidRDefault="002F062C" w:rsidP="002F062C">
                  <w:pPr>
                    <w:rPr>
                      <w:sz w:val="16"/>
                      <w:szCs w:val="16"/>
                    </w:rPr>
                  </w:pPr>
                  <w:r w:rsidRPr="002F062C">
                    <w:rPr>
                      <w:rFonts w:hint="eastAsia"/>
                      <w:sz w:val="16"/>
                      <w:szCs w:val="16"/>
                    </w:rPr>
                    <w:t xml:space="preserve">    228.62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077932E5" w:rsidR="002F062C" w:rsidRDefault="002F062C" w:rsidP="002F062C">
                  <w:pPr>
                    <w:rPr>
                      <w:sz w:val="16"/>
                      <w:szCs w:val="16"/>
                    </w:rPr>
                  </w:pPr>
                  <w:r w:rsidRPr="002F062C">
                    <w:rPr>
                      <w:rFonts w:hint="eastAsia"/>
                      <w:sz w:val="16"/>
                      <w:szCs w:val="16"/>
                    </w:rPr>
                    <w:t xml:space="preserve">   239.20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4FA2375C" w:rsidR="002F062C" w:rsidRDefault="002F062C" w:rsidP="002F062C">
                  <w:pPr>
                    <w:rPr>
                      <w:sz w:val="16"/>
                      <w:szCs w:val="16"/>
                    </w:rPr>
                  </w:pPr>
                  <w:r w:rsidRPr="002F062C">
                    <w:rPr>
                      <w:rFonts w:hint="eastAsia"/>
                      <w:sz w:val="16"/>
                      <w:szCs w:val="16"/>
                    </w:rPr>
                    <w:t xml:space="preserve">   245.44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1D3298CB" w:rsidR="002F062C" w:rsidRDefault="002F062C" w:rsidP="002F062C">
                  <w:pPr>
                    <w:rPr>
                      <w:sz w:val="16"/>
                      <w:szCs w:val="16"/>
                    </w:rPr>
                  </w:pPr>
                  <w:r w:rsidRPr="002F062C">
                    <w:rPr>
                      <w:rFonts w:hint="eastAsia"/>
                      <w:sz w:val="16"/>
                      <w:szCs w:val="16"/>
                    </w:rPr>
                    <w:t xml:space="preserve">   277.04 </w:t>
                  </w:r>
                </w:p>
              </w:tc>
            </w:tr>
            <w:tr w:rsidR="006B0A61" w:rsidRPr="002F062C" w14:paraId="111BB78D" w14:textId="77777777" w:rsidTr="006B0A61">
              <w:tc>
                <w:tcPr>
                  <w:tcW w:w="1562" w:type="dxa"/>
                </w:tcPr>
                <w:p w14:paraId="0F9C400C" w14:textId="000635B9" w:rsidR="006B0A61" w:rsidRDefault="006B0A61" w:rsidP="006B0A61">
                  <w:pPr>
                    <w:rPr>
                      <w:sz w:val="16"/>
                      <w:szCs w:val="16"/>
                    </w:rPr>
                  </w:pPr>
                  <w:r>
                    <w:rPr>
                      <w:sz w:val="16"/>
                      <w:szCs w:val="16"/>
                    </w:rPr>
                    <w:t xml:space="preserve">Interest Coverage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851C9B9" w14:textId="0C16880C" w:rsidR="006B0A61" w:rsidRDefault="006B0A61" w:rsidP="006B0A61">
                  <w:pPr>
                    <w:rPr>
                      <w:sz w:val="16"/>
                      <w:szCs w:val="16"/>
                    </w:rPr>
                  </w:pPr>
                  <w:r w:rsidRPr="002F062C">
                    <w:rPr>
                      <w:rFonts w:hint="eastAsia"/>
                      <w:sz w:val="16"/>
                      <w:szCs w:val="16"/>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B4B557" w14:textId="3129CE79" w:rsidR="006B0A61" w:rsidRDefault="006B0A61" w:rsidP="006B0A61">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9DC39D" w14:textId="347554DD" w:rsidR="006B0A61" w:rsidRDefault="006B0A61" w:rsidP="006B0A61">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487B4C03" w:rsidR="006B0A61" w:rsidRDefault="006B0A61" w:rsidP="006B0A61">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0D9F13F8" w:rsidR="006B0A61" w:rsidRDefault="006B0A61" w:rsidP="006B0A61">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3633E198" w:rsidR="006B0A61" w:rsidRDefault="006B0A61" w:rsidP="006B0A61">
                  <w:pPr>
                    <w:rPr>
                      <w:sz w:val="16"/>
                      <w:szCs w:val="16"/>
                    </w:rPr>
                  </w:pPr>
                  <w:r w:rsidRPr="002F062C">
                    <w:rPr>
                      <w:rFonts w:hint="eastAsia"/>
                      <w:sz w:val="16"/>
                      <w:szCs w:val="16"/>
                    </w:rPr>
                    <w:t xml:space="preserve">      -   </w:t>
                  </w:r>
                </w:p>
              </w:tc>
            </w:tr>
            <w:tr w:rsidR="002F062C" w:rsidRPr="002F062C" w14:paraId="4BD993C7" w14:textId="77777777" w:rsidTr="006B0A61">
              <w:tc>
                <w:tcPr>
                  <w:tcW w:w="1562" w:type="dxa"/>
                </w:tcPr>
                <w:p w14:paraId="6F5D5ADC" w14:textId="09479BC7" w:rsidR="002F062C" w:rsidRDefault="002F062C" w:rsidP="002F062C">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vAlign w:val="bottom"/>
                </w:tcPr>
                <w:p w14:paraId="6B73A46D" w14:textId="52F58684" w:rsidR="002F062C" w:rsidRDefault="002F062C" w:rsidP="002F062C">
                  <w:pPr>
                    <w:rPr>
                      <w:sz w:val="16"/>
                      <w:szCs w:val="16"/>
                    </w:rPr>
                  </w:pPr>
                  <w:r w:rsidRPr="002F062C">
                    <w:rPr>
                      <w:rFonts w:hint="eastAsia"/>
                      <w:sz w:val="16"/>
                      <w:szCs w:val="16"/>
                    </w:rPr>
                    <w:t xml:space="preserve">      1.83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E77E933" w14:textId="303658D3" w:rsidR="002F062C" w:rsidRDefault="002F062C" w:rsidP="002F062C">
                  <w:pPr>
                    <w:rPr>
                      <w:sz w:val="16"/>
                      <w:szCs w:val="16"/>
                    </w:rPr>
                  </w:pPr>
                  <w:r w:rsidRPr="002F062C">
                    <w:rPr>
                      <w:rFonts w:hint="eastAsia"/>
                      <w:sz w:val="16"/>
                      <w:szCs w:val="16"/>
                    </w:rPr>
                    <w:t xml:space="preserve">      1.90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93A3040" w14:textId="2FFA50CC" w:rsidR="002F062C" w:rsidRDefault="002F062C" w:rsidP="002F062C">
                  <w:pPr>
                    <w:rPr>
                      <w:sz w:val="16"/>
                      <w:szCs w:val="16"/>
                    </w:rPr>
                  </w:pPr>
                  <w:r w:rsidRPr="002F062C">
                    <w:rPr>
                      <w:rFonts w:hint="eastAsia"/>
                      <w:sz w:val="16"/>
                      <w:szCs w:val="16"/>
                    </w:rPr>
                    <w:t xml:space="preserve">      2.20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30FA7A27" w:rsidR="002F062C" w:rsidRDefault="002F062C" w:rsidP="002F062C">
                  <w:pPr>
                    <w:rPr>
                      <w:sz w:val="16"/>
                      <w:szCs w:val="16"/>
                    </w:rPr>
                  </w:pPr>
                  <w:r w:rsidRPr="002F062C">
                    <w:rPr>
                      <w:rFonts w:hint="eastAsia"/>
                      <w:sz w:val="16"/>
                      <w:szCs w:val="16"/>
                    </w:rPr>
                    <w:t xml:space="preserve">     0.77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142CEE0E" w:rsidR="002F062C" w:rsidRDefault="002F062C" w:rsidP="002F062C">
                  <w:pPr>
                    <w:rPr>
                      <w:sz w:val="16"/>
                      <w:szCs w:val="16"/>
                    </w:rPr>
                  </w:pPr>
                  <w:r w:rsidRPr="002F062C">
                    <w:rPr>
                      <w:rFonts w:hint="eastAsia"/>
                      <w:sz w:val="16"/>
                      <w:szCs w:val="16"/>
                    </w:rPr>
                    <w:t xml:space="preserve">     0.71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1AB5584B" w:rsidR="002F062C" w:rsidRDefault="002F062C" w:rsidP="002F062C">
                  <w:pPr>
                    <w:rPr>
                      <w:sz w:val="16"/>
                      <w:szCs w:val="16"/>
                    </w:rPr>
                  </w:pPr>
                  <w:r w:rsidRPr="002F062C">
                    <w:rPr>
                      <w:rFonts w:hint="eastAsia"/>
                      <w:sz w:val="16"/>
                      <w:szCs w:val="16"/>
                    </w:rPr>
                    <w:t xml:space="preserve">     0.61 </w:t>
                  </w:r>
                </w:p>
              </w:tc>
            </w:tr>
            <w:tr w:rsidR="002F062C" w:rsidRPr="002F062C" w14:paraId="3EBC0A0A" w14:textId="77777777" w:rsidTr="006B0A61">
              <w:tc>
                <w:tcPr>
                  <w:tcW w:w="1562" w:type="dxa"/>
                </w:tcPr>
                <w:p w14:paraId="61AE1051" w14:textId="1B2FE329" w:rsidR="002F062C" w:rsidRDefault="002F062C" w:rsidP="002F062C">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vAlign w:val="bottom"/>
                </w:tcPr>
                <w:p w14:paraId="6DB4D0DC" w14:textId="3A08FA7B" w:rsidR="002F062C" w:rsidRDefault="002F062C" w:rsidP="002F062C">
                  <w:pPr>
                    <w:rPr>
                      <w:sz w:val="16"/>
                      <w:szCs w:val="16"/>
                    </w:rPr>
                  </w:pPr>
                  <w:r w:rsidRPr="002F062C">
                    <w:rPr>
                      <w:rFonts w:hint="eastAsia"/>
                      <w:sz w:val="16"/>
                      <w:szCs w:val="16"/>
                    </w:rPr>
                    <w:t xml:space="preserve">     17.15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CBD752B" w14:textId="057E143C" w:rsidR="002F062C" w:rsidRDefault="002F062C" w:rsidP="002F062C">
                  <w:pPr>
                    <w:rPr>
                      <w:sz w:val="16"/>
                      <w:szCs w:val="16"/>
                    </w:rPr>
                  </w:pPr>
                  <w:r w:rsidRPr="002F062C">
                    <w:rPr>
                      <w:rFonts w:hint="eastAsia"/>
                      <w:sz w:val="16"/>
                      <w:szCs w:val="16"/>
                    </w:rPr>
                    <w:t xml:space="preserve">     20.54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44C62B" w14:textId="50DAE337" w:rsidR="002F062C" w:rsidRDefault="002F062C" w:rsidP="002F062C">
                  <w:pPr>
                    <w:rPr>
                      <w:sz w:val="16"/>
                      <w:szCs w:val="16"/>
                    </w:rPr>
                  </w:pPr>
                  <w:r w:rsidRPr="002F062C">
                    <w:rPr>
                      <w:rFonts w:hint="eastAsia"/>
                      <w:sz w:val="16"/>
                      <w:szCs w:val="16"/>
                    </w:rPr>
                    <w:t xml:space="preserve">     22.42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784B8F44" w:rsidR="002F062C" w:rsidRDefault="002F062C" w:rsidP="002F062C">
                  <w:pPr>
                    <w:rPr>
                      <w:sz w:val="16"/>
                      <w:szCs w:val="16"/>
                    </w:rPr>
                  </w:pPr>
                  <w:r w:rsidRPr="002F062C">
                    <w:rPr>
                      <w:rFonts w:hint="eastAsia"/>
                      <w:sz w:val="16"/>
                      <w:szCs w:val="16"/>
                    </w:rPr>
                    <w:t xml:space="preserve">    19.35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05C41F30" w:rsidR="002F062C" w:rsidRDefault="002F062C" w:rsidP="002F062C">
                  <w:pPr>
                    <w:rPr>
                      <w:sz w:val="16"/>
                      <w:szCs w:val="16"/>
                    </w:rPr>
                  </w:pPr>
                  <w:r w:rsidRPr="002F062C">
                    <w:rPr>
                      <w:rFonts w:hint="eastAsia"/>
                      <w:sz w:val="16"/>
                      <w:szCs w:val="16"/>
                    </w:rPr>
                    <w:t xml:space="preserve">    22.68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4FED351A" w:rsidR="002F062C" w:rsidRDefault="002F062C" w:rsidP="002F062C">
                  <w:pPr>
                    <w:rPr>
                      <w:sz w:val="16"/>
                      <w:szCs w:val="16"/>
                    </w:rPr>
                  </w:pPr>
                  <w:r w:rsidRPr="002F062C">
                    <w:rPr>
                      <w:rFonts w:hint="eastAsia"/>
                      <w:sz w:val="16"/>
                      <w:szCs w:val="16"/>
                    </w:rPr>
                    <w:t xml:space="preserve">    23.35 </w:t>
                  </w:r>
                </w:p>
              </w:tc>
            </w:tr>
            <w:tr w:rsidR="002F062C" w:rsidRPr="002F062C" w14:paraId="235E2086" w14:textId="77777777" w:rsidTr="006B0A61">
              <w:tc>
                <w:tcPr>
                  <w:tcW w:w="1562" w:type="dxa"/>
                </w:tcPr>
                <w:p w14:paraId="64A6EBFE" w14:textId="172A5011" w:rsidR="002F062C" w:rsidRDefault="002F062C" w:rsidP="002F062C">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vAlign w:val="bottom"/>
                </w:tcPr>
                <w:p w14:paraId="72B86E80" w14:textId="5A1AF6EB" w:rsidR="002F062C" w:rsidRDefault="002F062C" w:rsidP="002F062C">
                  <w:pPr>
                    <w:rPr>
                      <w:sz w:val="16"/>
                      <w:szCs w:val="16"/>
                    </w:rPr>
                  </w:pPr>
                  <w:r w:rsidRPr="002F062C">
                    <w:rPr>
                      <w:rFonts w:hint="eastAsia"/>
                      <w:sz w:val="16"/>
                      <w:szCs w:val="16"/>
                    </w:rPr>
                    <w:t xml:space="preserve">      2.87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8740EAD" w14:textId="577F725B" w:rsidR="002F062C" w:rsidRDefault="002F062C" w:rsidP="002F062C">
                  <w:pPr>
                    <w:rPr>
                      <w:sz w:val="16"/>
                      <w:szCs w:val="16"/>
                    </w:rPr>
                  </w:pPr>
                  <w:r w:rsidRPr="002F062C">
                    <w:rPr>
                      <w:rFonts w:hint="eastAsia"/>
                      <w:sz w:val="16"/>
                      <w:szCs w:val="16"/>
                    </w:rPr>
                    <w:t xml:space="preserve">      3.38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763C52A" w14:textId="4F52F6DB" w:rsidR="002F062C" w:rsidRDefault="002F062C" w:rsidP="002F062C">
                  <w:pPr>
                    <w:rPr>
                      <w:sz w:val="16"/>
                      <w:szCs w:val="16"/>
                    </w:rPr>
                  </w:pPr>
                  <w:r w:rsidRPr="002F062C">
                    <w:rPr>
                      <w:rFonts w:hint="eastAsia"/>
                      <w:sz w:val="16"/>
                      <w:szCs w:val="16"/>
                    </w:rPr>
                    <w:t xml:space="preserve">      3.02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3CD51BAE" w:rsidR="002F062C" w:rsidRDefault="002F062C" w:rsidP="002F062C">
                  <w:pPr>
                    <w:rPr>
                      <w:sz w:val="16"/>
                      <w:szCs w:val="16"/>
                    </w:rPr>
                  </w:pPr>
                  <w:r w:rsidRPr="002F062C">
                    <w:rPr>
                      <w:rFonts w:hint="eastAsia"/>
                      <w:sz w:val="16"/>
                      <w:szCs w:val="16"/>
                    </w:rPr>
                    <w:t xml:space="preserve">     2.74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5693C02C" w:rsidR="002F062C" w:rsidRDefault="002F062C" w:rsidP="002F062C">
                  <w:pPr>
                    <w:rPr>
                      <w:sz w:val="16"/>
                      <w:szCs w:val="16"/>
                    </w:rPr>
                  </w:pPr>
                  <w:r w:rsidRPr="002F062C">
                    <w:rPr>
                      <w:rFonts w:hint="eastAsia"/>
                      <w:sz w:val="16"/>
                      <w:szCs w:val="16"/>
                    </w:rPr>
                    <w:t xml:space="preserve">     2.77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7D402947" w:rsidR="002F062C" w:rsidRDefault="002F062C" w:rsidP="002F062C">
                  <w:pPr>
                    <w:rPr>
                      <w:sz w:val="16"/>
                      <w:szCs w:val="16"/>
                    </w:rPr>
                  </w:pPr>
                  <w:r w:rsidRPr="002F062C">
                    <w:rPr>
                      <w:rFonts w:hint="eastAsia"/>
                      <w:sz w:val="16"/>
                      <w:szCs w:val="16"/>
                    </w:rPr>
                    <w:t xml:space="preserve">     2.77 </w:t>
                  </w:r>
                </w:p>
              </w:tc>
            </w:tr>
            <w:tr w:rsidR="002F062C" w:rsidRPr="002F062C" w14:paraId="6A512B42" w14:textId="77777777" w:rsidTr="006B0A61">
              <w:tc>
                <w:tcPr>
                  <w:tcW w:w="1562" w:type="dxa"/>
                </w:tcPr>
                <w:p w14:paraId="30EB3D41" w14:textId="4D4E57F8" w:rsidR="002F062C" w:rsidRDefault="002F062C" w:rsidP="002F062C">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vAlign w:val="bottom"/>
                </w:tcPr>
                <w:p w14:paraId="4B99ACE5" w14:textId="217C8C12" w:rsidR="002F062C" w:rsidRDefault="002F062C" w:rsidP="002F062C">
                  <w:pPr>
                    <w:rPr>
                      <w:sz w:val="16"/>
                      <w:szCs w:val="16"/>
                    </w:rPr>
                  </w:pPr>
                  <w:r w:rsidRPr="002F062C">
                    <w:rPr>
                      <w:rFonts w:hint="eastAsia"/>
                      <w:sz w:val="16"/>
                      <w:szCs w:val="16"/>
                    </w:rPr>
                    <w:t xml:space="preserve">     16.85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8AB591" w14:textId="42164B02" w:rsidR="002F062C" w:rsidRDefault="002F062C" w:rsidP="002F062C">
                  <w:pPr>
                    <w:rPr>
                      <w:sz w:val="16"/>
                      <w:szCs w:val="16"/>
                    </w:rPr>
                  </w:pPr>
                  <w:r w:rsidRPr="002F062C">
                    <w:rPr>
                      <w:rFonts w:hint="eastAsia"/>
                      <w:sz w:val="16"/>
                      <w:szCs w:val="16"/>
                    </w:rPr>
                    <w:t xml:space="preserve">     15.26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64567E" w14:textId="6C48559A" w:rsidR="002F062C" w:rsidRDefault="002F062C" w:rsidP="002F062C">
                  <w:pPr>
                    <w:rPr>
                      <w:sz w:val="16"/>
                      <w:szCs w:val="16"/>
                    </w:rPr>
                  </w:pPr>
                  <w:r w:rsidRPr="002F062C">
                    <w:rPr>
                      <w:rFonts w:hint="eastAsia"/>
                      <w:sz w:val="16"/>
                      <w:szCs w:val="16"/>
                    </w:rPr>
                    <w:t xml:space="preserve">     15.55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2E08F8E5" w:rsidR="002F062C" w:rsidRDefault="002F062C" w:rsidP="002F062C">
                  <w:pPr>
                    <w:rPr>
                      <w:sz w:val="16"/>
                      <w:szCs w:val="16"/>
                    </w:rPr>
                  </w:pPr>
                  <w:r w:rsidRPr="002F062C">
                    <w:rPr>
                      <w:rFonts w:hint="eastAsia"/>
                      <w:sz w:val="16"/>
                      <w:szCs w:val="16"/>
                    </w:rPr>
                    <w:t xml:space="preserve">    16.10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29413E16" w:rsidR="002F062C" w:rsidRDefault="002F062C" w:rsidP="002F062C">
                  <w:pPr>
                    <w:rPr>
                      <w:sz w:val="16"/>
                      <w:szCs w:val="16"/>
                    </w:rPr>
                  </w:pPr>
                  <w:r w:rsidRPr="002F062C">
                    <w:rPr>
                      <w:rFonts w:hint="eastAsia"/>
                      <w:sz w:val="16"/>
                      <w:szCs w:val="16"/>
                    </w:rPr>
                    <w:t xml:space="preserve">    16.20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46F7A41D" w:rsidR="002F062C" w:rsidRDefault="002F062C" w:rsidP="002F062C">
                  <w:pPr>
                    <w:rPr>
                      <w:sz w:val="16"/>
                      <w:szCs w:val="16"/>
                    </w:rPr>
                  </w:pPr>
                  <w:r w:rsidRPr="002F062C">
                    <w:rPr>
                      <w:rFonts w:hint="eastAsia"/>
                      <w:sz w:val="16"/>
                      <w:szCs w:val="16"/>
                    </w:rPr>
                    <w:t xml:space="preserve">    17.11 </w:t>
                  </w:r>
                </w:p>
              </w:tc>
            </w:tr>
            <w:tr w:rsidR="002F062C" w:rsidRPr="002F062C" w14:paraId="059E3A59" w14:textId="77777777" w:rsidTr="006B0A61">
              <w:tc>
                <w:tcPr>
                  <w:tcW w:w="1562" w:type="dxa"/>
                </w:tcPr>
                <w:p w14:paraId="49C83FCA" w14:textId="51919CFC" w:rsidR="002F062C" w:rsidRDefault="002F062C" w:rsidP="002F062C">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vAlign w:val="bottom"/>
                </w:tcPr>
                <w:p w14:paraId="2243F7CF" w14:textId="255FC960" w:rsidR="002F062C" w:rsidRDefault="002F062C" w:rsidP="002F062C">
                  <w:pPr>
                    <w:rPr>
                      <w:sz w:val="16"/>
                      <w:szCs w:val="16"/>
                    </w:rPr>
                  </w:pPr>
                  <w:r w:rsidRPr="002F062C">
                    <w:rPr>
                      <w:rFonts w:hint="eastAsia"/>
                      <w:sz w:val="16"/>
                      <w:szCs w:val="16"/>
                    </w:rPr>
                    <w:t xml:space="preserve">      5.35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86885B" w14:textId="66BD1D5F" w:rsidR="002F062C" w:rsidRDefault="002F062C" w:rsidP="002F062C">
                  <w:pPr>
                    <w:rPr>
                      <w:sz w:val="16"/>
                      <w:szCs w:val="16"/>
                    </w:rPr>
                  </w:pPr>
                  <w:r w:rsidRPr="002F062C">
                    <w:rPr>
                      <w:rFonts w:hint="eastAsia"/>
                      <w:sz w:val="16"/>
                      <w:szCs w:val="16"/>
                    </w:rPr>
                    <w:t xml:space="preserve">      4.77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829E1D3" w14:textId="001CB9E1" w:rsidR="002F062C" w:rsidRDefault="002F062C" w:rsidP="002F062C">
                  <w:pPr>
                    <w:rPr>
                      <w:sz w:val="16"/>
                      <w:szCs w:val="16"/>
                    </w:rPr>
                  </w:pPr>
                  <w:r w:rsidRPr="002F062C">
                    <w:rPr>
                      <w:rFonts w:hint="eastAsia"/>
                      <w:sz w:val="16"/>
                      <w:szCs w:val="16"/>
                    </w:rPr>
                    <w:t xml:space="preserve">      4.56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6913A395" w:rsidR="002F062C" w:rsidRDefault="002F062C" w:rsidP="002F062C">
                  <w:pPr>
                    <w:rPr>
                      <w:sz w:val="16"/>
                      <w:szCs w:val="16"/>
                    </w:rPr>
                  </w:pPr>
                  <w:r w:rsidRPr="002F062C">
                    <w:rPr>
                      <w:rFonts w:hint="eastAsia"/>
                      <w:sz w:val="16"/>
                      <w:szCs w:val="16"/>
                    </w:rPr>
                    <w:t xml:space="preserve">     4.56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317789D6" w:rsidR="002F062C" w:rsidRDefault="002F062C" w:rsidP="002F062C">
                  <w:pPr>
                    <w:rPr>
                      <w:sz w:val="16"/>
                      <w:szCs w:val="16"/>
                    </w:rPr>
                  </w:pPr>
                  <w:r w:rsidRPr="002F062C">
                    <w:rPr>
                      <w:rFonts w:hint="eastAsia"/>
                      <w:sz w:val="16"/>
                      <w:szCs w:val="16"/>
                    </w:rPr>
                    <w:t xml:space="preserve">     4.54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51EF9E86" w:rsidR="002F062C" w:rsidRDefault="002F062C" w:rsidP="002F062C">
                  <w:pPr>
                    <w:rPr>
                      <w:sz w:val="16"/>
                      <w:szCs w:val="16"/>
                    </w:rPr>
                  </w:pPr>
                  <w:r w:rsidRPr="002F062C">
                    <w:rPr>
                      <w:rFonts w:hint="eastAsia"/>
                      <w:sz w:val="16"/>
                      <w:szCs w:val="16"/>
                    </w:rPr>
                    <w:t xml:space="preserve">     4.58 </w:t>
                  </w:r>
                </w:p>
              </w:tc>
            </w:tr>
            <w:tr w:rsidR="002F062C" w:rsidRPr="002F062C" w14:paraId="3DD5E939" w14:textId="77777777" w:rsidTr="006B0A61">
              <w:tc>
                <w:tcPr>
                  <w:tcW w:w="1562" w:type="dxa"/>
                </w:tcPr>
                <w:p w14:paraId="5964CDC4" w14:textId="5A404BDB" w:rsidR="002F062C" w:rsidRDefault="002F062C" w:rsidP="002F062C">
                  <w:pPr>
                    <w:rPr>
                      <w:sz w:val="16"/>
                      <w:szCs w:val="16"/>
                    </w:rPr>
                  </w:pPr>
                  <w:r>
                    <w:rPr>
                      <w:sz w:val="16"/>
                      <w:szCs w:val="16"/>
                    </w:rPr>
                    <w:t xml:space="preserve">Dividend Per share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0B36B8CA" w14:textId="70A154F7" w:rsidR="002F062C" w:rsidRDefault="002F062C" w:rsidP="002F062C">
                  <w:pPr>
                    <w:rPr>
                      <w:sz w:val="16"/>
                      <w:szCs w:val="16"/>
                    </w:rPr>
                  </w:pPr>
                  <w:r w:rsidRPr="002F062C">
                    <w:rPr>
                      <w:rFonts w:hint="eastAsia"/>
                      <w:sz w:val="16"/>
                      <w:szCs w:val="16"/>
                    </w:rPr>
                    <w:t xml:space="preserve">       -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5BD607" w14:textId="78458336" w:rsidR="002F062C" w:rsidRDefault="002F062C" w:rsidP="002F062C">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72EB0AB" w14:textId="1DC795A5" w:rsidR="002F062C" w:rsidRDefault="002F062C" w:rsidP="002F062C">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0CC4AB7E" w:rsidR="002F062C" w:rsidRDefault="002F062C" w:rsidP="002F062C">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6FF3BE5D" w:rsidR="002F062C" w:rsidRDefault="002F062C" w:rsidP="002F062C">
                  <w:pPr>
                    <w:rPr>
                      <w:sz w:val="16"/>
                      <w:szCs w:val="16"/>
                    </w:rPr>
                  </w:pPr>
                  <w:r w:rsidRPr="002F062C">
                    <w:rPr>
                      <w:rFonts w:hint="eastAsia"/>
                      <w:sz w:val="16"/>
                      <w:szCs w:val="16"/>
                    </w:rPr>
                    <w:t xml:space="preserve">      -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74DADB76" w:rsidR="002F062C" w:rsidRDefault="002F062C" w:rsidP="002F062C">
                  <w:pPr>
                    <w:rPr>
                      <w:sz w:val="16"/>
                      <w:szCs w:val="16"/>
                    </w:rPr>
                  </w:pPr>
                  <w:r w:rsidRPr="002F062C">
                    <w:rPr>
                      <w:rFonts w:hint="eastAsia"/>
                      <w:sz w:val="16"/>
                      <w:szCs w:val="16"/>
                    </w:rPr>
                    <w:t xml:space="preserve">      -   </w:t>
                  </w:r>
                </w:p>
              </w:tc>
            </w:tr>
            <w:tr w:rsidR="002F062C" w:rsidRPr="002F062C" w14:paraId="4FFA8179" w14:textId="77777777" w:rsidTr="006B0A61">
              <w:tc>
                <w:tcPr>
                  <w:tcW w:w="1562" w:type="dxa"/>
                  <w:shd w:val="clear" w:color="auto" w:fill="FFFF00"/>
                </w:tcPr>
                <w:p w14:paraId="1AD27A81" w14:textId="3A31F356" w:rsidR="002F062C" w:rsidRDefault="002F062C" w:rsidP="002F062C">
                  <w:pPr>
                    <w:rPr>
                      <w:sz w:val="16"/>
                      <w:szCs w:val="16"/>
                    </w:rPr>
                  </w:pPr>
                </w:p>
              </w:tc>
              <w:tc>
                <w:tcPr>
                  <w:tcW w:w="1007" w:type="dxa"/>
                  <w:tcBorders>
                    <w:top w:val="single" w:sz="4" w:space="0" w:color="auto"/>
                  </w:tcBorders>
                </w:tcPr>
                <w:p w14:paraId="17B255D9" w14:textId="77777777" w:rsidR="002F062C" w:rsidRDefault="002F062C" w:rsidP="002F062C">
                  <w:pPr>
                    <w:rPr>
                      <w:sz w:val="16"/>
                      <w:szCs w:val="16"/>
                    </w:rPr>
                  </w:pPr>
                </w:p>
              </w:tc>
              <w:tc>
                <w:tcPr>
                  <w:tcW w:w="990" w:type="dxa"/>
                  <w:tcBorders>
                    <w:top w:val="single" w:sz="4" w:space="0" w:color="auto"/>
                  </w:tcBorders>
                </w:tcPr>
                <w:p w14:paraId="2F94150A" w14:textId="77777777" w:rsidR="002F062C" w:rsidRDefault="002F062C" w:rsidP="002F062C">
                  <w:pPr>
                    <w:rPr>
                      <w:sz w:val="16"/>
                      <w:szCs w:val="16"/>
                    </w:rPr>
                  </w:pPr>
                </w:p>
              </w:tc>
              <w:tc>
                <w:tcPr>
                  <w:tcW w:w="920" w:type="dxa"/>
                  <w:tcBorders>
                    <w:top w:val="single" w:sz="4" w:space="0" w:color="auto"/>
                  </w:tcBorders>
                </w:tcPr>
                <w:p w14:paraId="5EF7E4BE" w14:textId="77777777" w:rsidR="002F062C" w:rsidRDefault="002F062C" w:rsidP="002F062C">
                  <w:pPr>
                    <w:rPr>
                      <w:sz w:val="16"/>
                      <w:szCs w:val="16"/>
                    </w:rPr>
                  </w:pPr>
                </w:p>
              </w:tc>
              <w:tc>
                <w:tcPr>
                  <w:tcW w:w="920" w:type="dxa"/>
                  <w:tcBorders>
                    <w:top w:val="single" w:sz="4" w:space="0" w:color="auto"/>
                  </w:tcBorders>
                </w:tcPr>
                <w:p w14:paraId="670F2B22" w14:textId="77777777" w:rsidR="002F062C" w:rsidRDefault="002F062C" w:rsidP="002F062C">
                  <w:pPr>
                    <w:rPr>
                      <w:sz w:val="16"/>
                      <w:szCs w:val="16"/>
                    </w:rPr>
                  </w:pPr>
                </w:p>
              </w:tc>
              <w:tc>
                <w:tcPr>
                  <w:tcW w:w="920" w:type="dxa"/>
                  <w:tcBorders>
                    <w:top w:val="single" w:sz="4" w:space="0" w:color="auto"/>
                  </w:tcBorders>
                </w:tcPr>
                <w:p w14:paraId="4BF69696" w14:textId="77777777" w:rsidR="002F062C" w:rsidRDefault="002F062C" w:rsidP="002F062C">
                  <w:pPr>
                    <w:rPr>
                      <w:sz w:val="16"/>
                      <w:szCs w:val="16"/>
                    </w:rPr>
                  </w:pPr>
                </w:p>
              </w:tc>
              <w:tc>
                <w:tcPr>
                  <w:tcW w:w="920" w:type="dxa"/>
                  <w:tcBorders>
                    <w:top w:val="single" w:sz="4" w:space="0" w:color="auto"/>
                  </w:tcBorders>
                </w:tcPr>
                <w:p w14:paraId="4DFBCD29" w14:textId="77777777" w:rsidR="002F062C" w:rsidRDefault="002F062C" w:rsidP="002F062C">
                  <w:pPr>
                    <w:rPr>
                      <w:sz w:val="16"/>
                      <w:szCs w:val="16"/>
                    </w:rPr>
                  </w:pPr>
                </w:p>
              </w:tc>
            </w:tr>
            <w:tr w:rsidR="002F062C" w:rsidRPr="002F062C" w14:paraId="509468AC" w14:textId="77777777" w:rsidTr="002F062C">
              <w:tc>
                <w:tcPr>
                  <w:tcW w:w="1562" w:type="dxa"/>
                  <w:shd w:val="clear" w:color="auto" w:fill="FFFF00"/>
                </w:tcPr>
                <w:p w14:paraId="56313530" w14:textId="29510BBA" w:rsidR="002F062C" w:rsidRDefault="002F062C" w:rsidP="002F062C">
                  <w:pPr>
                    <w:rPr>
                      <w:sz w:val="16"/>
                      <w:szCs w:val="16"/>
                    </w:rPr>
                  </w:pPr>
                </w:p>
              </w:tc>
              <w:tc>
                <w:tcPr>
                  <w:tcW w:w="1007" w:type="dxa"/>
                </w:tcPr>
                <w:p w14:paraId="38D24DED" w14:textId="77777777" w:rsidR="002F062C" w:rsidRDefault="002F062C" w:rsidP="002F062C">
                  <w:pPr>
                    <w:rPr>
                      <w:sz w:val="16"/>
                      <w:szCs w:val="16"/>
                    </w:rPr>
                  </w:pPr>
                </w:p>
              </w:tc>
              <w:tc>
                <w:tcPr>
                  <w:tcW w:w="990" w:type="dxa"/>
                </w:tcPr>
                <w:p w14:paraId="77044E9E" w14:textId="77777777" w:rsidR="002F062C" w:rsidRDefault="002F062C" w:rsidP="002F062C">
                  <w:pPr>
                    <w:rPr>
                      <w:sz w:val="16"/>
                      <w:szCs w:val="16"/>
                    </w:rPr>
                  </w:pPr>
                </w:p>
              </w:tc>
              <w:tc>
                <w:tcPr>
                  <w:tcW w:w="920" w:type="dxa"/>
                </w:tcPr>
                <w:p w14:paraId="7B48F536" w14:textId="77777777" w:rsidR="002F062C" w:rsidRDefault="002F062C" w:rsidP="002F062C">
                  <w:pPr>
                    <w:rPr>
                      <w:sz w:val="16"/>
                      <w:szCs w:val="16"/>
                    </w:rPr>
                  </w:pPr>
                </w:p>
              </w:tc>
              <w:tc>
                <w:tcPr>
                  <w:tcW w:w="920" w:type="dxa"/>
                </w:tcPr>
                <w:p w14:paraId="38F41586" w14:textId="77777777" w:rsidR="002F062C" w:rsidRDefault="002F062C" w:rsidP="002F062C">
                  <w:pPr>
                    <w:rPr>
                      <w:sz w:val="16"/>
                      <w:szCs w:val="16"/>
                    </w:rPr>
                  </w:pPr>
                </w:p>
              </w:tc>
              <w:tc>
                <w:tcPr>
                  <w:tcW w:w="920" w:type="dxa"/>
                </w:tcPr>
                <w:p w14:paraId="06EA87BB" w14:textId="77777777" w:rsidR="002F062C" w:rsidRDefault="002F062C" w:rsidP="002F062C">
                  <w:pPr>
                    <w:rPr>
                      <w:sz w:val="16"/>
                      <w:szCs w:val="16"/>
                    </w:rPr>
                  </w:pPr>
                </w:p>
              </w:tc>
              <w:tc>
                <w:tcPr>
                  <w:tcW w:w="920" w:type="dxa"/>
                </w:tcPr>
                <w:p w14:paraId="6E65C070" w14:textId="77777777" w:rsidR="002F062C" w:rsidRDefault="002F062C" w:rsidP="002F062C">
                  <w:pPr>
                    <w:rPr>
                      <w:sz w:val="16"/>
                      <w:szCs w:val="16"/>
                    </w:rPr>
                  </w:pP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77777777" w:rsidR="00830F06" w:rsidRDefault="00830F06" w:rsidP="00830F06">
                  <w:pPr>
                    <w:rPr>
                      <w:sz w:val="16"/>
                      <w:szCs w:val="16"/>
                    </w:rPr>
                  </w:pPr>
                  <w:r>
                    <w:rPr>
                      <w:sz w:val="16"/>
                      <w:szCs w:val="16"/>
                    </w:rPr>
                    <w:t>2001-14</w:t>
                  </w:r>
                </w:p>
              </w:tc>
              <w:tc>
                <w:tcPr>
                  <w:tcW w:w="1080" w:type="dxa"/>
                  <w:shd w:val="clear" w:color="auto" w:fill="DBE5F1" w:themeFill="accent1" w:themeFillTint="33"/>
                </w:tcPr>
                <w:p w14:paraId="6917AD00" w14:textId="77777777" w:rsidR="00830F06" w:rsidRDefault="00830F06" w:rsidP="00830F06">
                  <w:pPr>
                    <w:rPr>
                      <w:sz w:val="16"/>
                      <w:szCs w:val="16"/>
                    </w:rPr>
                  </w:pPr>
                  <w:r>
                    <w:rPr>
                      <w:sz w:val="16"/>
                      <w:szCs w:val="16"/>
                    </w:rPr>
                    <w:t>2015-19</w:t>
                  </w:r>
                </w:p>
              </w:tc>
            </w:tr>
            <w:tr w:rsidR="0060598F" w:rsidRPr="002F062C" w14:paraId="5A9DD5F4" w14:textId="77777777" w:rsidTr="0010720B">
              <w:tc>
                <w:tcPr>
                  <w:tcW w:w="1908" w:type="dxa"/>
                </w:tcPr>
                <w:p w14:paraId="6A465DCA" w14:textId="77777777" w:rsidR="00830F06" w:rsidRDefault="00830F06" w:rsidP="00830F06">
                  <w:pPr>
                    <w:rPr>
                      <w:sz w:val="16"/>
                      <w:szCs w:val="16"/>
                    </w:rPr>
                  </w:pPr>
                  <w:r>
                    <w:rPr>
                      <w:sz w:val="16"/>
                      <w:szCs w:val="16"/>
                    </w:rPr>
                    <w:t xml:space="preserve">Avg  Revenue growth </w:t>
                  </w:r>
                </w:p>
              </w:tc>
              <w:tc>
                <w:tcPr>
                  <w:tcW w:w="1129" w:type="dxa"/>
                </w:tcPr>
                <w:p w14:paraId="28890419" w14:textId="448FF3CB" w:rsidR="00830F06" w:rsidRDefault="00874A7B" w:rsidP="00830F06">
                  <w:pPr>
                    <w:rPr>
                      <w:sz w:val="16"/>
                      <w:szCs w:val="16"/>
                      <w:lang w:eastAsia="zh-CN"/>
                    </w:rPr>
                  </w:pPr>
                  <w:r>
                    <w:rPr>
                      <w:sz w:val="16"/>
                      <w:szCs w:val="16"/>
                    </w:rPr>
                    <w:t>1</w:t>
                  </w:r>
                  <w:r w:rsidR="00BD4639">
                    <w:rPr>
                      <w:rFonts w:hint="eastAsia"/>
                      <w:sz w:val="16"/>
                      <w:szCs w:val="16"/>
                      <w:lang w:eastAsia="zh-CN"/>
                    </w:rPr>
                    <w:t>1.56%</w:t>
                  </w:r>
                </w:p>
              </w:tc>
              <w:tc>
                <w:tcPr>
                  <w:tcW w:w="1080" w:type="dxa"/>
                </w:tcPr>
                <w:p w14:paraId="2B6EF445" w14:textId="6BA849B9" w:rsidR="00830F06" w:rsidRDefault="00874A7B" w:rsidP="00830F06">
                  <w:pPr>
                    <w:rPr>
                      <w:sz w:val="16"/>
                      <w:szCs w:val="16"/>
                    </w:rPr>
                  </w:pPr>
                  <w:r>
                    <w:rPr>
                      <w:sz w:val="16"/>
                      <w:szCs w:val="16"/>
                    </w:rPr>
                    <w:t>11%</w:t>
                  </w:r>
                </w:p>
              </w:tc>
            </w:tr>
            <w:tr w:rsidR="0060598F" w:rsidRPr="002F062C" w14:paraId="49A71F37" w14:textId="77777777" w:rsidTr="0010720B">
              <w:tc>
                <w:tcPr>
                  <w:tcW w:w="1908" w:type="dxa"/>
                </w:tcPr>
                <w:p w14:paraId="7425D824" w14:textId="77777777" w:rsidR="00830F06" w:rsidRDefault="00830F06" w:rsidP="00830F06">
                  <w:pPr>
                    <w:rPr>
                      <w:sz w:val="16"/>
                      <w:szCs w:val="16"/>
                    </w:rPr>
                  </w:pPr>
                  <w:r>
                    <w:rPr>
                      <w:sz w:val="16"/>
                      <w:szCs w:val="16"/>
                    </w:rPr>
                    <w:t xml:space="preserve">Avg  EBITDA Margin </w:t>
                  </w:r>
                </w:p>
              </w:tc>
              <w:tc>
                <w:tcPr>
                  <w:tcW w:w="1129" w:type="dxa"/>
                </w:tcPr>
                <w:p w14:paraId="6AE1C97F" w14:textId="7F21BC6E" w:rsidR="00830F06" w:rsidRDefault="00BD4639" w:rsidP="00830F06">
                  <w:pPr>
                    <w:rPr>
                      <w:sz w:val="16"/>
                      <w:szCs w:val="16"/>
                      <w:lang w:eastAsia="zh-CN"/>
                    </w:rPr>
                  </w:pPr>
                  <w:r>
                    <w:rPr>
                      <w:rFonts w:hint="eastAsia"/>
                      <w:sz w:val="16"/>
                      <w:szCs w:val="16"/>
                      <w:lang w:eastAsia="zh-CN"/>
                    </w:rPr>
                    <w:t>5.14%</w:t>
                  </w:r>
                </w:p>
              </w:tc>
              <w:tc>
                <w:tcPr>
                  <w:tcW w:w="1080" w:type="dxa"/>
                </w:tcPr>
                <w:p w14:paraId="72FC070B" w14:textId="3CA9BED4" w:rsidR="00830F06" w:rsidRDefault="00874A7B" w:rsidP="00830F06">
                  <w:pPr>
                    <w:rPr>
                      <w:sz w:val="16"/>
                      <w:szCs w:val="16"/>
                    </w:rPr>
                  </w:pPr>
                  <w:r>
                    <w:rPr>
                      <w:sz w:val="16"/>
                      <w:szCs w:val="16"/>
                    </w:rPr>
                    <w:t>8%</w:t>
                  </w:r>
                </w:p>
              </w:tc>
            </w:tr>
            <w:tr w:rsidR="0060598F" w:rsidRPr="002F062C" w14:paraId="5B01660D" w14:textId="77777777" w:rsidTr="0010720B">
              <w:tc>
                <w:tcPr>
                  <w:tcW w:w="1908" w:type="dxa"/>
                </w:tcPr>
                <w:p w14:paraId="2B656250" w14:textId="77777777" w:rsidR="00830F06" w:rsidRDefault="00830F06" w:rsidP="00830F06">
                  <w:pPr>
                    <w:rPr>
                      <w:sz w:val="16"/>
                      <w:szCs w:val="16"/>
                    </w:rPr>
                  </w:pPr>
                  <w:r>
                    <w:rPr>
                      <w:sz w:val="16"/>
                      <w:szCs w:val="16"/>
                    </w:rPr>
                    <w:t xml:space="preserve">Avg  Net Income Margin </w:t>
                  </w:r>
                </w:p>
              </w:tc>
              <w:tc>
                <w:tcPr>
                  <w:tcW w:w="1129" w:type="dxa"/>
                </w:tcPr>
                <w:p w14:paraId="6B796F07" w14:textId="69C002FD" w:rsidR="00830F06" w:rsidRDefault="00BD4639" w:rsidP="00830F06">
                  <w:pPr>
                    <w:rPr>
                      <w:sz w:val="16"/>
                      <w:szCs w:val="16"/>
                      <w:lang w:eastAsia="zh-CN"/>
                    </w:rPr>
                  </w:pPr>
                  <w:r>
                    <w:rPr>
                      <w:rFonts w:hint="eastAsia"/>
                      <w:sz w:val="16"/>
                      <w:szCs w:val="16"/>
                      <w:lang w:eastAsia="zh-CN"/>
                    </w:rPr>
                    <w:t>2.91%</w:t>
                  </w:r>
                </w:p>
              </w:tc>
              <w:tc>
                <w:tcPr>
                  <w:tcW w:w="1080" w:type="dxa"/>
                </w:tcPr>
                <w:p w14:paraId="2CA542D3" w14:textId="4D6EE239" w:rsidR="00830F06" w:rsidRDefault="00874A7B" w:rsidP="00830F06">
                  <w:pPr>
                    <w:rPr>
                      <w:sz w:val="16"/>
                      <w:szCs w:val="16"/>
                    </w:rPr>
                  </w:pPr>
                  <w:r>
                    <w:rPr>
                      <w:sz w:val="16"/>
                      <w:szCs w:val="16"/>
                    </w:rPr>
                    <w:t>4%</w:t>
                  </w:r>
                </w:p>
              </w:tc>
            </w:tr>
            <w:tr w:rsidR="0060598F" w:rsidRPr="002F062C" w14:paraId="1407D251" w14:textId="77777777" w:rsidTr="0010720B">
              <w:tc>
                <w:tcPr>
                  <w:tcW w:w="1908" w:type="dxa"/>
                </w:tcPr>
                <w:p w14:paraId="5FB4F2E9" w14:textId="77777777" w:rsidR="00830F06" w:rsidRDefault="00830F06" w:rsidP="00830F06">
                  <w:pPr>
                    <w:rPr>
                      <w:sz w:val="16"/>
                      <w:szCs w:val="16"/>
                    </w:rPr>
                  </w:pPr>
                  <w:r>
                    <w:rPr>
                      <w:sz w:val="16"/>
                      <w:szCs w:val="16"/>
                    </w:rPr>
                    <w:t xml:space="preserve">Avg  Debt/Equity </w:t>
                  </w:r>
                </w:p>
              </w:tc>
              <w:tc>
                <w:tcPr>
                  <w:tcW w:w="1129" w:type="dxa"/>
                </w:tcPr>
                <w:p w14:paraId="3BD7CDF4" w14:textId="3D725578" w:rsidR="00830F06" w:rsidRDefault="00BD4639" w:rsidP="00830F06">
                  <w:pPr>
                    <w:rPr>
                      <w:sz w:val="16"/>
                      <w:szCs w:val="16"/>
                      <w:lang w:eastAsia="zh-CN"/>
                    </w:rPr>
                  </w:pPr>
                  <w:r>
                    <w:rPr>
                      <w:rFonts w:hint="eastAsia"/>
                      <w:sz w:val="16"/>
                      <w:szCs w:val="16"/>
                      <w:lang w:eastAsia="zh-CN"/>
                    </w:rPr>
                    <w:t>71.92%</w:t>
                  </w:r>
                </w:p>
              </w:tc>
              <w:tc>
                <w:tcPr>
                  <w:tcW w:w="1080" w:type="dxa"/>
                </w:tcPr>
                <w:p w14:paraId="6104E666" w14:textId="1CA21889" w:rsidR="00830F06" w:rsidRDefault="00BD4639" w:rsidP="00830F06">
                  <w:pPr>
                    <w:rPr>
                      <w:sz w:val="16"/>
                      <w:szCs w:val="16"/>
                      <w:lang w:eastAsia="zh-CN"/>
                    </w:rPr>
                  </w:pPr>
                  <w:r>
                    <w:rPr>
                      <w:rFonts w:hint="eastAsia"/>
                      <w:sz w:val="16"/>
                      <w:szCs w:val="16"/>
                      <w:lang w:eastAsia="zh-CN"/>
                    </w:rPr>
                    <w:t>303.15%</w:t>
                  </w:r>
                </w:p>
              </w:tc>
            </w:tr>
            <w:tr w:rsidR="0060598F" w:rsidRPr="002F062C" w14:paraId="261F133B" w14:textId="77777777" w:rsidTr="0010720B">
              <w:tc>
                <w:tcPr>
                  <w:tcW w:w="1908" w:type="dxa"/>
                </w:tcPr>
                <w:p w14:paraId="0B1C1930" w14:textId="77777777" w:rsidR="00830F06" w:rsidRDefault="00830F06" w:rsidP="00830F06">
                  <w:pPr>
                    <w:rPr>
                      <w:sz w:val="16"/>
                      <w:szCs w:val="16"/>
                    </w:rPr>
                  </w:pPr>
                  <w:r>
                    <w:rPr>
                      <w:sz w:val="16"/>
                      <w:szCs w:val="16"/>
                    </w:rPr>
                    <w:t xml:space="preserve">Avg  Interest / EBITDA </w:t>
                  </w:r>
                </w:p>
              </w:tc>
              <w:tc>
                <w:tcPr>
                  <w:tcW w:w="1129" w:type="dxa"/>
                </w:tcPr>
                <w:p w14:paraId="4FFEFCE9" w14:textId="727201DC" w:rsidR="00830F06" w:rsidRDefault="00BD4639" w:rsidP="00830F06">
                  <w:pPr>
                    <w:rPr>
                      <w:sz w:val="16"/>
                      <w:szCs w:val="16"/>
                      <w:lang w:eastAsia="zh-CN"/>
                    </w:rPr>
                  </w:pPr>
                  <w:r>
                    <w:rPr>
                      <w:rFonts w:hint="eastAsia"/>
                      <w:sz w:val="16"/>
                      <w:szCs w:val="16"/>
                      <w:lang w:eastAsia="zh-CN"/>
                    </w:rPr>
                    <w:t>3.46%</w:t>
                  </w:r>
                </w:p>
              </w:tc>
              <w:tc>
                <w:tcPr>
                  <w:tcW w:w="1080" w:type="dxa"/>
                </w:tcPr>
                <w:p w14:paraId="04395283" w14:textId="0E144A75" w:rsidR="00830F06" w:rsidRDefault="00BE10B7" w:rsidP="00830F06">
                  <w:pPr>
                    <w:rPr>
                      <w:sz w:val="16"/>
                      <w:szCs w:val="16"/>
                      <w:lang w:eastAsia="zh-CN"/>
                    </w:rPr>
                  </w:pPr>
                  <w:r>
                    <w:rPr>
                      <w:rFonts w:hint="eastAsia"/>
                      <w:sz w:val="16"/>
                      <w:szCs w:val="16"/>
                      <w:lang w:eastAsia="zh-CN"/>
                    </w:rPr>
                    <w:t>3.18%</w:t>
                  </w:r>
                </w:p>
              </w:tc>
            </w:tr>
            <w:tr w:rsidR="00830F06" w:rsidRPr="002F062C" w14:paraId="42F79EE5" w14:textId="77777777" w:rsidTr="0010720B">
              <w:tc>
                <w:tcPr>
                  <w:tcW w:w="3037" w:type="dxa"/>
                  <w:gridSpan w:val="2"/>
                </w:tcPr>
                <w:p w14:paraId="11317549" w14:textId="77777777" w:rsidR="00830F06" w:rsidRDefault="00830F06" w:rsidP="00830F06">
                  <w:pPr>
                    <w:rPr>
                      <w:sz w:val="16"/>
                      <w:szCs w:val="16"/>
                    </w:rPr>
                  </w:pPr>
                  <w:r>
                    <w:rPr>
                      <w:sz w:val="16"/>
                      <w:szCs w:val="16"/>
                    </w:rPr>
                    <w:t>Cost of Debt</w:t>
                  </w:r>
                </w:p>
              </w:tc>
              <w:tc>
                <w:tcPr>
                  <w:tcW w:w="1080" w:type="dxa"/>
                </w:tcPr>
                <w:p w14:paraId="316D237F" w14:textId="09C600F9" w:rsidR="00830F06" w:rsidRDefault="00BE10B7" w:rsidP="00830F06">
                  <w:pPr>
                    <w:rPr>
                      <w:sz w:val="16"/>
                      <w:szCs w:val="16"/>
                      <w:lang w:eastAsia="zh-CN"/>
                    </w:rPr>
                  </w:pPr>
                  <w:r>
                    <w:rPr>
                      <w:rFonts w:hint="eastAsia"/>
                      <w:sz w:val="16"/>
                      <w:szCs w:val="16"/>
                      <w:lang w:eastAsia="zh-CN"/>
                    </w:rPr>
                    <w:t>1.8%</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1DB24481" w:rsidR="00830F06" w:rsidRDefault="00D0612C" w:rsidP="00830F06">
                  <w:pPr>
                    <w:rPr>
                      <w:sz w:val="16"/>
                      <w:szCs w:val="16"/>
                    </w:rPr>
                  </w:pPr>
                  <w:r>
                    <w:rPr>
                      <w:sz w:val="16"/>
                      <w:szCs w:val="16"/>
                    </w:rPr>
                    <w:t>38%</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53DCC9BE" w:rsidR="00830F06" w:rsidRDefault="00BE10B7" w:rsidP="00830F06">
                  <w:pPr>
                    <w:rPr>
                      <w:sz w:val="16"/>
                      <w:szCs w:val="16"/>
                      <w:lang w:eastAsia="zh-CN"/>
                    </w:rPr>
                  </w:pPr>
                  <w:r>
                    <w:rPr>
                      <w:rFonts w:hint="eastAsia"/>
                      <w:sz w:val="16"/>
                      <w:szCs w:val="16"/>
                      <w:lang w:eastAsia="zh-CN"/>
                    </w:rPr>
                    <w:t>11.1%</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AFADDE8" w:rsidR="00830F06" w:rsidRDefault="00D0612C" w:rsidP="00830F06">
                  <w:pPr>
                    <w:rPr>
                      <w:sz w:val="16"/>
                      <w:szCs w:val="16"/>
                    </w:rPr>
                  </w:pPr>
                  <w:r>
                    <w:rPr>
                      <w:sz w:val="16"/>
                      <w:szCs w:val="16"/>
                    </w:rPr>
                    <w:t>7%</w:t>
                  </w:r>
                </w:p>
              </w:tc>
            </w:tr>
            <w:tr w:rsidR="00830F06" w:rsidRPr="002F062C" w14:paraId="48232758" w14:textId="77777777" w:rsidTr="002D3CFC">
              <w:trPr>
                <w:trHeight w:val="197"/>
              </w:trPr>
              <w:tc>
                <w:tcPr>
                  <w:tcW w:w="3037" w:type="dxa"/>
                  <w:gridSpan w:val="2"/>
                </w:tcPr>
                <w:p w14:paraId="75850D20" w14:textId="0C27CA3A" w:rsidR="00830F06" w:rsidRDefault="0012425D" w:rsidP="0012425D">
                  <w:pPr>
                    <w:rPr>
                      <w:sz w:val="16"/>
                      <w:szCs w:val="16"/>
                    </w:rPr>
                  </w:pPr>
                  <w:r>
                    <w:rPr>
                      <w:sz w:val="16"/>
                      <w:szCs w:val="16"/>
                    </w:rPr>
                    <w:t>Perpetuity Growth Rate (Terminal)</w:t>
                  </w:r>
                </w:p>
              </w:tc>
              <w:tc>
                <w:tcPr>
                  <w:tcW w:w="1080" w:type="dxa"/>
                </w:tcPr>
                <w:p w14:paraId="0C5586DB" w14:textId="385282B3" w:rsidR="00830F06" w:rsidRDefault="00BE10B7" w:rsidP="00830F06">
                  <w:pPr>
                    <w:rPr>
                      <w:sz w:val="16"/>
                      <w:szCs w:val="16"/>
                    </w:rPr>
                  </w:pPr>
                  <w:r>
                    <w:rPr>
                      <w:rFonts w:hint="eastAsia"/>
                      <w:sz w:val="16"/>
                      <w:szCs w:val="16"/>
                      <w:lang w:eastAsia="zh-CN"/>
                    </w:rPr>
                    <w:t>4.7</w:t>
                  </w:r>
                  <w:r w:rsidR="00D0612C">
                    <w:rPr>
                      <w:sz w:val="16"/>
                      <w:szCs w:val="16"/>
                    </w:rPr>
                    <w:t>%</w:t>
                  </w:r>
                </w:p>
              </w:tc>
            </w:tr>
          </w:tbl>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13AE10E2" w:rsidR="009F0D12" w:rsidRPr="009D7A72" w:rsidRDefault="009F0D12" w:rsidP="009F0D12">
                  <w:pPr>
                    <w:jc w:val="both"/>
                    <w:rPr>
                      <w:sz w:val="16"/>
                      <w:szCs w:val="16"/>
                    </w:rPr>
                  </w:pPr>
                  <w:r w:rsidRPr="009D7A72">
                    <w:rPr>
                      <w:sz w:val="16"/>
                      <w:szCs w:val="16"/>
                    </w:rPr>
                    <w:t xml:space="preserve">Buy: </w:t>
                  </w:r>
                  <w:r w:rsidR="005F606E" w:rsidRPr="00A10BEF">
                    <w:rPr>
                      <w:rFonts w:hint="eastAsia"/>
                      <w:sz w:val="16"/>
                      <w:szCs w:val="16"/>
                    </w:rPr>
                    <w:t>10</w:t>
                  </w:r>
                </w:p>
              </w:tc>
              <w:tc>
                <w:tcPr>
                  <w:tcW w:w="1363" w:type="dxa"/>
                  <w:shd w:val="clear" w:color="auto" w:fill="DBE5F1" w:themeFill="accent1" w:themeFillTint="33"/>
                </w:tcPr>
                <w:p w14:paraId="10E79476" w14:textId="17CA69F9" w:rsidR="009F0D12" w:rsidRPr="009D7A72" w:rsidRDefault="009F0D12" w:rsidP="009F0D12">
                  <w:pPr>
                    <w:jc w:val="both"/>
                    <w:rPr>
                      <w:sz w:val="16"/>
                      <w:szCs w:val="16"/>
                    </w:rPr>
                  </w:pPr>
                  <w:r w:rsidRPr="009D7A72">
                    <w:rPr>
                      <w:sz w:val="16"/>
                      <w:szCs w:val="16"/>
                    </w:rPr>
                    <w:t xml:space="preserve">Hold: </w:t>
                  </w:r>
                  <w:r w:rsidR="005F606E" w:rsidRPr="00A10BEF">
                    <w:rPr>
                      <w:rFonts w:hint="eastAsia"/>
                      <w:sz w:val="16"/>
                      <w:szCs w:val="16"/>
                    </w:rPr>
                    <w:t>8</w:t>
                  </w:r>
                </w:p>
              </w:tc>
              <w:tc>
                <w:tcPr>
                  <w:tcW w:w="1363" w:type="dxa"/>
                  <w:shd w:val="clear" w:color="auto" w:fill="DBE5F1" w:themeFill="accent1" w:themeFillTint="33"/>
                </w:tcPr>
                <w:p w14:paraId="1F373BED" w14:textId="4B502DF4" w:rsidR="009F0D12" w:rsidRPr="009D7A72" w:rsidRDefault="009F0D12" w:rsidP="009F0D12">
                  <w:pPr>
                    <w:jc w:val="both"/>
                    <w:rPr>
                      <w:sz w:val="16"/>
                      <w:szCs w:val="16"/>
                    </w:rPr>
                  </w:pPr>
                  <w:r w:rsidRPr="009D7A72">
                    <w:rPr>
                      <w:sz w:val="16"/>
                      <w:szCs w:val="16"/>
                    </w:rPr>
                    <w:t xml:space="preserve">Sell: </w:t>
                  </w:r>
                  <w:r w:rsidR="005F606E" w:rsidRPr="00A10BEF">
                    <w:rPr>
                      <w:rFonts w:hint="eastAsia"/>
                      <w:sz w:val="16"/>
                      <w:szCs w:val="16"/>
                    </w:rPr>
                    <w:t>0</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082C660F" w:rsidR="009F0D12" w:rsidRPr="009D7A72" w:rsidRDefault="001D3CAE" w:rsidP="009F0D12">
                  <w:pPr>
                    <w:jc w:val="both"/>
                    <w:rPr>
                      <w:sz w:val="16"/>
                      <w:szCs w:val="16"/>
                    </w:rPr>
                  </w:pPr>
                  <w:r>
                    <w:rPr>
                      <w:sz w:val="16"/>
                      <w:szCs w:val="16"/>
                    </w:rPr>
                    <w:t>B+</w:t>
                  </w:r>
                </w:p>
              </w:tc>
              <w:tc>
                <w:tcPr>
                  <w:tcW w:w="1417" w:type="dxa"/>
                </w:tcPr>
                <w:p w14:paraId="0BCB7E23" w14:textId="19A9ACB2" w:rsidR="009F0D12" w:rsidRPr="009D7A72" w:rsidRDefault="007D12F0" w:rsidP="009F0D12">
                  <w:pPr>
                    <w:jc w:val="both"/>
                    <w:rPr>
                      <w:sz w:val="16"/>
                      <w:szCs w:val="16"/>
                    </w:rPr>
                  </w:pPr>
                  <w:r>
                    <w:rPr>
                      <w:sz w:val="16"/>
                      <w:szCs w:val="16"/>
                    </w:rPr>
                    <w:t>$68</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6EEDBC75" w:rsidR="009F0D12" w:rsidRPr="009D7A72" w:rsidRDefault="00AB159E" w:rsidP="009F0D12">
                  <w:pPr>
                    <w:jc w:val="both"/>
                    <w:rPr>
                      <w:sz w:val="16"/>
                      <w:szCs w:val="16"/>
                    </w:rPr>
                  </w:pPr>
                  <w:r>
                    <w:rPr>
                      <w:sz w:val="16"/>
                      <w:szCs w:val="16"/>
                    </w:rPr>
                    <w:t>3 star</w:t>
                  </w:r>
                </w:p>
              </w:tc>
              <w:tc>
                <w:tcPr>
                  <w:tcW w:w="1417" w:type="dxa"/>
                </w:tcPr>
                <w:p w14:paraId="70BA49F9" w14:textId="0D3DB8B3" w:rsidR="009F0D12" w:rsidRPr="009D7A72" w:rsidRDefault="00EF1E8D" w:rsidP="009F0D12">
                  <w:pPr>
                    <w:jc w:val="both"/>
                    <w:rPr>
                      <w:sz w:val="16"/>
                      <w:szCs w:val="16"/>
                      <w:lang w:eastAsia="zh-CN"/>
                    </w:rPr>
                  </w:pPr>
                  <w:r>
                    <w:rPr>
                      <w:sz w:val="16"/>
                      <w:szCs w:val="16"/>
                      <w:lang w:eastAsia="zh-CN"/>
                    </w:rPr>
                    <w:t>$63</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6B49E83" w:rsidR="009F0D12" w:rsidRPr="009D7A72" w:rsidRDefault="007D12F0" w:rsidP="009F0D12">
                  <w:pPr>
                    <w:jc w:val="both"/>
                    <w:rPr>
                      <w:sz w:val="16"/>
                      <w:szCs w:val="16"/>
                    </w:rPr>
                  </w:pPr>
                  <w:r>
                    <w:rPr>
                      <w:sz w:val="16"/>
                      <w:szCs w:val="16"/>
                    </w:rPr>
                    <w:t>Timeliness</w:t>
                  </w:r>
                  <w:r w:rsidR="001D3CAE">
                    <w:rPr>
                      <w:sz w:val="16"/>
                      <w:szCs w:val="16"/>
                    </w:rPr>
                    <w:t>2</w:t>
                  </w:r>
                </w:p>
              </w:tc>
              <w:tc>
                <w:tcPr>
                  <w:tcW w:w="1417" w:type="dxa"/>
                </w:tcPr>
                <w:p w14:paraId="22CC1EA0" w14:textId="28873979" w:rsidR="009F0D12" w:rsidRPr="009D7A72" w:rsidRDefault="007D12F0" w:rsidP="009F0D12">
                  <w:pPr>
                    <w:jc w:val="both"/>
                    <w:rPr>
                      <w:sz w:val="16"/>
                      <w:szCs w:val="16"/>
                    </w:rPr>
                  </w:pPr>
                  <w:r>
                    <w:rPr>
                      <w:sz w:val="16"/>
                      <w:szCs w:val="16"/>
                    </w:rPr>
                    <w:t>$80-120</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10720B">
        <w:tc>
          <w:tcPr>
            <w:tcW w:w="7488" w:type="dxa"/>
          </w:tcPr>
          <w:p w14:paraId="3F2A33BE" w14:textId="77777777" w:rsidR="004F2EAA" w:rsidRDefault="004F2EAA" w:rsidP="0010720B">
            <w:pPr>
              <w:jc w:val="both"/>
              <w:rPr>
                <w:b/>
                <w:sz w:val="16"/>
                <w:szCs w:val="16"/>
              </w:rPr>
            </w:pPr>
          </w:p>
          <w:tbl>
            <w:tblPr>
              <w:tblStyle w:val="TableGrid"/>
              <w:tblW w:w="7257" w:type="dxa"/>
              <w:tblLook w:val="04A0" w:firstRow="1" w:lastRow="0" w:firstColumn="1" w:lastColumn="0" w:noHBand="0" w:noVBand="1"/>
            </w:tblPr>
            <w:tblGrid>
              <w:gridCol w:w="1485"/>
              <w:gridCol w:w="814"/>
              <w:gridCol w:w="1188"/>
              <w:gridCol w:w="869"/>
              <w:gridCol w:w="869"/>
              <w:gridCol w:w="1037"/>
              <w:gridCol w:w="995"/>
            </w:tblGrid>
            <w:tr w:rsidR="005D4654" w14:paraId="03A7F5D8" w14:textId="77777777" w:rsidTr="005D4654">
              <w:tc>
                <w:tcPr>
                  <w:tcW w:w="1577" w:type="dxa"/>
                  <w:shd w:val="clear" w:color="auto" w:fill="DBE5F1" w:themeFill="accent1" w:themeFillTint="33"/>
                </w:tcPr>
                <w:p w14:paraId="18F981FE" w14:textId="77777777" w:rsidR="004F2EAA" w:rsidRDefault="004F2EAA" w:rsidP="004F2EAA">
                  <w:pPr>
                    <w:rPr>
                      <w:sz w:val="16"/>
                      <w:szCs w:val="16"/>
                    </w:rPr>
                  </w:pPr>
                  <w:r>
                    <w:rPr>
                      <w:sz w:val="16"/>
                      <w:szCs w:val="16"/>
                    </w:rPr>
                    <w:t>FY2014</w:t>
                  </w:r>
                </w:p>
              </w:tc>
              <w:tc>
                <w:tcPr>
                  <w:tcW w:w="657" w:type="dxa"/>
                  <w:shd w:val="clear" w:color="auto" w:fill="DBE5F1" w:themeFill="accent1" w:themeFillTint="33"/>
                </w:tcPr>
                <w:p w14:paraId="36FCBD39" w14:textId="11B20641" w:rsidR="004F2EAA" w:rsidRDefault="0097552E" w:rsidP="0097552E">
                  <w:pPr>
                    <w:jc w:val="center"/>
                    <w:rPr>
                      <w:sz w:val="16"/>
                      <w:szCs w:val="16"/>
                    </w:rPr>
                  </w:pPr>
                  <w:r w:rsidRPr="0097552E">
                    <w:rPr>
                      <w:sz w:val="16"/>
                      <w:szCs w:val="16"/>
                    </w:rPr>
                    <w:t>PENSKE</w:t>
                  </w:r>
                </w:p>
              </w:tc>
              <w:tc>
                <w:tcPr>
                  <w:tcW w:w="1188" w:type="dxa"/>
                  <w:shd w:val="clear" w:color="auto" w:fill="DBE5F1" w:themeFill="accent1" w:themeFillTint="33"/>
                </w:tcPr>
                <w:p w14:paraId="18F40648" w14:textId="5198CBD0" w:rsidR="004F2EAA" w:rsidRDefault="0097552E" w:rsidP="0097552E">
                  <w:pPr>
                    <w:jc w:val="center"/>
                    <w:rPr>
                      <w:sz w:val="16"/>
                      <w:szCs w:val="16"/>
                    </w:rPr>
                  </w:pPr>
                  <w:r w:rsidRPr="0097552E">
                    <w:rPr>
                      <w:sz w:val="16"/>
                      <w:szCs w:val="16"/>
                    </w:rPr>
                    <w:t>AUTONATION</w:t>
                  </w:r>
                </w:p>
              </w:tc>
              <w:tc>
                <w:tcPr>
                  <w:tcW w:w="877" w:type="dxa"/>
                  <w:shd w:val="clear" w:color="auto" w:fill="DBE5F1" w:themeFill="accent1" w:themeFillTint="33"/>
                </w:tcPr>
                <w:p w14:paraId="64A1B213" w14:textId="22FE528F" w:rsidR="004F2EAA" w:rsidRDefault="0097552E" w:rsidP="0097552E">
                  <w:pPr>
                    <w:jc w:val="center"/>
                    <w:rPr>
                      <w:sz w:val="16"/>
                      <w:szCs w:val="16"/>
                    </w:rPr>
                  </w:pPr>
                  <w:r>
                    <w:rPr>
                      <w:sz w:val="16"/>
                      <w:szCs w:val="16"/>
                    </w:rPr>
                    <w:t>LITHIA</w:t>
                  </w:r>
                </w:p>
              </w:tc>
              <w:tc>
                <w:tcPr>
                  <w:tcW w:w="877" w:type="dxa"/>
                  <w:shd w:val="clear" w:color="auto" w:fill="DBE5F1" w:themeFill="accent1" w:themeFillTint="33"/>
                </w:tcPr>
                <w:p w14:paraId="2A396C67" w14:textId="50BEA2D6" w:rsidR="004F2EAA" w:rsidRDefault="0097552E" w:rsidP="0097552E">
                  <w:pPr>
                    <w:jc w:val="center"/>
                    <w:rPr>
                      <w:sz w:val="16"/>
                      <w:szCs w:val="16"/>
                    </w:rPr>
                  </w:pPr>
                  <w:r w:rsidRPr="0097552E">
                    <w:rPr>
                      <w:sz w:val="16"/>
                      <w:szCs w:val="16"/>
                    </w:rPr>
                    <w:t>GROUP 1</w:t>
                  </w:r>
                </w:p>
              </w:tc>
              <w:tc>
                <w:tcPr>
                  <w:tcW w:w="1072" w:type="dxa"/>
                  <w:shd w:val="clear" w:color="auto" w:fill="DBE5F1" w:themeFill="accent1" w:themeFillTint="33"/>
                </w:tcPr>
                <w:p w14:paraId="78007BAA" w14:textId="4F0034C1" w:rsidR="004F2EAA" w:rsidRDefault="0097552E" w:rsidP="0097552E">
                  <w:pPr>
                    <w:jc w:val="center"/>
                    <w:rPr>
                      <w:sz w:val="16"/>
                      <w:szCs w:val="16"/>
                    </w:rPr>
                  </w:pPr>
                  <w:r>
                    <w:rPr>
                      <w:sz w:val="16"/>
                      <w:szCs w:val="16"/>
                    </w:rPr>
                    <w:t>Industry</w:t>
                  </w:r>
                </w:p>
              </w:tc>
              <w:tc>
                <w:tcPr>
                  <w:tcW w:w="1009" w:type="dxa"/>
                  <w:shd w:val="clear" w:color="auto" w:fill="DBE5F1" w:themeFill="accent1" w:themeFillTint="33"/>
                </w:tcPr>
                <w:p w14:paraId="45951734" w14:textId="75A697F8" w:rsidR="004F2EAA" w:rsidRDefault="004F2EAA" w:rsidP="0097552E">
                  <w:pPr>
                    <w:jc w:val="center"/>
                    <w:rPr>
                      <w:sz w:val="16"/>
                      <w:szCs w:val="16"/>
                    </w:rPr>
                  </w:pPr>
                  <w:r>
                    <w:rPr>
                      <w:sz w:val="16"/>
                      <w:szCs w:val="16"/>
                    </w:rPr>
                    <w:t>Company</w:t>
                  </w:r>
                </w:p>
              </w:tc>
            </w:tr>
            <w:tr w:rsidR="005D4654" w14:paraId="5DA42BF7" w14:textId="77777777" w:rsidTr="005D4654">
              <w:tc>
                <w:tcPr>
                  <w:tcW w:w="1577" w:type="dxa"/>
                </w:tcPr>
                <w:p w14:paraId="5D8F0BAD" w14:textId="77777777" w:rsidR="006B0A61" w:rsidRDefault="006B0A61" w:rsidP="006B0A61">
                  <w:pPr>
                    <w:rPr>
                      <w:sz w:val="16"/>
                      <w:szCs w:val="16"/>
                    </w:rPr>
                  </w:pPr>
                  <w:r>
                    <w:rPr>
                      <w:sz w:val="16"/>
                      <w:szCs w:val="16"/>
                    </w:rPr>
                    <w:t>P/E</w:t>
                  </w:r>
                </w:p>
              </w:tc>
              <w:tc>
                <w:tcPr>
                  <w:tcW w:w="657" w:type="dxa"/>
                  <w:vAlign w:val="bottom"/>
                </w:tcPr>
                <w:p w14:paraId="53BFCC21" w14:textId="3BC89DF8" w:rsidR="006B0A61" w:rsidRDefault="005D4654" w:rsidP="006B0A61">
                  <w:pPr>
                    <w:rPr>
                      <w:sz w:val="16"/>
                      <w:szCs w:val="16"/>
                    </w:rPr>
                  </w:pPr>
                  <w:r>
                    <w:rPr>
                      <w:sz w:val="16"/>
                      <w:szCs w:val="16"/>
                    </w:rPr>
                    <w:t xml:space="preserve">     </w:t>
                  </w:r>
                  <w:r w:rsidR="006B0A61" w:rsidRPr="006B0A61">
                    <w:rPr>
                      <w:sz w:val="16"/>
                      <w:szCs w:val="16"/>
                    </w:rPr>
                    <w:t xml:space="preserve">14.30 </w:t>
                  </w:r>
                </w:p>
              </w:tc>
              <w:tc>
                <w:tcPr>
                  <w:tcW w:w="1188" w:type="dxa"/>
                  <w:vAlign w:val="bottom"/>
                </w:tcPr>
                <w:p w14:paraId="0006F77E" w14:textId="09700874" w:rsidR="006B0A61" w:rsidRDefault="006B0A61" w:rsidP="006B0A61">
                  <w:pPr>
                    <w:rPr>
                      <w:sz w:val="16"/>
                      <w:szCs w:val="16"/>
                    </w:rPr>
                  </w:pPr>
                  <w:r w:rsidRPr="006B0A61">
                    <w:rPr>
                      <w:sz w:val="16"/>
                      <w:szCs w:val="16"/>
                    </w:rPr>
                    <w:t xml:space="preserve">      15.27 </w:t>
                  </w:r>
                </w:p>
              </w:tc>
              <w:tc>
                <w:tcPr>
                  <w:tcW w:w="877" w:type="dxa"/>
                  <w:vAlign w:val="bottom"/>
                </w:tcPr>
                <w:p w14:paraId="265146A9" w14:textId="03BDC02F" w:rsidR="006B0A61" w:rsidRDefault="006B0A61" w:rsidP="006B0A61">
                  <w:pPr>
                    <w:rPr>
                      <w:sz w:val="16"/>
                      <w:szCs w:val="16"/>
                    </w:rPr>
                  </w:pPr>
                  <w:r w:rsidRPr="006B0A61">
                    <w:rPr>
                      <w:sz w:val="16"/>
                      <w:szCs w:val="16"/>
                    </w:rPr>
                    <w:t xml:space="preserve">      16.35 </w:t>
                  </w:r>
                </w:p>
              </w:tc>
              <w:tc>
                <w:tcPr>
                  <w:tcW w:w="877" w:type="dxa"/>
                  <w:vAlign w:val="bottom"/>
                </w:tcPr>
                <w:p w14:paraId="1710897B" w14:textId="28BEBC0E" w:rsidR="006B0A61" w:rsidRDefault="006B0A61" w:rsidP="006B0A61">
                  <w:pPr>
                    <w:rPr>
                      <w:sz w:val="16"/>
                      <w:szCs w:val="16"/>
                    </w:rPr>
                  </w:pPr>
                  <w:r w:rsidRPr="006B0A61">
                    <w:rPr>
                      <w:sz w:val="16"/>
                      <w:szCs w:val="16"/>
                    </w:rPr>
                    <w:t xml:space="preserve">      12.42 </w:t>
                  </w:r>
                </w:p>
              </w:tc>
              <w:tc>
                <w:tcPr>
                  <w:tcW w:w="1072" w:type="dxa"/>
                  <w:vAlign w:val="bottom"/>
                </w:tcPr>
                <w:p w14:paraId="7076EAC1" w14:textId="3A48B992" w:rsidR="006B0A61" w:rsidRDefault="006B0A61" w:rsidP="006B0A61">
                  <w:pPr>
                    <w:rPr>
                      <w:sz w:val="16"/>
                      <w:szCs w:val="16"/>
                    </w:rPr>
                  </w:pPr>
                  <w:r w:rsidRPr="006B0A61">
                    <w:rPr>
                      <w:sz w:val="16"/>
                      <w:szCs w:val="16"/>
                    </w:rPr>
                    <w:t xml:space="preserve">      27.89 </w:t>
                  </w:r>
                </w:p>
              </w:tc>
              <w:tc>
                <w:tcPr>
                  <w:tcW w:w="1009" w:type="dxa"/>
                  <w:vAlign w:val="bottom"/>
                </w:tcPr>
                <w:p w14:paraId="1D18DB5C" w14:textId="1A04F1AE" w:rsidR="006B0A61" w:rsidRDefault="006B0A61" w:rsidP="006B0A61">
                  <w:pPr>
                    <w:rPr>
                      <w:sz w:val="16"/>
                      <w:szCs w:val="16"/>
                    </w:rPr>
                  </w:pPr>
                  <w:r w:rsidRPr="006B0A61">
                    <w:rPr>
                      <w:sz w:val="16"/>
                      <w:szCs w:val="16"/>
                    </w:rPr>
                    <w:t xml:space="preserve">        19.80 </w:t>
                  </w:r>
                </w:p>
              </w:tc>
            </w:tr>
            <w:tr w:rsidR="005D4654" w14:paraId="3CF28431" w14:textId="77777777" w:rsidTr="005D4654">
              <w:tc>
                <w:tcPr>
                  <w:tcW w:w="1577" w:type="dxa"/>
                </w:tcPr>
                <w:p w14:paraId="7E3790DF" w14:textId="77777777" w:rsidR="006B0A61" w:rsidRDefault="006B0A61" w:rsidP="006B0A61">
                  <w:pPr>
                    <w:rPr>
                      <w:sz w:val="16"/>
                      <w:szCs w:val="16"/>
                    </w:rPr>
                  </w:pPr>
                  <w:r>
                    <w:rPr>
                      <w:sz w:val="16"/>
                      <w:szCs w:val="16"/>
                    </w:rPr>
                    <w:t>P/B</w:t>
                  </w:r>
                </w:p>
              </w:tc>
              <w:tc>
                <w:tcPr>
                  <w:tcW w:w="657" w:type="dxa"/>
                  <w:vAlign w:val="bottom"/>
                </w:tcPr>
                <w:p w14:paraId="34BDBBAA" w14:textId="1CD9B3D4" w:rsidR="006B0A61" w:rsidRDefault="006B0A61" w:rsidP="006B0A61">
                  <w:pPr>
                    <w:rPr>
                      <w:sz w:val="16"/>
                      <w:szCs w:val="16"/>
                    </w:rPr>
                  </w:pPr>
                  <w:r w:rsidRPr="006B0A61">
                    <w:rPr>
                      <w:sz w:val="16"/>
                      <w:szCs w:val="16"/>
                    </w:rPr>
                    <w:t xml:space="preserve">        2.60 </w:t>
                  </w:r>
                </w:p>
              </w:tc>
              <w:tc>
                <w:tcPr>
                  <w:tcW w:w="1188" w:type="dxa"/>
                  <w:vAlign w:val="bottom"/>
                </w:tcPr>
                <w:p w14:paraId="6DD53DF3" w14:textId="013FF58B" w:rsidR="006B0A61" w:rsidRDefault="006B0A61" w:rsidP="006B0A61">
                  <w:pPr>
                    <w:rPr>
                      <w:sz w:val="16"/>
                      <w:szCs w:val="16"/>
                    </w:rPr>
                  </w:pPr>
                  <w:r w:rsidRPr="006B0A61">
                    <w:rPr>
                      <w:sz w:val="16"/>
                      <w:szCs w:val="16"/>
                    </w:rPr>
                    <w:t xml:space="preserve">        3.09 </w:t>
                  </w:r>
                </w:p>
              </w:tc>
              <w:tc>
                <w:tcPr>
                  <w:tcW w:w="877" w:type="dxa"/>
                  <w:vAlign w:val="bottom"/>
                </w:tcPr>
                <w:p w14:paraId="28B68146" w14:textId="6FDE5A7B" w:rsidR="006B0A61" w:rsidRDefault="006B0A61" w:rsidP="006B0A61">
                  <w:pPr>
                    <w:rPr>
                      <w:sz w:val="16"/>
                      <w:szCs w:val="16"/>
                    </w:rPr>
                  </w:pPr>
                  <w:r w:rsidRPr="006B0A61">
                    <w:rPr>
                      <w:sz w:val="16"/>
                      <w:szCs w:val="16"/>
                    </w:rPr>
                    <w:t xml:space="preserve">        3.86 </w:t>
                  </w:r>
                </w:p>
              </w:tc>
              <w:tc>
                <w:tcPr>
                  <w:tcW w:w="877" w:type="dxa"/>
                  <w:vAlign w:val="bottom"/>
                </w:tcPr>
                <w:p w14:paraId="7C8A26C7" w14:textId="3FDF952F" w:rsidR="006B0A61" w:rsidRDefault="006B0A61" w:rsidP="006B0A61">
                  <w:pPr>
                    <w:rPr>
                      <w:sz w:val="16"/>
                      <w:szCs w:val="16"/>
                    </w:rPr>
                  </w:pPr>
                  <w:r w:rsidRPr="006B0A61">
                    <w:rPr>
                      <w:sz w:val="16"/>
                      <w:szCs w:val="16"/>
                    </w:rPr>
                    <w:t xml:space="preserve">        2.18 </w:t>
                  </w:r>
                </w:p>
              </w:tc>
              <w:tc>
                <w:tcPr>
                  <w:tcW w:w="1072" w:type="dxa"/>
                  <w:vAlign w:val="bottom"/>
                </w:tcPr>
                <w:p w14:paraId="5AFEA404" w14:textId="48898B46" w:rsidR="006B0A61" w:rsidRDefault="006B0A61" w:rsidP="006B0A61">
                  <w:pPr>
                    <w:rPr>
                      <w:sz w:val="16"/>
                      <w:szCs w:val="16"/>
                    </w:rPr>
                  </w:pPr>
                  <w:r w:rsidRPr="006B0A61">
                    <w:rPr>
                      <w:sz w:val="16"/>
                      <w:szCs w:val="16"/>
                    </w:rPr>
                    <w:t xml:space="preserve">        4.49 </w:t>
                  </w:r>
                </w:p>
              </w:tc>
              <w:tc>
                <w:tcPr>
                  <w:tcW w:w="1009" w:type="dxa"/>
                  <w:vAlign w:val="bottom"/>
                </w:tcPr>
                <w:p w14:paraId="75E713E1" w14:textId="1E246639" w:rsidR="006B0A61" w:rsidRDefault="006B0A61" w:rsidP="006B0A61">
                  <w:pPr>
                    <w:rPr>
                      <w:sz w:val="16"/>
                      <w:szCs w:val="16"/>
                    </w:rPr>
                  </w:pPr>
                  <w:r w:rsidRPr="006B0A61">
                    <w:rPr>
                      <w:sz w:val="16"/>
                      <w:szCs w:val="16"/>
                    </w:rPr>
                    <w:t xml:space="preserve">          3.69 </w:t>
                  </w:r>
                </w:p>
              </w:tc>
            </w:tr>
            <w:tr w:rsidR="005D4654" w14:paraId="0617F604" w14:textId="77777777" w:rsidTr="005D4654">
              <w:tc>
                <w:tcPr>
                  <w:tcW w:w="1577" w:type="dxa"/>
                </w:tcPr>
                <w:p w14:paraId="3EC6238B" w14:textId="77777777" w:rsidR="006B0A61" w:rsidRDefault="006B0A61" w:rsidP="006B0A61">
                  <w:pPr>
                    <w:rPr>
                      <w:sz w:val="16"/>
                      <w:szCs w:val="16"/>
                    </w:rPr>
                  </w:pPr>
                  <w:r>
                    <w:rPr>
                      <w:sz w:val="16"/>
                      <w:szCs w:val="16"/>
                    </w:rPr>
                    <w:t xml:space="preserve">Dividend Yield </w:t>
                  </w:r>
                </w:p>
              </w:tc>
              <w:tc>
                <w:tcPr>
                  <w:tcW w:w="657" w:type="dxa"/>
                  <w:vAlign w:val="bottom"/>
                </w:tcPr>
                <w:p w14:paraId="524E59DF" w14:textId="401793C2" w:rsidR="006B0A61" w:rsidRDefault="006B0A61" w:rsidP="006B0A61">
                  <w:pPr>
                    <w:rPr>
                      <w:sz w:val="16"/>
                      <w:szCs w:val="16"/>
                    </w:rPr>
                  </w:pPr>
                  <w:r w:rsidRPr="006B0A61">
                    <w:rPr>
                      <w:sz w:val="16"/>
                      <w:szCs w:val="16"/>
                    </w:rPr>
                    <w:t xml:space="preserve">        2.12 </w:t>
                  </w:r>
                </w:p>
              </w:tc>
              <w:tc>
                <w:tcPr>
                  <w:tcW w:w="1188" w:type="dxa"/>
                  <w:vAlign w:val="bottom"/>
                </w:tcPr>
                <w:p w14:paraId="22DA99B4" w14:textId="1AEC0A83" w:rsidR="006B0A61" w:rsidRDefault="006B0A61" w:rsidP="006B0A61">
                  <w:pPr>
                    <w:rPr>
                      <w:sz w:val="16"/>
                      <w:szCs w:val="16"/>
                    </w:rPr>
                  </w:pPr>
                  <w:r w:rsidRPr="006B0A61">
                    <w:rPr>
                      <w:sz w:val="16"/>
                      <w:szCs w:val="16"/>
                    </w:rPr>
                    <w:t xml:space="preserve">            -   </w:t>
                  </w:r>
                </w:p>
              </w:tc>
              <w:tc>
                <w:tcPr>
                  <w:tcW w:w="877" w:type="dxa"/>
                  <w:vAlign w:val="bottom"/>
                </w:tcPr>
                <w:p w14:paraId="37475220" w14:textId="214FBFC3" w:rsidR="006B0A61" w:rsidRDefault="006B0A61" w:rsidP="006B0A61">
                  <w:pPr>
                    <w:rPr>
                      <w:sz w:val="16"/>
                      <w:szCs w:val="16"/>
                    </w:rPr>
                  </w:pPr>
                  <w:r w:rsidRPr="006B0A61">
                    <w:rPr>
                      <w:sz w:val="16"/>
                      <w:szCs w:val="16"/>
                    </w:rPr>
                    <w:t xml:space="preserve">        0.62 </w:t>
                  </w:r>
                </w:p>
              </w:tc>
              <w:tc>
                <w:tcPr>
                  <w:tcW w:w="877" w:type="dxa"/>
                  <w:vAlign w:val="bottom"/>
                </w:tcPr>
                <w:p w14:paraId="46267742" w14:textId="3BD61E45" w:rsidR="006B0A61" w:rsidRDefault="006B0A61" w:rsidP="006B0A61">
                  <w:pPr>
                    <w:rPr>
                      <w:sz w:val="16"/>
                      <w:szCs w:val="16"/>
                    </w:rPr>
                  </w:pPr>
                  <w:r w:rsidRPr="006B0A61">
                    <w:rPr>
                      <w:sz w:val="16"/>
                      <w:szCs w:val="16"/>
                    </w:rPr>
                    <w:t xml:space="preserve">        0.91 </w:t>
                  </w:r>
                </w:p>
              </w:tc>
              <w:tc>
                <w:tcPr>
                  <w:tcW w:w="1072" w:type="dxa"/>
                  <w:vAlign w:val="bottom"/>
                </w:tcPr>
                <w:p w14:paraId="4CB9EC74" w14:textId="53FCDF97" w:rsidR="006B0A61" w:rsidRDefault="006B0A61" w:rsidP="006B0A61">
                  <w:pPr>
                    <w:rPr>
                      <w:sz w:val="16"/>
                      <w:szCs w:val="16"/>
                    </w:rPr>
                  </w:pPr>
                  <w:r w:rsidRPr="006B0A61">
                    <w:rPr>
                      <w:sz w:val="16"/>
                      <w:szCs w:val="16"/>
                    </w:rPr>
                    <w:t xml:space="preserve">        0.37 </w:t>
                  </w:r>
                </w:p>
              </w:tc>
              <w:tc>
                <w:tcPr>
                  <w:tcW w:w="1009" w:type="dxa"/>
                  <w:vAlign w:val="bottom"/>
                </w:tcPr>
                <w:p w14:paraId="13B0F0F0" w14:textId="421ABBE2" w:rsidR="006B0A61" w:rsidRDefault="006B0A61" w:rsidP="006B0A61">
                  <w:pPr>
                    <w:rPr>
                      <w:sz w:val="16"/>
                      <w:szCs w:val="16"/>
                    </w:rPr>
                  </w:pPr>
                  <w:r w:rsidRPr="006B0A61">
                    <w:rPr>
                      <w:sz w:val="16"/>
                      <w:szCs w:val="16"/>
                    </w:rPr>
                    <w:t xml:space="preserve">              -   </w:t>
                  </w:r>
                </w:p>
              </w:tc>
            </w:tr>
            <w:tr w:rsidR="005D4654" w14:paraId="4505851E" w14:textId="77777777" w:rsidTr="005D4654">
              <w:tc>
                <w:tcPr>
                  <w:tcW w:w="1577" w:type="dxa"/>
                </w:tcPr>
                <w:p w14:paraId="6045AE39" w14:textId="77777777" w:rsidR="006B0A61" w:rsidRDefault="006B0A61" w:rsidP="006B0A61">
                  <w:pPr>
                    <w:rPr>
                      <w:sz w:val="16"/>
                      <w:szCs w:val="16"/>
                    </w:rPr>
                  </w:pPr>
                  <w:r>
                    <w:rPr>
                      <w:sz w:val="16"/>
                      <w:szCs w:val="16"/>
                    </w:rPr>
                    <w:t xml:space="preserve">PEG Ratio </w:t>
                  </w:r>
                </w:p>
              </w:tc>
              <w:tc>
                <w:tcPr>
                  <w:tcW w:w="657" w:type="dxa"/>
                  <w:vAlign w:val="bottom"/>
                </w:tcPr>
                <w:p w14:paraId="6C39B871" w14:textId="11C40436" w:rsidR="006B0A61" w:rsidRDefault="006B0A61" w:rsidP="006B0A61">
                  <w:pPr>
                    <w:rPr>
                      <w:sz w:val="16"/>
                      <w:szCs w:val="16"/>
                    </w:rPr>
                  </w:pPr>
                  <w:r w:rsidRPr="006B0A61">
                    <w:rPr>
                      <w:sz w:val="16"/>
                      <w:szCs w:val="16"/>
                    </w:rPr>
                    <w:t xml:space="preserve">        1.19 </w:t>
                  </w:r>
                </w:p>
              </w:tc>
              <w:tc>
                <w:tcPr>
                  <w:tcW w:w="1188" w:type="dxa"/>
                  <w:vAlign w:val="bottom"/>
                </w:tcPr>
                <w:p w14:paraId="7D65AAED" w14:textId="2C64DB5C" w:rsidR="006B0A61" w:rsidRDefault="006B0A61" w:rsidP="006B0A61">
                  <w:pPr>
                    <w:rPr>
                      <w:sz w:val="16"/>
                      <w:szCs w:val="16"/>
                    </w:rPr>
                  </w:pPr>
                  <w:r w:rsidRPr="006B0A61">
                    <w:rPr>
                      <w:sz w:val="16"/>
                      <w:szCs w:val="16"/>
                    </w:rPr>
                    <w:t xml:space="preserve">        1.14 </w:t>
                  </w:r>
                </w:p>
              </w:tc>
              <w:tc>
                <w:tcPr>
                  <w:tcW w:w="877" w:type="dxa"/>
                  <w:vAlign w:val="bottom"/>
                </w:tcPr>
                <w:p w14:paraId="405B4B3F" w14:textId="1B79612C" w:rsidR="006B0A61" w:rsidRDefault="006B0A61" w:rsidP="006B0A61">
                  <w:pPr>
                    <w:rPr>
                      <w:sz w:val="16"/>
                      <w:szCs w:val="16"/>
                    </w:rPr>
                  </w:pPr>
                  <w:r w:rsidRPr="006B0A61">
                    <w:rPr>
                      <w:sz w:val="16"/>
                      <w:szCs w:val="16"/>
                    </w:rPr>
                    <w:t xml:space="preserve">        0.89 </w:t>
                  </w:r>
                </w:p>
              </w:tc>
              <w:tc>
                <w:tcPr>
                  <w:tcW w:w="877" w:type="dxa"/>
                  <w:vAlign w:val="bottom"/>
                </w:tcPr>
                <w:p w14:paraId="09628130" w14:textId="5F51C454" w:rsidR="006B0A61" w:rsidRDefault="006B0A61" w:rsidP="006B0A61">
                  <w:pPr>
                    <w:rPr>
                      <w:sz w:val="16"/>
                      <w:szCs w:val="16"/>
                    </w:rPr>
                  </w:pPr>
                  <w:r w:rsidRPr="006B0A61">
                    <w:rPr>
                      <w:sz w:val="16"/>
                      <w:szCs w:val="16"/>
                    </w:rPr>
                    <w:t xml:space="preserve">        0.95 </w:t>
                  </w:r>
                </w:p>
              </w:tc>
              <w:tc>
                <w:tcPr>
                  <w:tcW w:w="1072" w:type="dxa"/>
                  <w:vAlign w:val="bottom"/>
                </w:tcPr>
                <w:p w14:paraId="2302C4FD" w14:textId="2A5ACEAE" w:rsidR="006B0A61" w:rsidRDefault="006B0A61" w:rsidP="006B0A61">
                  <w:pPr>
                    <w:rPr>
                      <w:sz w:val="16"/>
                      <w:szCs w:val="16"/>
                    </w:rPr>
                  </w:pPr>
                  <w:r w:rsidRPr="006B0A61">
                    <w:rPr>
                      <w:sz w:val="16"/>
                      <w:szCs w:val="16"/>
                    </w:rPr>
                    <w:t xml:space="preserve">        2.25 </w:t>
                  </w:r>
                </w:p>
              </w:tc>
              <w:tc>
                <w:tcPr>
                  <w:tcW w:w="1009" w:type="dxa"/>
                  <w:vAlign w:val="bottom"/>
                </w:tcPr>
                <w:p w14:paraId="3C4BDA61" w14:textId="3C5B200D" w:rsidR="006B0A61" w:rsidRDefault="006B0A61" w:rsidP="006B0A61">
                  <w:pPr>
                    <w:rPr>
                      <w:sz w:val="16"/>
                      <w:szCs w:val="16"/>
                    </w:rPr>
                  </w:pPr>
                  <w:r w:rsidRPr="006B0A61">
                    <w:rPr>
                      <w:sz w:val="16"/>
                      <w:szCs w:val="16"/>
                    </w:rPr>
                    <w:t xml:space="preserve">          1.21 </w:t>
                  </w:r>
                </w:p>
              </w:tc>
            </w:tr>
            <w:tr w:rsidR="005D4654" w14:paraId="06FF3325" w14:textId="77777777" w:rsidTr="005D4654">
              <w:tc>
                <w:tcPr>
                  <w:tcW w:w="1577" w:type="dxa"/>
                </w:tcPr>
                <w:p w14:paraId="7FD0AD7B" w14:textId="77777777" w:rsidR="006B0A61" w:rsidRDefault="006B0A61" w:rsidP="006B0A61">
                  <w:pPr>
                    <w:rPr>
                      <w:sz w:val="16"/>
                      <w:szCs w:val="16"/>
                    </w:rPr>
                  </w:pPr>
                  <w:r>
                    <w:rPr>
                      <w:sz w:val="16"/>
                      <w:szCs w:val="16"/>
                    </w:rPr>
                    <w:t>EPS</w:t>
                  </w:r>
                </w:p>
              </w:tc>
              <w:tc>
                <w:tcPr>
                  <w:tcW w:w="657" w:type="dxa"/>
                  <w:vAlign w:val="bottom"/>
                </w:tcPr>
                <w:p w14:paraId="039C42DF" w14:textId="2B27AB4C" w:rsidR="006B0A61" w:rsidRDefault="006B0A61" w:rsidP="006B0A61">
                  <w:pPr>
                    <w:rPr>
                      <w:sz w:val="16"/>
                      <w:szCs w:val="16"/>
                    </w:rPr>
                  </w:pPr>
                  <w:r w:rsidRPr="006B0A61">
                    <w:rPr>
                      <w:sz w:val="16"/>
                      <w:szCs w:val="16"/>
                    </w:rPr>
                    <w:t xml:space="preserve">        3.50 </w:t>
                  </w:r>
                </w:p>
              </w:tc>
              <w:tc>
                <w:tcPr>
                  <w:tcW w:w="1188" w:type="dxa"/>
                  <w:vAlign w:val="bottom"/>
                </w:tcPr>
                <w:p w14:paraId="1CBE09CE" w14:textId="4AC64BD0" w:rsidR="006B0A61" w:rsidRDefault="006B0A61" w:rsidP="006B0A61">
                  <w:pPr>
                    <w:rPr>
                      <w:sz w:val="16"/>
                      <w:szCs w:val="16"/>
                    </w:rPr>
                  </w:pPr>
                  <w:r w:rsidRPr="006B0A61">
                    <w:rPr>
                      <w:sz w:val="16"/>
                      <w:szCs w:val="16"/>
                    </w:rPr>
                    <w:t xml:space="preserve">        4.05 </w:t>
                  </w:r>
                </w:p>
              </w:tc>
              <w:tc>
                <w:tcPr>
                  <w:tcW w:w="877" w:type="dxa"/>
                  <w:vAlign w:val="bottom"/>
                </w:tcPr>
                <w:p w14:paraId="418ADE6E" w14:textId="144C650E" w:rsidR="006B0A61" w:rsidRDefault="006B0A61" w:rsidP="006B0A61">
                  <w:pPr>
                    <w:rPr>
                      <w:sz w:val="16"/>
                      <w:szCs w:val="16"/>
                    </w:rPr>
                  </w:pPr>
                  <w:r w:rsidRPr="006B0A61">
                    <w:rPr>
                      <w:sz w:val="16"/>
                      <w:szCs w:val="16"/>
                    </w:rPr>
                    <w:t xml:space="preserve">        6.69 </w:t>
                  </w:r>
                </w:p>
              </w:tc>
              <w:tc>
                <w:tcPr>
                  <w:tcW w:w="877" w:type="dxa"/>
                  <w:vAlign w:val="bottom"/>
                </w:tcPr>
                <w:p w14:paraId="0783FD74" w14:textId="572DE2C1" w:rsidR="006B0A61" w:rsidRDefault="006B0A61" w:rsidP="006B0A61">
                  <w:pPr>
                    <w:rPr>
                      <w:sz w:val="16"/>
                      <w:szCs w:val="16"/>
                    </w:rPr>
                  </w:pPr>
                  <w:r w:rsidRPr="006B0A61">
                    <w:rPr>
                      <w:sz w:val="16"/>
                      <w:szCs w:val="16"/>
                    </w:rPr>
                    <w:t xml:space="preserve">        6.03 </w:t>
                  </w:r>
                </w:p>
              </w:tc>
              <w:tc>
                <w:tcPr>
                  <w:tcW w:w="1072" w:type="dxa"/>
                  <w:vAlign w:val="bottom"/>
                </w:tcPr>
                <w:p w14:paraId="6D9EF64C" w14:textId="1EEC54C3" w:rsidR="006B0A61" w:rsidRDefault="006B0A61" w:rsidP="006B0A61">
                  <w:pPr>
                    <w:rPr>
                      <w:sz w:val="16"/>
                      <w:szCs w:val="16"/>
                    </w:rPr>
                  </w:pPr>
                  <w:r w:rsidRPr="006B0A61">
                    <w:rPr>
                      <w:sz w:val="16"/>
                      <w:szCs w:val="16"/>
                    </w:rPr>
                    <w:t xml:space="preserve">        6.97 </w:t>
                  </w:r>
                </w:p>
              </w:tc>
              <w:tc>
                <w:tcPr>
                  <w:tcW w:w="1009" w:type="dxa"/>
                  <w:vAlign w:val="bottom"/>
                </w:tcPr>
                <w:p w14:paraId="065BB36E" w14:textId="214C5552" w:rsidR="006B0A61" w:rsidRDefault="006B0A61" w:rsidP="006B0A61">
                  <w:pPr>
                    <w:rPr>
                      <w:sz w:val="16"/>
                      <w:szCs w:val="16"/>
                    </w:rPr>
                  </w:pPr>
                  <w:r w:rsidRPr="006B0A61">
                    <w:rPr>
                      <w:sz w:val="16"/>
                      <w:szCs w:val="16"/>
                    </w:rPr>
                    <w:t xml:space="preserve">          2.99 </w:t>
                  </w:r>
                </w:p>
              </w:tc>
            </w:tr>
            <w:tr w:rsidR="005D4654" w14:paraId="777301C1" w14:textId="77777777" w:rsidTr="005D4654">
              <w:tc>
                <w:tcPr>
                  <w:tcW w:w="1577" w:type="dxa"/>
                </w:tcPr>
                <w:p w14:paraId="0759BE0E" w14:textId="23997C2A" w:rsidR="006B0A61" w:rsidRDefault="006B0A61" w:rsidP="006B0A61">
                  <w:pPr>
                    <w:rPr>
                      <w:sz w:val="16"/>
                      <w:szCs w:val="16"/>
                    </w:rPr>
                  </w:pPr>
                  <w:r>
                    <w:rPr>
                      <w:sz w:val="16"/>
                      <w:szCs w:val="16"/>
                    </w:rPr>
                    <w:t>Rev Growth (3 Yr)</w:t>
                  </w:r>
                </w:p>
              </w:tc>
              <w:tc>
                <w:tcPr>
                  <w:tcW w:w="657" w:type="dxa"/>
                  <w:vAlign w:val="bottom"/>
                </w:tcPr>
                <w:p w14:paraId="18DCC7A0" w14:textId="6B44A494" w:rsidR="006B0A61" w:rsidRDefault="0085115D" w:rsidP="006B0A61">
                  <w:pPr>
                    <w:rPr>
                      <w:sz w:val="16"/>
                      <w:szCs w:val="16"/>
                    </w:rPr>
                  </w:pPr>
                  <w:r>
                    <w:rPr>
                      <w:sz w:val="16"/>
                      <w:szCs w:val="16"/>
                    </w:rPr>
                    <w:t xml:space="preserve">     15.63</w:t>
                  </w:r>
                </w:p>
              </w:tc>
              <w:tc>
                <w:tcPr>
                  <w:tcW w:w="1188" w:type="dxa"/>
                  <w:vAlign w:val="bottom"/>
                </w:tcPr>
                <w:p w14:paraId="68E302DD" w14:textId="6E8052F7" w:rsidR="006B0A61" w:rsidRDefault="006B0A61" w:rsidP="006B0A61">
                  <w:pPr>
                    <w:rPr>
                      <w:sz w:val="16"/>
                      <w:szCs w:val="16"/>
                    </w:rPr>
                  </w:pPr>
                  <w:r w:rsidRPr="006B0A61">
                    <w:rPr>
                      <w:sz w:val="16"/>
                      <w:szCs w:val="16"/>
                    </w:rPr>
                    <w:t xml:space="preserve">      11.</w:t>
                  </w:r>
                  <w:r w:rsidR="0085115D">
                    <w:rPr>
                      <w:sz w:val="16"/>
                      <w:szCs w:val="16"/>
                    </w:rPr>
                    <w:t>39</w:t>
                  </w:r>
                </w:p>
              </w:tc>
              <w:tc>
                <w:tcPr>
                  <w:tcW w:w="877" w:type="dxa"/>
                  <w:vAlign w:val="bottom"/>
                </w:tcPr>
                <w:p w14:paraId="67F1CBE6" w14:textId="5DB7B7CE" w:rsidR="006B0A61" w:rsidRDefault="0085115D" w:rsidP="006B0A61">
                  <w:pPr>
                    <w:rPr>
                      <w:sz w:val="16"/>
                      <w:szCs w:val="16"/>
                    </w:rPr>
                  </w:pPr>
                  <w:r>
                    <w:rPr>
                      <w:sz w:val="16"/>
                      <w:szCs w:val="16"/>
                    </w:rPr>
                    <w:t xml:space="preserve">    </w:t>
                  </w:r>
                  <w:r w:rsidR="00A217ED">
                    <w:rPr>
                      <w:sz w:val="16"/>
                      <w:szCs w:val="16"/>
                    </w:rPr>
                    <w:t xml:space="preserve"> </w:t>
                  </w:r>
                  <w:r>
                    <w:rPr>
                      <w:sz w:val="16"/>
                      <w:szCs w:val="16"/>
                    </w:rPr>
                    <w:t>27.1</w:t>
                  </w:r>
                  <w:r w:rsidR="00A217ED">
                    <w:rPr>
                      <w:sz w:val="16"/>
                      <w:szCs w:val="16"/>
                    </w:rPr>
                    <w:t>1</w:t>
                  </w:r>
                </w:p>
              </w:tc>
              <w:tc>
                <w:tcPr>
                  <w:tcW w:w="877" w:type="dxa"/>
                  <w:vAlign w:val="bottom"/>
                </w:tcPr>
                <w:p w14:paraId="42281ACF" w14:textId="7E4E65C1" w:rsidR="006B0A61" w:rsidRDefault="0085115D" w:rsidP="006B0A61">
                  <w:pPr>
                    <w:rPr>
                      <w:sz w:val="16"/>
                      <w:szCs w:val="16"/>
                    </w:rPr>
                  </w:pPr>
                  <w:r>
                    <w:rPr>
                      <w:sz w:val="16"/>
                      <w:szCs w:val="16"/>
                    </w:rPr>
                    <w:t xml:space="preserve">      17.90</w:t>
                  </w:r>
                </w:p>
              </w:tc>
              <w:tc>
                <w:tcPr>
                  <w:tcW w:w="1072" w:type="dxa"/>
                  <w:vAlign w:val="bottom"/>
                </w:tcPr>
                <w:p w14:paraId="17995264" w14:textId="2802D41E" w:rsidR="006B0A61" w:rsidRDefault="0085115D" w:rsidP="006B0A61">
                  <w:pPr>
                    <w:rPr>
                      <w:sz w:val="16"/>
                      <w:szCs w:val="16"/>
                    </w:rPr>
                  </w:pPr>
                  <w:r>
                    <w:rPr>
                      <w:sz w:val="16"/>
                      <w:szCs w:val="16"/>
                    </w:rPr>
                    <w:t xml:space="preserve">      12.29</w:t>
                  </w:r>
                </w:p>
              </w:tc>
              <w:tc>
                <w:tcPr>
                  <w:tcW w:w="1009" w:type="dxa"/>
                  <w:vAlign w:val="bottom"/>
                </w:tcPr>
                <w:p w14:paraId="6FFA7BF9" w14:textId="4B74FAB0" w:rsidR="006B0A61" w:rsidRDefault="0085115D" w:rsidP="006B0A61">
                  <w:pPr>
                    <w:rPr>
                      <w:sz w:val="16"/>
                      <w:szCs w:val="16"/>
                    </w:rPr>
                  </w:pPr>
                  <w:r>
                    <w:rPr>
                      <w:sz w:val="16"/>
                      <w:szCs w:val="16"/>
                    </w:rPr>
                    <w:t xml:space="preserve">        12.59</w:t>
                  </w:r>
                  <w:r w:rsidR="006B0A61" w:rsidRPr="006B0A61">
                    <w:rPr>
                      <w:sz w:val="16"/>
                      <w:szCs w:val="16"/>
                    </w:rPr>
                    <w:t xml:space="preserve"> </w:t>
                  </w:r>
                </w:p>
              </w:tc>
            </w:tr>
            <w:tr w:rsidR="005D4654" w14:paraId="616F0554" w14:textId="77777777" w:rsidTr="005D4654">
              <w:tc>
                <w:tcPr>
                  <w:tcW w:w="1577" w:type="dxa"/>
                </w:tcPr>
                <w:p w14:paraId="12174486" w14:textId="19744DCD" w:rsidR="006B0A61" w:rsidRDefault="00A217ED" w:rsidP="006B0A61">
                  <w:pPr>
                    <w:rPr>
                      <w:sz w:val="16"/>
                      <w:szCs w:val="16"/>
                    </w:rPr>
                  </w:pPr>
                  <w:r>
                    <w:rPr>
                      <w:sz w:val="16"/>
                      <w:szCs w:val="16"/>
                    </w:rPr>
                    <w:t>NI Growth (1</w:t>
                  </w:r>
                  <w:r w:rsidR="006B0A61">
                    <w:rPr>
                      <w:sz w:val="16"/>
                      <w:szCs w:val="16"/>
                    </w:rPr>
                    <w:t xml:space="preserve"> Yrs) </w:t>
                  </w:r>
                </w:p>
              </w:tc>
              <w:tc>
                <w:tcPr>
                  <w:tcW w:w="657" w:type="dxa"/>
                  <w:vAlign w:val="bottom"/>
                </w:tcPr>
                <w:p w14:paraId="21AC8274" w14:textId="3B8C0736" w:rsidR="006B0A61" w:rsidRDefault="005D4654" w:rsidP="006B0A61">
                  <w:pPr>
                    <w:rPr>
                      <w:sz w:val="16"/>
                      <w:szCs w:val="16"/>
                    </w:rPr>
                  </w:pPr>
                  <w:r>
                    <w:rPr>
                      <w:sz w:val="16"/>
                      <w:szCs w:val="16"/>
                    </w:rPr>
                    <w:t xml:space="preserve">     </w:t>
                  </w:r>
                  <w:r w:rsidR="00A217ED">
                    <w:rPr>
                      <w:sz w:val="16"/>
                      <w:szCs w:val="16"/>
                    </w:rPr>
                    <w:t>16.24</w:t>
                  </w:r>
                  <w:r w:rsidR="006B0A61" w:rsidRPr="006B0A61">
                    <w:rPr>
                      <w:sz w:val="16"/>
                      <w:szCs w:val="16"/>
                    </w:rPr>
                    <w:t xml:space="preserve"> </w:t>
                  </w:r>
                </w:p>
              </w:tc>
              <w:tc>
                <w:tcPr>
                  <w:tcW w:w="1188" w:type="dxa"/>
                  <w:vAlign w:val="bottom"/>
                </w:tcPr>
                <w:p w14:paraId="72155156" w14:textId="7E367F51" w:rsidR="006B0A61" w:rsidRDefault="00A217ED" w:rsidP="006B0A61">
                  <w:pPr>
                    <w:rPr>
                      <w:sz w:val="16"/>
                      <w:szCs w:val="16"/>
                    </w:rPr>
                  </w:pPr>
                  <w:r>
                    <w:rPr>
                      <w:sz w:val="16"/>
                      <w:szCs w:val="16"/>
                    </w:rPr>
                    <w:t xml:space="preserve">      11.27</w:t>
                  </w:r>
                </w:p>
              </w:tc>
              <w:tc>
                <w:tcPr>
                  <w:tcW w:w="877" w:type="dxa"/>
                  <w:vAlign w:val="bottom"/>
                </w:tcPr>
                <w:p w14:paraId="36DE4F19" w14:textId="23B918FD" w:rsidR="006B0A61" w:rsidRDefault="00A217ED" w:rsidP="006B0A61">
                  <w:pPr>
                    <w:rPr>
                      <w:sz w:val="16"/>
                      <w:szCs w:val="16"/>
                    </w:rPr>
                  </w:pPr>
                  <w:r>
                    <w:rPr>
                      <w:sz w:val="16"/>
                      <w:szCs w:val="16"/>
                    </w:rPr>
                    <w:t xml:space="preserve">     25.67</w:t>
                  </w:r>
                </w:p>
              </w:tc>
              <w:tc>
                <w:tcPr>
                  <w:tcW w:w="877" w:type="dxa"/>
                  <w:vAlign w:val="bottom"/>
                </w:tcPr>
                <w:p w14:paraId="098D397E" w14:textId="3CBCEB74" w:rsidR="006B0A61" w:rsidRDefault="00A217ED" w:rsidP="006B0A61">
                  <w:pPr>
                    <w:rPr>
                      <w:sz w:val="16"/>
                      <w:szCs w:val="16"/>
                    </w:rPr>
                  </w:pPr>
                  <w:r>
                    <w:rPr>
                      <w:sz w:val="16"/>
                      <w:szCs w:val="16"/>
                    </w:rPr>
                    <w:t xml:space="preserve">      73.00</w:t>
                  </w:r>
                  <w:bookmarkStart w:id="0" w:name="_GoBack"/>
                  <w:bookmarkEnd w:id="0"/>
                  <w:r w:rsidR="006B0A61" w:rsidRPr="006B0A61">
                    <w:rPr>
                      <w:sz w:val="16"/>
                      <w:szCs w:val="16"/>
                    </w:rPr>
                    <w:t xml:space="preserve"> </w:t>
                  </w:r>
                </w:p>
              </w:tc>
              <w:tc>
                <w:tcPr>
                  <w:tcW w:w="1072" w:type="dxa"/>
                  <w:vAlign w:val="bottom"/>
                </w:tcPr>
                <w:p w14:paraId="09E34E39" w14:textId="5230D930" w:rsidR="006B0A61" w:rsidRDefault="00A217ED" w:rsidP="006B0A61">
                  <w:pPr>
                    <w:rPr>
                      <w:sz w:val="16"/>
                      <w:szCs w:val="16"/>
                    </w:rPr>
                  </w:pPr>
                  <w:r>
                    <w:rPr>
                      <w:sz w:val="16"/>
                      <w:szCs w:val="16"/>
                    </w:rPr>
                    <w:t xml:space="preserve">      16.05</w:t>
                  </w:r>
                </w:p>
              </w:tc>
              <w:tc>
                <w:tcPr>
                  <w:tcW w:w="1009" w:type="dxa"/>
                  <w:vAlign w:val="bottom"/>
                </w:tcPr>
                <w:p w14:paraId="703CA411" w14:textId="6BEF85AF" w:rsidR="006B0A61" w:rsidRDefault="00A217ED" w:rsidP="006B0A61">
                  <w:pPr>
                    <w:rPr>
                      <w:sz w:val="16"/>
                      <w:szCs w:val="16"/>
                    </w:rPr>
                  </w:pPr>
                  <w:r>
                    <w:rPr>
                      <w:sz w:val="16"/>
                      <w:szCs w:val="16"/>
                    </w:rPr>
                    <w:t xml:space="preserve">       11.46</w:t>
                  </w:r>
                  <w:r w:rsidR="006B0A61" w:rsidRPr="006B0A61">
                    <w:rPr>
                      <w:sz w:val="16"/>
                      <w:szCs w:val="16"/>
                    </w:rPr>
                    <w:t xml:space="preserve"> </w:t>
                  </w:r>
                </w:p>
              </w:tc>
            </w:tr>
            <w:tr w:rsidR="005D4654" w14:paraId="339AECB6" w14:textId="77777777" w:rsidTr="005D4654">
              <w:tc>
                <w:tcPr>
                  <w:tcW w:w="1577" w:type="dxa"/>
                </w:tcPr>
                <w:p w14:paraId="7B2C49BE" w14:textId="77777777" w:rsidR="006B0A61" w:rsidRDefault="006B0A61" w:rsidP="006B0A61">
                  <w:pPr>
                    <w:rPr>
                      <w:sz w:val="16"/>
                      <w:szCs w:val="16"/>
                    </w:rPr>
                  </w:pPr>
                  <w:r>
                    <w:rPr>
                      <w:sz w:val="16"/>
                      <w:szCs w:val="16"/>
                    </w:rPr>
                    <w:t xml:space="preserve">Operating Margin </w:t>
                  </w:r>
                </w:p>
              </w:tc>
              <w:tc>
                <w:tcPr>
                  <w:tcW w:w="657" w:type="dxa"/>
                  <w:vAlign w:val="bottom"/>
                </w:tcPr>
                <w:p w14:paraId="6D16033E" w14:textId="6AE22B14" w:rsidR="006B0A61" w:rsidRDefault="006B0A61" w:rsidP="006B0A61">
                  <w:pPr>
                    <w:rPr>
                      <w:sz w:val="16"/>
                      <w:szCs w:val="16"/>
                    </w:rPr>
                  </w:pPr>
                  <w:r w:rsidRPr="006B0A61">
                    <w:rPr>
                      <w:sz w:val="16"/>
                      <w:szCs w:val="16"/>
                    </w:rPr>
                    <w:t xml:space="preserve">        3.24 </w:t>
                  </w:r>
                </w:p>
              </w:tc>
              <w:tc>
                <w:tcPr>
                  <w:tcW w:w="1188" w:type="dxa"/>
                  <w:vAlign w:val="bottom"/>
                </w:tcPr>
                <w:p w14:paraId="0087603B" w14:textId="49D9163D" w:rsidR="006B0A61" w:rsidRDefault="006B0A61" w:rsidP="006B0A61">
                  <w:pPr>
                    <w:rPr>
                      <w:sz w:val="16"/>
                      <w:szCs w:val="16"/>
                    </w:rPr>
                  </w:pPr>
                  <w:r w:rsidRPr="006B0A61">
                    <w:rPr>
                      <w:sz w:val="16"/>
                      <w:szCs w:val="16"/>
                    </w:rPr>
                    <w:t xml:space="preserve">        4.25 </w:t>
                  </w:r>
                </w:p>
              </w:tc>
              <w:tc>
                <w:tcPr>
                  <w:tcW w:w="877" w:type="dxa"/>
                  <w:vAlign w:val="bottom"/>
                </w:tcPr>
                <w:p w14:paraId="648370E7" w14:textId="6311EABE" w:rsidR="006B0A61" w:rsidRDefault="006B0A61" w:rsidP="006B0A61">
                  <w:pPr>
                    <w:rPr>
                      <w:sz w:val="16"/>
                      <w:szCs w:val="16"/>
                    </w:rPr>
                  </w:pPr>
                  <w:r w:rsidRPr="006B0A61">
                    <w:rPr>
                      <w:sz w:val="16"/>
                      <w:szCs w:val="16"/>
                    </w:rPr>
                    <w:t xml:space="preserve">        3.49 </w:t>
                  </w:r>
                </w:p>
              </w:tc>
              <w:tc>
                <w:tcPr>
                  <w:tcW w:w="877" w:type="dxa"/>
                  <w:vAlign w:val="bottom"/>
                </w:tcPr>
                <w:p w14:paraId="218F33F9" w14:textId="37431086" w:rsidR="006B0A61" w:rsidRDefault="006B0A61" w:rsidP="006B0A61">
                  <w:pPr>
                    <w:rPr>
                      <w:sz w:val="16"/>
                      <w:szCs w:val="16"/>
                    </w:rPr>
                  </w:pPr>
                  <w:r w:rsidRPr="006B0A61">
                    <w:rPr>
                      <w:sz w:val="16"/>
                      <w:szCs w:val="16"/>
                    </w:rPr>
                    <w:t xml:space="preserve">        3.45 </w:t>
                  </w:r>
                </w:p>
              </w:tc>
              <w:tc>
                <w:tcPr>
                  <w:tcW w:w="1072" w:type="dxa"/>
                  <w:vAlign w:val="bottom"/>
                </w:tcPr>
                <w:p w14:paraId="0DC9A589" w14:textId="2D53637A" w:rsidR="006B0A61" w:rsidRDefault="006B0A61" w:rsidP="006B0A61">
                  <w:pPr>
                    <w:rPr>
                      <w:sz w:val="16"/>
                      <w:szCs w:val="16"/>
                    </w:rPr>
                  </w:pPr>
                  <w:r w:rsidRPr="006B0A61">
                    <w:rPr>
                      <w:sz w:val="16"/>
                      <w:szCs w:val="16"/>
                    </w:rPr>
                    <w:t xml:space="preserve">        9.58 </w:t>
                  </w:r>
                </w:p>
              </w:tc>
              <w:tc>
                <w:tcPr>
                  <w:tcW w:w="1009" w:type="dxa"/>
                  <w:vAlign w:val="bottom"/>
                </w:tcPr>
                <w:p w14:paraId="0BE03697" w14:textId="15016DF8" w:rsidR="006B0A61" w:rsidRDefault="006B0A61" w:rsidP="006B0A61">
                  <w:pPr>
                    <w:rPr>
                      <w:sz w:val="16"/>
                      <w:szCs w:val="16"/>
                    </w:rPr>
                  </w:pPr>
                  <w:r w:rsidRPr="006B0A61">
                    <w:rPr>
                      <w:sz w:val="16"/>
                      <w:szCs w:val="16"/>
                    </w:rPr>
                    <w:t xml:space="preserve">          7.44 </w:t>
                  </w:r>
                </w:p>
              </w:tc>
            </w:tr>
            <w:tr w:rsidR="005D4654" w14:paraId="064AA80D" w14:textId="77777777" w:rsidTr="005D4654">
              <w:tc>
                <w:tcPr>
                  <w:tcW w:w="1577" w:type="dxa"/>
                </w:tcPr>
                <w:p w14:paraId="5977E240" w14:textId="77777777" w:rsidR="006B0A61" w:rsidRDefault="006B0A61" w:rsidP="006B0A61">
                  <w:pPr>
                    <w:rPr>
                      <w:sz w:val="16"/>
                      <w:szCs w:val="16"/>
                    </w:rPr>
                  </w:pPr>
                  <w:r>
                    <w:rPr>
                      <w:sz w:val="16"/>
                      <w:szCs w:val="16"/>
                    </w:rPr>
                    <w:t xml:space="preserve">Debt / Equity </w:t>
                  </w:r>
                </w:p>
              </w:tc>
              <w:tc>
                <w:tcPr>
                  <w:tcW w:w="657" w:type="dxa"/>
                  <w:vAlign w:val="bottom"/>
                </w:tcPr>
                <w:p w14:paraId="672F8CCF" w14:textId="29BC35D8" w:rsidR="006B0A61" w:rsidRDefault="00DB5E73" w:rsidP="006B0A61">
                  <w:pPr>
                    <w:rPr>
                      <w:sz w:val="16"/>
                      <w:szCs w:val="16"/>
                    </w:rPr>
                  </w:pPr>
                  <w:r>
                    <w:rPr>
                      <w:sz w:val="16"/>
                      <w:szCs w:val="16"/>
                    </w:rPr>
                    <w:t xml:space="preserve">   </w:t>
                  </w:r>
                  <w:r w:rsidR="006B0A61" w:rsidRPr="006B0A61">
                    <w:rPr>
                      <w:sz w:val="16"/>
                      <w:szCs w:val="16"/>
                    </w:rPr>
                    <w:t xml:space="preserve">236.63 </w:t>
                  </w:r>
                </w:p>
              </w:tc>
              <w:tc>
                <w:tcPr>
                  <w:tcW w:w="1188" w:type="dxa"/>
                  <w:vAlign w:val="bottom"/>
                </w:tcPr>
                <w:p w14:paraId="2639E00E" w14:textId="597B9697" w:rsidR="006B0A61" w:rsidRDefault="006B0A61" w:rsidP="006B0A61">
                  <w:pPr>
                    <w:rPr>
                      <w:sz w:val="16"/>
                      <w:szCs w:val="16"/>
                    </w:rPr>
                  </w:pPr>
                  <w:r w:rsidRPr="006B0A61">
                    <w:rPr>
                      <w:sz w:val="16"/>
                      <w:szCs w:val="16"/>
                    </w:rPr>
                    <w:t xml:space="preserve">     225.42 </w:t>
                  </w:r>
                </w:p>
              </w:tc>
              <w:tc>
                <w:tcPr>
                  <w:tcW w:w="877" w:type="dxa"/>
                  <w:vAlign w:val="bottom"/>
                </w:tcPr>
                <w:p w14:paraId="1555406C" w14:textId="24D0D7A2" w:rsidR="006B0A61" w:rsidRDefault="006B0A61" w:rsidP="006B0A61">
                  <w:pPr>
                    <w:rPr>
                      <w:sz w:val="16"/>
                      <w:szCs w:val="16"/>
                    </w:rPr>
                  </w:pPr>
                  <w:r w:rsidRPr="006B0A61">
                    <w:rPr>
                      <w:sz w:val="16"/>
                      <w:szCs w:val="16"/>
                    </w:rPr>
                    <w:t xml:space="preserve">     234.20 </w:t>
                  </w:r>
                </w:p>
              </w:tc>
              <w:tc>
                <w:tcPr>
                  <w:tcW w:w="877" w:type="dxa"/>
                  <w:vAlign w:val="bottom"/>
                </w:tcPr>
                <w:p w14:paraId="02951FB8" w14:textId="74B4050C" w:rsidR="006B0A61" w:rsidRDefault="006B0A61" w:rsidP="006B0A61">
                  <w:pPr>
                    <w:rPr>
                      <w:sz w:val="16"/>
                      <w:szCs w:val="16"/>
                    </w:rPr>
                  </w:pPr>
                  <w:r w:rsidRPr="006B0A61">
                    <w:rPr>
                      <w:sz w:val="16"/>
                      <w:szCs w:val="16"/>
                    </w:rPr>
                    <w:t xml:space="preserve">     270.00 </w:t>
                  </w:r>
                </w:p>
              </w:tc>
              <w:tc>
                <w:tcPr>
                  <w:tcW w:w="1072" w:type="dxa"/>
                  <w:vAlign w:val="bottom"/>
                </w:tcPr>
                <w:p w14:paraId="2DEE76F7" w14:textId="63440C8B" w:rsidR="006B0A61" w:rsidRDefault="006B0A61" w:rsidP="006B0A61">
                  <w:pPr>
                    <w:rPr>
                      <w:sz w:val="16"/>
                      <w:szCs w:val="16"/>
                    </w:rPr>
                  </w:pPr>
                  <w:r w:rsidRPr="006B0A61">
                    <w:rPr>
                      <w:sz w:val="16"/>
                      <w:szCs w:val="16"/>
                    </w:rPr>
                    <w:t xml:space="preserve">     297.04 </w:t>
                  </w:r>
                </w:p>
              </w:tc>
              <w:tc>
                <w:tcPr>
                  <w:tcW w:w="1009" w:type="dxa"/>
                  <w:vAlign w:val="bottom"/>
                </w:tcPr>
                <w:p w14:paraId="3056A026" w14:textId="1B41CB13" w:rsidR="006B0A61" w:rsidRDefault="006B0A61" w:rsidP="006B0A61">
                  <w:pPr>
                    <w:rPr>
                      <w:sz w:val="16"/>
                      <w:szCs w:val="16"/>
                    </w:rPr>
                  </w:pPr>
                  <w:r w:rsidRPr="006B0A61">
                    <w:rPr>
                      <w:sz w:val="16"/>
                      <w:szCs w:val="16"/>
                    </w:rPr>
                    <w:t xml:space="preserve">       306.28 </w:t>
                  </w:r>
                </w:p>
              </w:tc>
            </w:tr>
            <w:tr w:rsidR="005D4654" w14:paraId="36B329ED" w14:textId="77777777" w:rsidTr="005D4654">
              <w:tc>
                <w:tcPr>
                  <w:tcW w:w="1577" w:type="dxa"/>
                </w:tcPr>
                <w:p w14:paraId="791DB0D1" w14:textId="77777777" w:rsidR="006B0A61" w:rsidRDefault="006B0A61" w:rsidP="006B0A61">
                  <w:pPr>
                    <w:rPr>
                      <w:sz w:val="16"/>
                      <w:szCs w:val="16"/>
                    </w:rPr>
                  </w:pPr>
                  <w:r>
                    <w:rPr>
                      <w:sz w:val="16"/>
                      <w:szCs w:val="16"/>
                    </w:rPr>
                    <w:t>Market Cap</w:t>
                  </w:r>
                </w:p>
              </w:tc>
              <w:tc>
                <w:tcPr>
                  <w:tcW w:w="657" w:type="dxa"/>
                  <w:vAlign w:val="bottom"/>
                </w:tcPr>
                <w:p w14:paraId="031547AD" w14:textId="346A5C29" w:rsidR="006B0A61" w:rsidRDefault="006B0A61" w:rsidP="006B0A61">
                  <w:pPr>
                    <w:rPr>
                      <w:sz w:val="16"/>
                      <w:szCs w:val="16"/>
                    </w:rPr>
                  </w:pPr>
                  <w:r w:rsidRPr="006B0A61">
                    <w:rPr>
                      <w:sz w:val="16"/>
                      <w:szCs w:val="16"/>
                    </w:rPr>
                    <w:t xml:space="preserve">4,549.73 </w:t>
                  </w:r>
                </w:p>
              </w:tc>
              <w:tc>
                <w:tcPr>
                  <w:tcW w:w="1188" w:type="dxa"/>
                  <w:vAlign w:val="bottom"/>
                </w:tcPr>
                <w:p w14:paraId="626B742A" w14:textId="22D547E8" w:rsidR="006B0A61" w:rsidRDefault="006B0A61" w:rsidP="006B0A61">
                  <w:pPr>
                    <w:rPr>
                      <w:sz w:val="16"/>
                      <w:szCs w:val="16"/>
                    </w:rPr>
                  </w:pPr>
                  <w:r w:rsidRPr="006B0A61">
                    <w:rPr>
                      <w:sz w:val="16"/>
                      <w:szCs w:val="16"/>
                    </w:rPr>
                    <w:t xml:space="preserve">  7,068.52 </w:t>
                  </w:r>
                </w:p>
              </w:tc>
              <w:tc>
                <w:tcPr>
                  <w:tcW w:w="877" w:type="dxa"/>
                  <w:vAlign w:val="bottom"/>
                </w:tcPr>
                <w:p w14:paraId="4F545191" w14:textId="6F5E6FAD" w:rsidR="006B0A61" w:rsidRDefault="006B0A61" w:rsidP="006B0A61">
                  <w:pPr>
                    <w:rPr>
                      <w:sz w:val="16"/>
                      <w:szCs w:val="16"/>
                    </w:rPr>
                  </w:pPr>
                  <w:r w:rsidRPr="006B0A61">
                    <w:rPr>
                      <w:sz w:val="16"/>
                      <w:szCs w:val="16"/>
                    </w:rPr>
                    <w:t xml:space="preserve">3,037.94 </w:t>
                  </w:r>
                </w:p>
              </w:tc>
              <w:tc>
                <w:tcPr>
                  <w:tcW w:w="877" w:type="dxa"/>
                  <w:vAlign w:val="bottom"/>
                </w:tcPr>
                <w:p w14:paraId="70C9FE24" w14:textId="382E7345" w:rsidR="006B0A61" w:rsidRDefault="00DB5E73" w:rsidP="006B0A61">
                  <w:pPr>
                    <w:rPr>
                      <w:sz w:val="16"/>
                      <w:szCs w:val="16"/>
                    </w:rPr>
                  </w:pPr>
                  <w:r>
                    <w:rPr>
                      <w:sz w:val="16"/>
                      <w:szCs w:val="16"/>
                    </w:rPr>
                    <w:t xml:space="preserve"> </w:t>
                  </w:r>
                  <w:r w:rsidR="006B0A61" w:rsidRPr="006B0A61">
                    <w:rPr>
                      <w:sz w:val="16"/>
                      <w:szCs w:val="16"/>
                    </w:rPr>
                    <w:t xml:space="preserve">2,113.28 </w:t>
                  </w:r>
                </w:p>
              </w:tc>
              <w:tc>
                <w:tcPr>
                  <w:tcW w:w="1072" w:type="dxa"/>
                  <w:vAlign w:val="bottom"/>
                </w:tcPr>
                <w:p w14:paraId="10279C73" w14:textId="4185128A" w:rsidR="006B0A61" w:rsidRDefault="006B0A61" w:rsidP="006B0A61">
                  <w:pPr>
                    <w:rPr>
                      <w:sz w:val="16"/>
                      <w:szCs w:val="16"/>
                    </w:rPr>
                  </w:pPr>
                  <w:r w:rsidRPr="006B0A61">
                    <w:rPr>
                      <w:sz w:val="16"/>
                      <w:szCs w:val="16"/>
                    </w:rPr>
                    <w:t xml:space="preserve">  8,568.83 </w:t>
                  </w:r>
                </w:p>
              </w:tc>
              <w:tc>
                <w:tcPr>
                  <w:tcW w:w="1009" w:type="dxa"/>
                  <w:vAlign w:val="bottom"/>
                </w:tcPr>
                <w:p w14:paraId="5AA99482" w14:textId="0B4F703D" w:rsidR="006B0A61" w:rsidRDefault="006B0A61" w:rsidP="006B0A61">
                  <w:pPr>
                    <w:rPr>
                      <w:sz w:val="16"/>
                      <w:szCs w:val="16"/>
                    </w:rPr>
                  </w:pPr>
                  <w:r w:rsidRPr="006B0A61">
                    <w:rPr>
                      <w:sz w:val="16"/>
                      <w:szCs w:val="16"/>
                    </w:rPr>
                    <w:t xml:space="preserve">  11,716.35 </w:t>
                  </w:r>
                </w:p>
              </w:tc>
            </w:tr>
            <w:tr w:rsidR="005D4654" w14:paraId="2803AFFF" w14:textId="77777777" w:rsidTr="005D4654">
              <w:tc>
                <w:tcPr>
                  <w:tcW w:w="1577" w:type="dxa"/>
                  <w:shd w:val="clear" w:color="auto" w:fill="FFFF00"/>
                </w:tcPr>
                <w:p w14:paraId="125C35C1" w14:textId="253B9E1D" w:rsidR="006B0A61" w:rsidRDefault="006B0A61" w:rsidP="006B0A61">
                  <w:pPr>
                    <w:rPr>
                      <w:sz w:val="16"/>
                      <w:szCs w:val="16"/>
                    </w:rPr>
                  </w:pPr>
                </w:p>
              </w:tc>
              <w:tc>
                <w:tcPr>
                  <w:tcW w:w="657" w:type="dxa"/>
                  <w:vAlign w:val="bottom"/>
                </w:tcPr>
                <w:p w14:paraId="7686D99E" w14:textId="051DA4C1" w:rsidR="006B0A61" w:rsidRDefault="006B0A61" w:rsidP="006B0A61">
                  <w:pPr>
                    <w:rPr>
                      <w:sz w:val="16"/>
                      <w:szCs w:val="16"/>
                    </w:rPr>
                  </w:pPr>
                </w:p>
              </w:tc>
              <w:tc>
                <w:tcPr>
                  <w:tcW w:w="1188" w:type="dxa"/>
                  <w:vAlign w:val="bottom"/>
                </w:tcPr>
                <w:p w14:paraId="2E577E8E" w14:textId="4F22CCF5" w:rsidR="006B0A61" w:rsidRDefault="006B0A61" w:rsidP="006B0A61">
                  <w:pPr>
                    <w:rPr>
                      <w:sz w:val="16"/>
                      <w:szCs w:val="16"/>
                    </w:rPr>
                  </w:pPr>
                </w:p>
              </w:tc>
              <w:tc>
                <w:tcPr>
                  <w:tcW w:w="877" w:type="dxa"/>
                  <w:vAlign w:val="bottom"/>
                </w:tcPr>
                <w:p w14:paraId="6D9EE6AC" w14:textId="566A82A5" w:rsidR="006B0A61" w:rsidRDefault="006B0A61" w:rsidP="006B0A61">
                  <w:pPr>
                    <w:rPr>
                      <w:sz w:val="16"/>
                      <w:szCs w:val="16"/>
                    </w:rPr>
                  </w:pPr>
                </w:p>
              </w:tc>
              <w:tc>
                <w:tcPr>
                  <w:tcW w:w="877" w:type="dxa"/>
                  <w:vAlign w:val="bottom"/>
                </w:tcPr>
                <w:p w14:paraId="04045391" w14:textId="48789EA2" w:rsidR="006B0A61" w:rsidRDefault="006B0A61" w:rsidP="006B0A61">
                  <w:pPr>
                    <w:rPr>
                      <w:sz w:val="16"/>
                      <w:szCs w:val="16"/>
                    </w:rPr>
                  </w:pPr>
                </w:p>
              </w:tc>
              <w:tc>
                <w:tcPr>
                  <w:tcW w:w="1072" w:type="dxa"/>
                  <w:vAlign w:val="bottom"/>
                </w:tcPr>
                <w:p w14:paraId="3506978D" w14:textId="5674589F" w:rsidR="006B0A61" w:rsidRDefault="006B0A61" w:rsidP="006B0A61">
                  <w:pPr>
                    <w:rPr>
                      <w:sz w:val="16"/>
                      <w:szCs w:val="16"/>
                    </w:rPr>
                  </w:pPr>
                </w:p>
              </w:tc>
              <w:tc>
                <w:tcPr>
                  <w:tcW w:w="1009" w:type="dxa"/>
                  <w:vAlign w:val="bottom"/>
                </w:tcPr>
                <w:p w14:paraId="58F0C6B3" w14:textId="2AE60C58" w:rsidR="006B0A61" w:rsidRDefault="006B0A61" w:rsidP="006B0A61">
                  <w:pPr>
                    <w:rPr>
                      <w:sz w:val="16"/>
                      <w:szCs w:val="16"/>
                    </w:rPr>
                  </w:pPr>
                </w:p>
              </w:tc>
            </w:tr>
            <w:tr w:rsidR="005D4654" w14:paraId="302BC316" w14:textId="77777777" w:rsidTr="005D4654">
              <w:tc>
                <w:tcPr>
                  <w:tcW w:w="1577" w:type="dxa"/>
                  <w:shd w:val="clear" w:color="auto" w:fill="FFFF00"/>
                </w:tcPr>
                <w:p w14:paraId="08F5CC69" w14:textId="7B2D7335" w:rsidR="006B0A61" w:rsidRDefault="006B0A61" w:rsidP="006B0A61">
                  <w:pPr>
                    <w:rPr>
                      <w:sz w:val="16"/>
                      <w:szCs w:val="16"/>
                    </w:rPr>
                  </w:pPr>
                </w:p>
              </w:tc>
              <w:tc>
                <w:tcPr>
                  <w:tcW w:w="657" w:type="dxa"/>
                  <w:vAlign w:val="bottom"/>
                </w:tcPr>
                <w:p w14:paraId="58AF9F2D" w14:textId="479F58A8" w:rsidR="006B0A61" w:rsidRDefault="006B0A61" w:rsidP="006B0A61">
                  <w:pPr>
                    <w:rPr>
                      <w:sz w:val="16"/>
                      <w:szCs w:val="16"/>
                    </w:rPr>
                  </w:pPr>
                </w:p>
              </w:tc>
              <w:tc>
                <w:tcPr>
                  <w:tcW w:w="1188" w:type="dxa"/>
                  <w:vAlign w:val="bottom"/>
                </w:tcPr>
                <w:p w14:paraId="647A62AD" w14:textId="2C6F5F14" w:rsidR="006B0A61" w:rsidRDefault="006B0A61" w:rsidP="006B0A61">
                  <w:pPr>
                    <w:rPr>
                      <w:sz w:val="16"/>
                      <w:szCs w:val="16"/>
                    </w:rPr>
                  </w:pPr>
                </w:p>
              </w:tc>
              <w:tc>
                <w:tcPr>
                  <w:tcW w:w="877" w:type="dxa"/>
                  <w:vAlign w:val="bottom"/>
                </w:tcPr>
                <w:p w14:paraId="4628852D" w14:textId="393E7731" w:rsidR="006B0A61" w:rsidRDefault="006B0A61" w:rsidP="006B0A61">
                  <w:pPr>
                    <w:rPr>
                      <w:sz w:val="16"/>
                      <w:szCs w:val="16"/>
                    </w:rPr>
                  </w:pPr>
                </w:p>
              </w:tc>
              <w:tc>
                <w:tcPr>
                  <w:tcW w:w="877" w:type="dxa"/>
                  <w:vAlign w:val="bottom"/>
                </w:tcPr>
                <w:p w14:paraId="1B89F2A1" w14:textId="50A085EB" w:rsidR="006B0A61" w:rsidRDefault="006B0A61" w:rsidP="006B0A61">
                  <w:pPr>
                    <w:rPr>
                      <w:sz w:val="16"/>
                      <w:szCs w:val="16"/>
                    </w:rPr>
                  </w:pPr>
                </w:p>
              </w:tc>
              <w:tc>
                <w:tcPr>
                  <w:tcW w:w="1072" w:type="dxa"/>
                  <w:vAlign w:val="bottom"/>
                </w:tcPr>
                <w:p w14:paraId="162DD7D1" w14:textId="6A300E46" w:rsidR="006B0A61" w:rsidRDefault="006B0A61" w:rsidP="006B0A61">
                  <w:pPr>
                    <w:rPr>
                      <w:sz w:val="16"/>
                      <w:szCs w:val="16"/>
                    </w:rPr>
                  </w:pPr>
                </w:p>
              </w:tc>
              <w:tc>
                <w:tcPr>
                  <w:tcW w:w="1009" w:type="dxa"/>
                  <w:vAlign w:val="bottom"/>
                </w:tcPr>
                <w:p w14:paraId="77BD31C8" w14:textId="5D463A1B" w:rsidR="006B0A61" w:rsidRDefault="006B0A61" w:rsidP="006B0A61">
                  <w:pPr>
                    <w:rPr>
                      <w:sz w:val="16"/>
                      <w:szCs w:val="16"/>
                    </w:rPr>
                  </w:pPr>
                </w:p>
              </w:tc>
            </w:tr>
          </w:tbl>
          <w:p w14:paraId="67108435" w14:textId="77777777" w:rsidR="004F2EAA" w:rsidRDefault="004F2EAA" w:rsidP="0010720B">
            <w:pPr>
              <w:jc w:val="both"/>
              <w:rPr>
                <w:b/>
                <w:sz w:val="16"/>
                <w:szCs w:val="16"/>
              </w:rPr>
            </w:pP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05"/>
              <w:gridCol w:w="897"/>
              <w:gridCol w:w="835"/>
              <w:gridCol w:w="957"/>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13EF9513" w:rsidR="00EA5213" w:rsidRDefault="00EF1E8D" w:rsidP="00EA5213">
                  <w:pPr>
                    <w:rPr>
                      <w:sz w:val="16"/>
                      <w:szCs w:val="16"/>
                    </w:rPr>
                  </w:pPr>
                  <w:r>
                    <w:rPr>
                      <w:sz w:val="16"/>
                      <w:szCs w:val="16"/>
                    </w:rPr>
                    <w:t>KMX</w:t>
                  </w:r>
                  <w:r w:rsidR="00EA5213">
                    <w:rPr>
                      <w:sz w:val="16"/>
                      <w:szCs w:val="16"/>
                    </w:rPr>
                    <w:t xml:space="preserve"> </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49C7E1D5" w:rsidR="00EA5213" w:rsidRDefault="00521066" w:rsidP="00EA5213">
                  <w:pPr>
                    <w:rPr>
                      <w:sz w:val="16"/>
                      <w:szCs w:val="16"/>
                    </w:rPr>
                  </w:pPr>
                  <w:r>
                    <w:rPr>
                      <w:sz w:val="16"/>
                      <w:szCs w:val="16"/>
                    </w:rPr>
                    <w:t>-11.73%</w:t>
                  </w:r>
                </w:p>
              </w:tc>
              <w:tc>
                <w:tcPr>
                  <w:tcW w:w="810" w:type="dxa"/>
                </w:tcPr>
                <w:p w14:paraId="432CEBBB" w14:textId="3643A956" w:rsidR="00EA5213" w:rsidRDefault="002039D4" w:rsidP="00EA5213">
                  <w:pPr>
                    <w:rPr>
                      <w:sz w:val="16"/>
                      <w:szCs w:val="16"/>
                    </w:rPr>
                  </w:pPr>
                  <w:r>
                    <w:rPr>
                      <w:sz w:val="16"/>
                      <w:szCs w:val="16"/>
                    </w:rPr>
                    <w:t>14.03%</w:t>
                  </w:r>
                </w:p>
              </w:tc>
              <w:tc>
                <w:tcPr>
                  <w:tcW w:w="962" w:type="dxa"/>
                </w:tcPr>
                <w:p w14:paraId="2D5C424C" w14:textId="69A1A537" w:rsidR="00EA5213" w:rsidRDefault="002039D4" w:rsidP="00EA5213">
                  <w:pPr>
                    <w:rPr>
                      <w:sz w:val="16"/>
                      <w:szCs w:val="16"/>
                    </w:rPr>
                  </w:pPr>
                  <w:r>
                    <w:rPr>
                      <w:sz w:val="16"/>
                      <w:szCs w:val="16"/>
                    </w:rPr>
                    <w:t>3.92</w:t>
                  </w:r>
                  <w:r w:rsidR="00521066">
                    <w:rPr>
                      <w:sz w:val="16"/>
                      <w:szCs w:val="16"/>
                    </w:rPr>
                    <w:t>%</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78090EC8" w:rsidR="00EA5213" w:rsidRDefault="002039D4" w:rsidP="00EA5213">
                  <w:pPr>
                    <w:rPr>
                      <w:sz w:val="16"/>
                      <w:szCs w:val="16"/>
                    </w:rPr>
                  </w:pPr>
                  <w:r>
                    <w:rPr>
                      <w:sz w:val="16"/>
                      <w:szCs w:val="16"/>
                    </w:rPr>
                    <w:t>69.46</w:t>
                  </w:r>
                  <w:r w:rsidR="00521066">
                    <w:rPr>
                      <w:sz w:val="16"/>
                      <w:szCs w:val="16"/>
                    </w:rPr>
                    <w:t>%</w:t>
                  </w:r>
                </w:p>
              </w:tc>
              <w:tc>
                <w:tcPr>
                  <w:tcW w:w="810" w:type="dxa"/>
                </w:tcPr>
                <w:p w14:paraId="046C9C8D" w14:textId="0E89062C" w:rsidR="00EA5213" w:rsidRDefault="002039D4" w:rsidP="00EA5213">
                  <w:pPr>
                    <w:rPr>
                      <w:sz w:val="16"/>
                      <w:szCs w:val="16"/>
                    </w:rPr>
                  </w:pPr>
                  <w:r>
                    <w:rPr>
                      <w:sz w:val="16"/>
                      <w:szCs w:val="16"/>
                    </w:rPr>
                    <w:t>83.61%</w:t>
                  </w:r>
                </w:p>
              </w:tc>
              <w:tc>
                <w:tcPr>
                  <w:tcW w:w="962" w:type="dxa"/>
                </w:tcPr>
                <w:p w14:paraId="55BE815F" w14:textId="39BE6EAC" w:rsidR="00EA5213" w:rsidRDefault="002039D4" w:rsidP="00EA5213">
                  <w:pPr>
                    <w:rPr>
                      <w:sz w:val="16"/>
                      <w:szCs w:val="16"/>
                    </w:rPr>
                  </w:pPr>
                  <w:r>
                    <w:rPr>
                      <w:sz w:val="16"/>
                      <w:szCs w:val="16"/>
                    </w:rPr>
                    <w:t>58.47%</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59A88829" w:rsidR="00EA5213" w:rsidRDefault="002039D4" w:rsidP="00EA5213">
                  <w:pPr>
                    <w:rPr>
                      <w:sz w:val="16"/>
                      <w:szCs w:val="16"/>
                    </w:rPr>
                  </w:pPr>
                  <w:r>
                    <w:rPr>
                      <w:sz w:val="16"/>
                      <w:szCs w:val="16"/>
                    </w:rPr>
                    <w:t>89.52%</w:t>
                  </w:r>
                </w:p>
              </w:tc>
              <w:tc>
                <w:tcPr>
                  <w:tcW w:w="810" w:type="dxa"/>
                </w:tcPr>
                <w:p w14:paraId="3A2AF828" w14:textId="317C7845" w:rsidR="00EA5213" w:rsidRDefault="002039D4" w:rsidP="00EA5213">
                  <w:pPr>
                    <w:rPr>
                      <w:sz w:val="16"/>
                      <w:szCs w:val="16"/>
                    </w:rPr>
                  </w:pPr>
                  <w:r>
                    <w:rPr>
                      <w:sz w:val="16"/>
                      <w:szCs w:val="16"/>
                    </w:rPr>
                    <w:t>148.97%</w:t>
                  </w:r>
                </w:p>
              </w:tc>
              <w:tc>
                <w:tcPr>
                  <w:tcW w:w="962" w:type="dxa"/>
                </w:tcPr>
                <w:p w14:paraId="1D7EE8E1" w14:textId="0F1EADB6" w:rsidR="00EA5213" w:rsidRDefault="002039D4" w:rsidP="00EA5213">
                  <w:pPr>
                    <w:rPr>
                      <w:sz w:val="16"/>
                      <w:szCs w:val="16"/>
                    </w:rPr>
                  </w:pPr>
                  <w:r>
                    <w:rPr>
                      <w:sz w:val="16"/>
                      <w:szCs w:val="16"/>
                    </w:rPr>
                    <w:t>95.90%</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77777777" w:rsidR="00EB73D7" w:rsidRDefault="00EB73D7" w:rsidP="002D655C">
                  <w:pPr>
                    <w:rPr>
                      <w:sz w:val="16"/>
                      <w:szCs w:val="16"/>
                    </w:rPr>
                  </w:pPr>
                  <w:r>
                    <w:rPr>
                      <w:sz w:val="16"/>
                      <w:szCs w:val="16"/>
                    </w:rPr>
                    <w:t xml:space="preserve">Company </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B73D7" w14:paraId="5846D050" w14:textId="77777777" w:rsidTr="002D655C">
              <w:tc>
                <w:tcPr>
                  <w:tcW w:w="2497" w:type="dxa"/>
                </w:tcPr>
                <w:p w14:paraId="6BBDDA03" w14:textId="77777777" w:rsidR="00EB73D7" w:rsidRDefault="00EB73D7" w:rsidP="002D655C">
                  <w:pPr>
                    <w:rPr>
                      <w:sz w:val="16"/>
                      <w:szCs w:val="16"/>
                    </w:rPr>
                  </w:pPr>
                  <w:r>
                    <w:rPr>
                      <w:sz w:val="16"/>
                      <w:szCs w:val="16"/>
                    </w:rPr>
                    <w:t>ESG Disclosure Score</w:t>
                  </w:r>
                </w:p>
              </w:tc>
              <w:tc>
                <w:tcPr>
                  <w:tcW w:w="862" w:type="dxa"/>
                </w:tcPr>
                <w:p w14:paraId="6D6186B8" w14:textId="40B73D5A" w:rsidR="00EB73D7" w:rsidRDefault="005F606E" w:rsidP="002D655C">
                  <w:pPr>
                    <w:rPr>
                      <w:sz w:val="16"/>
                      <w:szCs w:val="16"/>
                    </w:rPr>
                  </w:pPr>
                  <w:r w:rsidRPr="005F606E">
                    <w:rPr>
                      <w:rFonts w:hint="eastAsia"/>
                      <w:sz w:val="16"/>
                      <w:szCs w:val="16"/>
                    </w:rPr>
                    <w:t>17.36</w:t>
                  </w:r>
                </w:p>
              </w:tc>
              <w:tc>
                <w:tcPr>
                  <w:tcW w:w="807" w:type="dxa"/>
                </w:tcPr>
                <w:p w14:paraId="517A34C2" w14:textId="6FCC133C" w:rsidR="00EB73D7" w:rsidRDefault="005F606E" w:rsidP="002D655C">
                  <w:pPr>
                    <w:rPr>
                      <w:sz w:val="16"/>
                      <w:szCs w:val="16"/>
                    </w:rPr>
                  </w:pPr>
                  <w:r w:rsidRPr="005F606E">
                    <w:rPr>
                      <w:rFonts w:hint="eastAsia"/>
                      <w:sz w:val="16"/>
                      <w:szCs w:val="16"/>
                    </w:rPr>
                    <w:t>14.58</w:t>
                  </w:r>
                </w:p>
              </w:tc>
            </w:tr>
            <w:tr w:rsidR="00EB73D7" w14:paraId="7A94F7D3" w14:textId="77777777" w:rsidTr="002D655C">
              <w:tc>
                <w:tcPr>
                  <w:tcW w:w="2497" w:type="dxa"/>
                </w:tcPr>
                <w:p w14:paraId="2FB28519" w14:textId="77777777" w:rsidR="00EB73D7" w:rsidRDefault="00EB73D7" w:rsidP="002D655C">
                  <w:pPr>
                    <w:rPr>
                      <w:sz w:val="16"/>
                      <w:szCs w:val="16"/>
                    </w:rPr>
                  </w:pPr>
                  <w:r>
                    <w:rPr>
                      <w:sz w:val="16"/>
                      <w:szCs w:val="16"/>
                    </w:rPr>
                    <w:t>Governance Disclosure Score</w:t>
                  </w:r>
                </w:p>
              </w:tc>
              <w:tc>
                <w:tcPr>
                  <w:tcW w:w="862" w:type="dxa"/>
                </w:tcPr>
                <w:p w14:paraId="6EA8E978" w14:textId="23FBA145" w:rsidR="00EB73D7" w:rsidRDefault="005F606E" w:rsidP="002D655C">
                  <w:pPr>
                    <w:rPr>
                      <w:sz w:val="16"/>
                      <w:szCs w:val="16"/>
                    </w:rPr>
                  </w:pPr>
                  <w:r w:rsidRPr="005F606E">
                    <w:rPr>
                      <w:rFonts w:hint="eastAsia"/>
                      <w:sz w:val="16"/>
                      <w:szCs w:val="16"/>
                    </w:rPr>
                    <w:t>55.36</w:t>
                  </w:r>
                </w:p>
              </w:tc>
              <w:tc>
                <w:tcPr>
                  <w:tcW w:w="807" w:type="dxa"/>
                </w:tcPr>
                <w:p w14:paraId="6111952E" w14:textId="147CEA89" w:rsidR="00EB73D7" w:rsidRDefault="005F606E" w:rsidP="002D655C">
                  <w:pPr>
                    <w:rPr>
                      <w:sz w:val="16"/>
                      <w:szCs w:val="16"/>
                    </w:rPr>
                  </w:pPr>
                  <w:r w:rsidRPr="005F606E">
                    <w:rPr>
                      <w:rFonts w:hint="eastAsia"/>
                      <w:sz w:val="16"/>
                      <w:szCs w:val="16"/>
                    </w:rPr>
                    <w:t>51.14</w:t>
                  </w:r>
                </w:p>
              </w:tc>
            </w:tr>
            <w:tr w:rsidR="00EB73D7" w14:paraId="4A0DF326" w14:textId="77777777" w:rsidTr="002D655C">
              <w:tc>
                <w:tcPr>
                  <w:tcW w:w="2497" w:type="dxa"/>
                </w:tcPr>
                <w:p w14:paraId="3FF44BFE" w14:textId="77777777" w:rsidR="00EB73D7" w:rsidRDefault="00EB73D7" w:rsidP="002D655C">
                  <w:pPr>
                    <w:rPr>
                      <w:sz w:val="16"/>
                      <w:szCs w:val="16"/>
                    </w:rPr>
                  </w:pPr>
                  <w:r>
                    <w:rPr>
                      <w:sz w:val="16"/>
                      <w:szCs w:val="16"/>
                    </w:rPr>
                    <w:t>Social Disclosure Score</w:t>
                  </w:r>
                </w:p>
              </w:tc>
              <w:tc>
                <w:tcPr>
                  <w:tcW w:w="862" w:type="dxa"/>
                </w:tcPr>
                <w:p w14:paraId="1A14304F" w14:textId="173E4F15" w:rsidR="00EB73D7" w:rsidRDefault="005F606E" w:rsidP="002D655C">
                  <w:pPr>
                    <w:rPr>
                      <w:sz w:val="16"/>
                      <w:szCs w:val="16"/>
                    </w:rPr>
                  </w:pPr>
                  <w:r>
                    <w:rPr>
                      <w:rFonts w:hint="eastAsia"/>
                      <w:sz w:val="16"/>
                      <w:szCs w:val="16"/>
                    </w:rPr>
                    <w:t>19.30</w:t>
                  </w:r>
                </w:p>
              </w:tc>
              <w:tc>
                <w:tcPr>
                  <w:tcW w:w="807" w:type="dxa"/>
                </w:tcPr>
                <w:p w14:paraId="138E02CB" w14:textId="4C6C8CC7" w:rsidR="00EB73D7" w:rsidRDefault="005F606E" w:rsidP="002D655C">
                  <w:pPr>
                    <w:rPr>
                      <w:sz w:val="16"/>
                      <w:szCs w:val="16"/>
                    </w:rPr>
                  </w:pPr>
                  <w:r>
                    <w:rPr>
                      <w:rFonts w:hint="eastAsia"/>
                      <w:sz w:val="16"/>
                      <w:szCs w:val="16"/>
                    </w:rPr>
                    <w:t>14.04</w:t>
                  </w:r>
                </w:p>
              </w:tc>
            </w:tr>
            <w:tr w:rsidR="00EB73D7" w14:paraId="390BAB0E" w14:textId="77777777" w:rsidTr="002D655C">
              <w:tc>
                <w:tcPr>
                  <w:tcW w:w="2497" w:type="dxa"/>
                </w:tcPr>
                <w:p w14:paraId="1435C4A3" w14:textId="77777777" w:rsidR="00EB73D7" w:rsidRDefault="00EB73D7" w:rsidP="002D655C">
                  <w:pPr>
                    <w:rPr>
                      <w:sz w:val="16"/>
                      <w:szCs w:val="16"/>
                    </w:rPr>
                  </w:pPr>
                  <w:r>
                    <w:rPr>
                      <w:sz w:val="16"/>
                      <w:szCs w:val="16"/>
                    </w:rPr>
                    <w:t>Environmental Disclosure Score</w:t>
                  </w:r>
                </w:p>
              </w:tc>
              <w:tc>
                <w:tcPr>
                  <w:tcW w:w="862" w:type="dxa"/>
                </w:tcPr>
                <w:p w14:paraId="6DC54DCB" w14:textId="65F6D60C" w:rsidR="00EB73D7" w:rsidRDefault="00B52573" w:rsidP="002D655C">
                  <w:pPr>
                    <w:rPr>
                      <w:sz w:val="16"/>
                      <w:szCs w:val="16"/>
                    </w:rPr>
                  </w:pPr>
                  <w:r>
                    <w:rPr>
                      <w:sz w:val="16"/>
                      <w:szCs w:val="16"/>
                    </w:rPr>
                    <w:t>--</w:t>
                  </w:r>
                </w:p>
              </w:tc>
              <w:tc>
                <w:tcPr>
                  <w:tcW w:w="807" w:type="dxa"/>
                </w:tcPr>
                <w:p w14:paraId="454667DF" w14:textId="7DB0E219" w:rsidR="00EB73D7" w:rsidRDefault="005F606E" w:rsidP="002D655C">
                  <w:pPr>
                    <w:rPr>
                      <w:sz w:val="16"/>
                      <w:szCs w:val="16"/>
                    </w:rPr>
                  </w:pPr>
                  <w:r>
                    <w:rPr>
                      <w:rFonts w:hint="eastAsia"/>
                      <w:sz w:val="16"/>
                      <w:szCs w:val="16"/>
                    </w:rPr>
                    <w:t>5.94</w:t>
                  </w:r>
                </w:p>
              </w:tc>
            </w:tr>
          </w:tbl>
          <w:p w14:paraId="62EFF545" w14:textId="453E5262" w:rsidR="009F0D12" w:rsidRDefault="009F0D12" w:rsidP="0010720B">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F4F"/>
    <w:rsid w:val="00096901"/>
    <w:rsid w:val="000A0DE5"/>
    <w:rsid w:val="000E0407"/>
    <w:rsid w:val="000E0C3A"/>
    <w:rsid w:val="0010720B"/>
    <w:rsid w:val="0012425D"/>
    <w:rsid w:val="0013332F"/>
    <w:rsid w:val="001366A3"/>
    <w:rsid w:val="0014778C"/>
    <w:rsid w:val="00197A37"/>
    <w:rsid w:val="001A0951"/>
    <w:rsid w:val="001A4CD7"/>
    <w:rsid w:val="001A54DB"/>
    <w:rsid w:val="001C5C89"/>
    <w:rsid w:val="001D3CAE"/>
    <w:rsid w:val="001F411C"/>
    <w:rsid w:val="001F4C8C"/>
    <w:rsid w:val="002039D4"/>
    <w:rsid w:val="002105B2"/>
    <w:rsid w:val="00231ED5"/>
    <w:rsid w:val="00245DD4"/>
    <w:rsid w:val="002535D2"/>
    <w:rsid w:val="00254456"/>
    <w:rsid w:val="00263A2E"/>
    <w:rsid w:val="00274740"/>
    <w:rsid w:val="0029559F"/>
    <w:rsid w:val="002B04FE"/>
    <w:rsid w:val="002D3CFC"/>
    <w:rsid w:val="002D655C"/>
    <w:rsid w:val="002F062C"/>
    <w:rsid w:val="003073EA"/>
    <w:rsid w:val="003173DA"/>
    <w:rsid w:val="0033512A"/>
    <w:rsid w:val="00357218"/>
    <w:rsid w:val="00371C05"/>
    <w:rsid w:val="00375DB5"/>
    <w:rsid w:val="00384388"/>
    <w:rsid w:val="00392411"/>
    <w:rsid w:val="00392719"/>
    <w:rsid w:val="003A37CB"/>
    <w:rsid w:val="003B3070"/>
    <w:rsid w:val="003E5DB4"/>
    <w:rsid w:val="003E7CA1"/>
    <w:rsid w:val="00401063"/>
    <w:rsid w:val="00401E94"/>
    <w:rsid w:val="00417CC5"/>
    <w:rsid w:val="00443ED9"/>
    <w:rsid w:val="00462682"/>
    <w:rsid w:val="004D3729"/>
    <w:rsid w:val="004D7282"/>
    <w:rsid w:val="004F2EAA"/>
    <w:rsid w:val="004F53DC"/>
    <w:rsid w:val="0050052A"/>
    <w:rsid w:val="00501519"/>
    <w:rsid w:val="00521066"/>
    <w:rsid w:val="00547B13"/>
    <w:rsid w:val="0056019E"/>
    <w:rsid w:val="00575123"/>
    <w:rsid w:val="005D4654"/>
    <w:rsid w:val="005E114B"/>
    <w:rsid w:val="005E4CAC"/>
    <w:rsid w:val="005F606E"/>
    <w:rsid w:val="0060598F"/>
    <w:rsid w:val="00674795"/>
    <w:rsid w:val="006953F0"/>
    <w:rsid w:val="006A37B5"/>
    <w:rsid w:val="006A61A4"/>
    <w:rsid w:val="006B0A61"/>
    <w:rsid w:val="006C1408"/>
    <w:rsid w:val="006E2939"/>
    <w:rsid w:val="006E44B8"/>
    <w:rsid w:val="006E5EA1"/>
    <w:rsid w:val="0076327C"/>
    <w:rsid w:val="007B2A6D"/>
    <w:rsid w:val="007B6409"/>
    <w:rsid w:val="007D12F0"/>
    <w:rsid w:val="007F4659"/>
    <w:rsid w:val="00804E00"/>
    <w:rsid w:val="00815FF3"/>
    <w:rsid w:val="00830F06"/>
    <w:rsid w:val="00832142"/>
    <w:rsid w:val="00835134"/>
    <w:rsid w:val="0085115D"/>
    <w:rsid w:val="00857BC1"/>
    <w:rsid w:val="00874223"/>
    <w:rsid w:val="00874A7B"/>
    <w:rsid w:val="008B72AE"/>
    <w:rsid w:val="008D49EF"/>
    <w:rsid w:val="00900789"/>
    <w:rsid w:val="009007A6"/>
    <w:rsid w:val="00911AF8"/>
    <w:rsid w:val="00913FF8"/>
    <w:rsid w:val="00915605"/>
    <w:rsid w:val="00920D13"/>
    <w:rsid w:val="00923CAB"/>
    <w:rsid w:val="0097552E"/>
    <w:rsid w:val="009C57C6"/>
    <w:rsid w:val="009D5A45"/>
    <w:rsid w:val="009D7A72"/>
    <w:rsid w:val="009F0D12"/>
    <w:rsid w:val="009F2E51"/>
    <w:rsid w:val="00A10BEF"/>
    <w:rsid w:val="00A217ED"/>
    <w:rsid w:val="00A30926"/>
    <w:rsid w:val="00A56542"/>
    <w:rsid w:val="00A603A6"/>
    <w:rsid w:val="00A63E9D"/>
    <w:rsid w:val="00A8460D"/>
    <w:rsid w:val="00A85575"/>
    <w:rsid w:val="00AA0C48"/>
    <w:rsid w:val="00AA5ED5"/>
    <w:rsid w:val="00AB003F"/>
    <w:rsid w:val="00AB159E"/>
    <w:rsid w:val="00B22327"/>
    <w:rsid w:val="00B335E6"/>
    <w:rsid w:val="00B502EC"/>
    <w:rsid w:val="00B52573"/>
    <w:rsid w:val="00B7642F"/>
    <w:rsid w:val="00B94DBA"/>
    <w:rsid w:val="00BA6F89"/>
    <w:rsid w:val="00BA7CED"/>
    <w:rsid w:val="00BB3908"/>
    <w:rsid w:val="00BB61F8"/>
    <w:rsid w:val="00BC3AB4"/>
    <w:rsid w:val="00BC5E50"/>
    <w:rsid w:val="00BD4639"/>
    <w:rsid w:val="00BE10B7"/>
    <w:rsid w:val="00BF2DE5"/>
    <w:rsid w:val="00C15E83"/>
    <w:rsid w:val="00C161B3"/>
    <w:rsid w:val="00C2195E"/>
    <w:rsid w:val="00C352F3"/>
    <w:rsid w:val="00C441B3"/>
    <w:rsid w:val="00C9117C"/>
    <w:rsid w:val="00C97C4E"/>
    <w:rsid w:val="00CE4435"/>
    <w:rsid w:val="00CF27D4"/>
    <w:rsid w:val="00CF2F28"/>
    <w:rsid w:val="00D04F99"/>
    <w:rsid w:val="00D0612C"/>
    <w:rsid w:val="00D16B81"/>
    <w:rsid w:val="00D363A8"/>
    <w:rsid w:val="00D570FE"/>
    <w:rsid w:val="00D636EF"/>
    <w:rsid w:val="00DA56AC"/>
    <w:rsid w:val="00DB5A10"/>
    <w:rsid w:val="00DB5E73"/>
    <w:rsid w:val="00E14AC6"/>
    <w:rsid w:val="00E349B1"/>
    <w:rsid w:val="00E3542E"/>
    <w:rsid w:val="00E51FAC"/>
    <w:rsid w:val="00E5675C"/>
    <w:rsid w:val="00E8555E"/>
    <w:rsid w:val="00E90970"/>
    <w:rsid w:val="00E96657"/>
    <w:rsid w:val="00E96739"/>
    <w:rsid w:val="00EA31B0"/>
    <w:rsid w:val="00EA5213"/>
    <w:rsid w:val="00EB73D7"/>
    <w:rsid w:val="00EB7E76"/>
    <w:rsid w:val="00EC2755"/>
    <w:rsid w:val="00EC75B4"/>
    <w:rsid w:val="00EF1E8D"/>
    <w:rsid w:val="00F04E1E"/>
    <w:rsid w:val="00F272C6"/>
    <w:rsid w:val="00F56067"/>
    <w:rsid w:val="00F56E16"/>
    <w:rsid w:val="00F65A7F"/>
    <w:rsid w:val="00F77D0C"/>
    <w:rsid w:val="00F856C9"/>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AC90-8360-5547-982E-E397151B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933</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胡 记丰</cp:lastModifiedBy>
  <cp:revision>23</cp:revision>
  <dcterms:created xsi:type="dcterms:W3CDTF">2015-10-27T14:07:00Z</dcterms:created>
  <dcterms:modified xsi:type="dcterms:W3CDTF">2015-11-03T17:02:00Z</dcterms:modified>
</cp:coreProperties>
</file>