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00" w:type="dxa"/>
        <w:tblInd w:w="-1332" w:type="dxa"/>
        <w:tblLayout w:type="fixed"/>
        <w:tblLook w:val="04A0" w:firstRow="1" w:lastRow="0" w:firstColumn="1" w:lastColumn="0" w:noHBand="0" w:noVBand="1"/>
      </w:tblPr>
      <w:tblGrid>
        <w:gridCol w:w="3005"/>
        <w:gridCol w:w="3397"/>
        <w:gridCol w:w="1984"/>
        <w:gridCol w:w="3314"/>
      </w:tblGrid>
      <w:tr w:rsidR="00E8555E" w:rsidRPr="00324315" w14:paraId="3AA29E37" w14:textId="77777777" w:rsidTr="00D8492B">
        <w:trPr>
          <w:trHeight w:val="80"/>
        </w:trPr>
        <w:tc>
          <w:tcPr>
            <w:tcW w:w="3005" w:type="dxa"/>
            <w:shd w:val="clear" w:color="auto" w:fill="365F91" w:themeFill="accent1" w:themeFillShade="BF"/>
          </w:tcPr>
          <w:p w14:paraId="2E49CA38" w14:textId="3EDA549C" w:rsidR="00E8555E" w:rsidRPr="00324315" w:rsidRDefault="00E8555E" w:rsidP="004F60B9">
            <w:pPr>
              <w:rPr>
                <w:b/>
                <w:color w:val="FFFFFF" w:themeColor="background1"/>
                <w:sz w:val="16"/>
                <w:szCs w:val="16"/>
              </w:rPr>
            </w:pPr>
            <w:r w:rsidRPr="00324315">
              <w:rPr>
                <w:b/>
                <w:color w:val="FFFFFF" w:themeColor="background1"/>
                <w:sz w:val="16"/>
                <w:szCs w:val="16"/>
              </w:rPr>
              <w:t xml:space="preserve">Company: </w:t>
            </w:r>
            <w:r w:rsidR="004F60B9" w:rsidRPr="00324315">
              <w:rPr>
                <w:b/>
                <w:color w:val="FFFFFF" w:themeColor="background1"/>
                <w:sz w:val="16"/>
                <w:szCs w:val="16"/>
              </w:rPr>
              <w:t>Honeywell International Inc.</w:t>
            </w:r>
          </w:p>
        </w:tc>
        <w:tc>
          <w:tcPr>
            <w:tcW w:w="3397" w:type="dxa"/>
            <w:shd w:val="clear" w:color="auto" w:fill="365F91" w:themeFill="accent1" w:themeFillShade="BF"/>
          </w:tcPr>
          <w:p w14:paraId="5FDF97F0" w14:textId="441F543F" w:rsidR="00E8555E" w:rsidRPr="00324315" w:rsidRDefault="00E8555E">
            <w:pPr>
              <w:rPr>
                <w:color w:val="FFFFFF" w:themeColor="background1"/>
                <w:sz w:val="16"/>
                <w:szCs w:val="16"/>
              </w:rPr>
            </w:pPr>
            <w:r w:rsidRPr="00324315">
              <w:rPr>
                <w:color w:val="FFFFFF" w:themeColor="background1"/>
                <w:sz w:val="16"/>
                <w:szCs w:val="16"/>
              </w:rPr>
              <w:t xml:space="preserve">Ticker:  </w:t>
            </w:r>
            <w:r w:rsidR="004F60B9" w:rsidRPr="00324315">
              <w:rPr>
                <w:color w:val="FFFFFF" w:themeColor="background1"/>
                <w:sz w:val="16"/>
                <w:szCs w:val="16"/>
              </w:rPr>
              <w:t>HON</w:t>
            </w:r>
            <w:r w:rsidR="00601444" w:rsidRPr="00324315">
              <w:rPr>
                <w:color w:val="FFFFFF" w:themeColor="background1"/>
                <w:sz w:val="16"/>
                <w:szCs w:val="16"/>
              </w:rPr>
              <w:t xml:space="preserve">        </w:t>
            </w:r>
            <w:r w:rsidR="0056351A">
              <w:rPr>
                <w:color w:val="FFFFFF" w:themeColor="background1"/>
                <w:sz w:val="16"/>
                <w:szCs w:val="16"/>
              </w:rPr>
              <w:t xml:space="preserve">           </w:t>
            </w:r>
            <w:bookmarkStart w:id="0" w:name="_GoBack"/>
            <w:bookmarkEnd w:id="0"/>
            <w:r w:rsidR="004F60B9" w:rsidRPr="00324315">
              <w:rPr>
                <w:color w:val="FFFFFF" w:themeColor="background1"/>
                <w:sz w:val="16"/>
                <w:szCs w:val="16"/>
              </w:rPr>
              <w:t xml:space="preserve"> </w:t>
            </w:r>
            <w:r w:rsidRPr="00324315">
              <w:rPr>
                <w:color w:val="FFFFFF" w:themeColor="background1"/>
                <w:sz w:val="16"/>
                <w:szCs w:val="16"/>
              </w:rPr>
              <w:t>Current Price:</w:t>
            </w:r>
            <w:r w:rsidR="0056351A">
              <w:rPr>
                <w:color w:val="FFFFFF" w:themeColor="background1"/>
                <w:sz w:val="16"/>
                <w:szCs w:val="16"/>
              </w:rPr>
              <w:t xml:space="preserve"> $101</w:t>
            </w:r>
            <w:r w:rsidR="004F60B9" w:rsidRPr="00324315">
              <w:rPr>
                <w:color w:val="FFFFFF" w:themeColor="background1"/>
                <w:sz w:val="16"/>
                <w:szCs w:val="16"/>
              </w:rPr>
              <w:t>.60</w:t>
            </w:r>
          </w:p>
        </w:tc>
        <w:tc>
          <w:tcPr>
            <w:tcW w:w="1984" w:type="dxa"/>
            <w:shd w:val="clear" w:color="auto" w:fill="365F91" w:themeFill="accent1" w:themeFillShade="BF"/>
          </w:tcPr>
          <w:p w14:paraId="1FD4CAF9" w14:textId="7B811886" w:rsidR="00E8555E" w:rsidRPr="00324315" w:rsidRDefault="00E8555E">
            <w:pPr>
              <w:rPr>
                <w:color w:val="FFFFFF" w:themeColor="background1"/>
                <w:sz w:val="16"/>
                <w:szCs w:val="16"/>
              </w:rPr>
            </w:pPr>
            <w:r w:rsidRPr="00324315">
              <w:rPr>
                <w:color w:val="FFFFFF" w:themeColor="background1"/>
                <w:sz w:val="16"/>
                <w:szCs w:val="16"/>
              </w:rPr>
              <w:t>Industry:</w:t>
            </w:r>
            <w:r w:rsidR="004F60B9" w:rsidRPr="00324315">
              <w:rPr>
                <w:color w:val="FFFFFF" w:themeColor="background1"/>
                <w:sz w:val="16"/>
                <w:szCs w:val="16"/>
              </w:rPr>
              <w:t xml:space="preserve"> Industrials</w:t>
            </w:r>
          </w:p>
        </w:tc>
        <w:tc>
          <w:tcPr>
            <w:tcW w:w="3314" w:type="dxa"/>
            <w:shd w:val="clear" w:color="auto" w:fill="365F91" w:themeFill="accent1" w:themeFillShade="BF"/>
          </w:tcPr>
          <w:p w14:paraId="417B84CE" w14:textId="3BAB6C58" w:rsidR="00E8555E" w:rsidRPr="00324315" w:rsidRDefault="00E8555E" w:rsidP="004F60B9">
            <w:pPr>
              <w:rPr>
                <w:color w:val="FFFFFF" w:themeColor="background1"/>
                <w:sz w:val="16"/>
                <w:szCs w:val="16"/>
              </w:rPr>
            </w:pPr>
            <w:r w:rsidRPr="00324315">
              <w:rPr>
                <w:color w:val="FFFFFF" w:themeColor="background1"/>
                <w:sz w:val="16"/>
                <w:szCs w:val="16"/>
              </w:rPr>
              <w:t xml:space="preserve">Sub Industry: </w:t>
            </w:r>
            <w:r w:rsidR="004F60B9" w:rsidRPr="00324315">
              <w:rPr>
                <w:color w:val="FFFFFF" w:themeColor="background1"/>
                <w:sz w:val="16"/>
                <w:szCs w:val="16"/>
              </w:rPr>
              <w:t>Aerospace &amp; Defense</w:t>
            </w:r>
            <w:r w:rsidR="00D8492B" w:rsidRPr="00324315">
              <w:rPr>
                <w:color w:val="FFFFFF" w:themeColor="background1"/>
                <w:sz w:val="16"/>
                <w:szCs w:val="16"/>
              </w:rPr>
              <w:t xml:space="preserve"> </w:t>
            </w:r>
          </w:p>
        </w:tc>
      </w:tr>
      <w:tr w:rsidR="006E44B8" w:rsidRPr="00324315" w14:paraId="185E94E4" w14:textId="77777777" w:rsidTr="00D8492B">
        <w:trPr>
          <w:trHeight w:val="512"/>
        </w:trPr>
        <w:tc>
          <w:tcPr>
            <w:tcW w:w="3005" w:type="dxa"/>
          </w:tcPr>
          <w:p w14:paraId="159CAB82" w14:textId="1FC0675B" w:rsidR="00E8555E" w:rsidRPr="00324315" w:rsidRDefault="00E8555E" w:rsidP="00E8555E">
            <w:pPr>
              <w:rPr>
                <w:sz w:val="16"/>
                <w:szCs w:val="16"/>
              </w:rPr>
            </w:pPr>
            <w:r w:rsidRPr="00324315">
              <w:rPr>
                <w:sz w:val="16"/>
                <w:szCs w:val="16"/>
              </w:rPr>
              <w:t>Target Price</w:t>
            </w:r>
            <w:r w:rsidR="00C161B3" w:rsidRPr="00324315">
              <w:rPr>
                <w:sz w:val="16"/>
                <w:szCs w:val="16"/>
              </w:rPr>
              <w:t>:</w:t>
            </w:r>
            <w:r w:rsidR="00D8492B" w:rsidRPr="00324315">
              <w:rPr>
                <w:sz w:val="16"/>
                <w:szCs w:val="16"/>
              </w:rPr>
              <w:t xml:space="preserve"> $</w:t>
            </w:r>
            <w:r w:rsidR="004F60B9" w:rsidRPr="00324315">
              <w:rPr>
                <w:sz w:val="16"/>
                <w:szCs w:val="16"/>
              </w:rPr>
              <w:t>117.10</w:t>
            </w:r>
          </w:p>
          <w:p w14:paraId="366C508D" w14:textId="510B4C48" w:rsidR="00E8555E" w:rsidRPr="00324315" w:rsidRDefault="00C161B3" w:rsidP="00E8555E">
            <w:pPr>
              <w:rPr>
                <w:sz w:val="16"/>
                <w:szCs w:val="16"/>
              </w:rPr>
            </w:pPr>
            <w:r w:rsidRPr="00324315">
              <w:rPr>
                <w:sz w:val="16"/>
                <w:szCs w:val="16"/>
              </w:rPr>
              <w:t>Stop Loss:</w:t>
            </w:r>
            <w:r w:rsidR="004F60B9" w:rsidRPr="00324315">
              <w:rPr>
                <w:sz w:val="16"/>
                <w:szCs w:val="16"/>
              </w:rPr>
              <w:t xml:space="preserve"> $82.08</w:t>
            </w:r>
          </w:p>
          <w:p w14:paraId="7E50A51D" w14:textId="54044377" w:rsidR="006E44B8" w:rsidRPr="00324315" w:rsidRDefault="00E8555E" w:rsidP="003F7FD3">
            <w:pPr>
              <w:rPr>
                <w:sz w:val="16"/>
                <w:szCs w:val="16"/>
              </w:rPr>
            </w:pPr>
            <w:r w:rsidRPr="00324315">
              <w:rPr>
                <w:sz w:val="16"/>
                <w:szCs w:val="16"/>
              </w:rPr>
              <w:t xml:space="preserve">52 Week High/ Low: </w:t>
            </w:r>
            <w:r w:rsidR="00D8492B" w:rsidRPr="00324315">
              <w:rPr>
                <w:sz w:val="16"/>
                <w:szCs w:val="16"/>
              </w:rPr>
              <w:t>$</w:t>
            </w:r>
            <w:r w:rsidR="00216841" w:rsidRPr="00324315">
              <w:rPr>
                <w:sz w:val="16"/>
                <w:szCs w:val="16"/>
              </w:rPr>
              <w:t>81.79-105.49</w:t>
            </w:r>
          </w:p>
        </w:tc>
        <w:tc>
          <w:tcPr>
            <w:tcW w:w="3397" w:type="dxa"/>
          </w:tcPr>
          <w:p w14:paraId="3197DF2A" w14:textId="2320DCF7" w:rsidR="004F60B9" w:rsidRPr="00324315" w:rsidRDefault="00E8555E" w:rsidP="00E8555E">
            <w:pPr>
              <w:rPr>
                <w:sz w:val="16"/>
                <w:szCs w:val="16"/>
              </w:rPr>
            </w:pPr>
            <w:r w:rsidRPr="00324315">
              <w:rPr>
                <w:sz w:val="16"/>
                <w:szCs w:val="16"/>
              </w:rPr>
              <w:t xml:space="preserve">TTM P/E: </w:t>
            </w:r>
            <w:r w:rsidR="004F60B9" w:rsidRPr="00324315">
              <w:rPr>
                <w:sz w:val="16"/>
                <w:szCs w:val="16"/>
              </w:rPr>
              <w:t>16.99</w:t>
            </w:r>
          </w:p>
          <w:p w14:paraId="7862C274" w14:textId="24F568C8" w:rsidR="00E8555E" w:rsidRPr="00324315" w:rsidRDefault="00E8555E" w:rsidP="00E8555E">
            <w:pPr>
              <w:rPr>
                <w:sz w:val="16"/>
                <w:szCs w:val="16"/>
                <w:highlight w:val="yellow"/>
              </w:rPr>
            </w:pPr>
            <w:r w:rsidRPr="00324315">
              <w:rPr>
                <w:sz w:val="16"/>
                <w:szCs w:val="16"/>
              </w:rPr>
              <w:t xml:space="preserve">Forward P/E: </w:t>
            </w:r>
            <w:r w:rsidR="004F60B9" w:rsidRPr="00324315">
              <w:rPr>
                <w:sz w:val="16"/>
                <w:szCs w:val="16"/>
              </w:rPr>
              <w:t>14.25</w:t>
            </w:r>
          </w:p>
          <w:p w14:paraId="5AA3FEF7" w14:textId="1B5459B9" w:rsidR="006E44B8" w:rsidRPr="00324315" w:rsidRDefault="00E8555E" w:rsidP="00E8555E">
            <w:pPr>
              <w:rPr>
                <w:sz w:val="16"/>
                <w:szCs w:val="16"/>
                <w:lang w:eastAsia="zh-CN"/>
              </w:rPr>
            </w:pPr>
            <w:r w:rsidRPr="00324315">
              <w:rPr>
                <w:sz w:val="16"/>
                <w:szCs w:val="16"/>
              </w:rPr>
              <w:t xml:space="preserve">EPS: </w:t>
            </w:r>
            <w:r w:rsidR="004F60B9" w:rsidRPr="00324315">
              <w:rPr>
                <w:sz w:val="16"/>
                <w:szCs w:val="16"/>
              </w:rPr>
              <w:t>6.04</w:t>
            </w:r>
          </w:p>
        </w:tc>
        <w:tc>
          <w:tcPr>
            <w:tcW w:w="1984" w:type="dxa"/>
          </w:tcPr>
          <w:p w14:paraId="25238E11" w14:textId="5E0A5A6D" w:rsidR="00E8555E" w:rsidRPr="00324315" w:rsidRDefault="00923CAB" w:rsidP="00E8555E">
            <w:pPr>
              <w:rPr>
                <w:sz w:val="16"/>
                <w:szCs w:val="16"/>
                <w:lang w:eastAsia="zh-CN"/>
              </w:rPr>
            </w:pPr>
            <w:r w:rsidRPr="00324315">
              <w:rPr>
                <w:sz w:val="16"/>
                <w:szCs w:val="16"/>
              </w:rPr>
              <w:t xml:space="preserve">Beta: </w:t>
            </w:r>
            <w:r w:rsidR="004F60B9" w:rsidRPr="00324315">
              <w:rPr>
                <w:sz w:val="16"/>
                <w:szCs w:val="16"/>
              </w:rPr>
              <w:t>0.88</w:t>
            </w:r>
          </w:p>
          <w:p w14:paraId="61C6D51C" w14:textId="1B851FF9" w:rsidR="00A30926" w:rsidRPr="00324315" w:rsidRDefault="00E8555E" w:rsidP="00E8555E">
            <w:pPr>
              <w:rPr>
                <w:sz w:val="16"/>
                <w:szCs w:val="16"/>
              </w:rPr>
            </w:pPr>
            <w:r w:rsidRPr="00324315">
              <w:rPr>
                <w:sz w:val="16"/>
                <w:szCs w:val="16"/>
              </w:rPr>
              <w:t>Credit Rating:</w:t>
            </w:r>
            <w:r w:rsidR="00EB7E76" w:rsidRPr="00324315">
              <w:rPr>
                <w:sz w:val="16"/>
                <w:szCs w:val="16"/>
              </w:rPr>
              <w:t xml:space="preserve"> </w:t>
            </w:r>
            <w:r w:rsidR="004F60B9" w:rsidRPr="00324315">
              <w:rPr>
                <w:sz w:val="16"/>
                <w:szCs w:val="16"/>
              </w:rPr>
              <w:t>A</w:t>
            </w:r>
          </w:p>
          <w:p w14:paraId="5BFE3D7B" w14:textId="5D284B47" w:rsidR="003073EA" w:rsidRPr="00324315" w:rsidRDefault="003073EA" w:rsidP="00E8555E">
            <w:pPr>
              <w:rPr>
                <w:sz w:val="16"/>
                <w:szCs w:val="16"/>
              </w:rPr>
            </w:pPr>
            <w:r w:rsidRPr="00324315">
              <w:rPr>
                <w:sz w:val="16"/>
                <w:szCs w:val="16"/>
              </w:rPr>
              <w:t xml:space="preserve">Rating Outlook: </w:t>
            </w:r>
            <w:r w:rsidR="004F60B9" w:rsidRPr="00324315">
              <w:rPr>
                <w:sz w:val="16"/>
                <w:szCs w:val="16"/>
              </w:rPr>
              <w:t>Stable</w:t>
            </w:r>
          </w:p>
        </w:tc>
        <w:tc>
          <w:tcPr>
            <w:tcW w:w="3314" w:type="dxa"/>
          </w:tcPr>
          <w:p w14:paraId="438980BC" w14:textId="6BABA731" w:rsidR="006E44B8" w:rsidRPr="00324315" w:rsidRDefault="0013332F">
            <w:pPr>
              <w:rPr>
                <w:sz w:val="16"/>
                <w:szCs w:val="16"/>
              </w:rPr>
            </w:pPr>
            <w:r w:rsidRPr="00324315">
              <w:rPr>
                <w:sz w:val="16"/>
                <w:szCs w:val="16"/>
              </w:rPr>
              <w:t xml:space="preserve">Market Cap: </w:t>
            </w:r>
            <w:r w:rsidR="004F60B9" w:rsidRPr="00324315">
              <w:rPr>
                <w:sz w:val="16"/>
                <w:szCs w:val="16"/>
              </w:rPr>
              <w:t>$79.07</w:t>
            </w:r>
            <w:r w:rsidR="003F7FD3" w:rsidRPr="00324315">
              <w:rPr>
                <w:sz w:val="16"/>
                <w:szCs w:val="16"/>
              </w:rPr>
              <w:t>B</w:t>
            </w:r>
          </w:p>
          <w:p w14:paraId="37B82920" w14:textId="20940C18" w:rsidR="00C441B3" w:rsidRPr="00324315" w:rsidRDefault="00501519">
            <w:pPr>
              <w:rPr>
                <w:sz w:val="16"/>
                <w:szCs w:val="16"/>
              </w:rPr>
            </w:pPr>
            <w:r w:rsidRPr="00324315">
              <w:rPr>
                <w:rFonts w:cs="UniversLTStd-BoldCn"/>
                <w:bCs/>
                <w:sz w:val="16"/>
                <w:szCs w:val="16"/>
              </w:rPr>
              <w:t>Avg Vol (</w:t>
            </w:r>
            <w:r w:rsidR="00C441B3" w:rsidRPr="00324315">
              <w:rPr>
                <w:rFonts w:cs="UniversLTStd-BoldCn"/>
                <w:bCs/>
                <w:sz w:val="16"/>
                <w:szCs w:val="16"/>
              </w:rPr>
              <w:t>12 M</w:t>
            </w:r>
            <w:r w:rsidRPr="00324315">
              <w:rPr>
                <w:rFonts w:cs="UniversLTStd-BoldCn"/>
                <w:bCs/>
                <w:sz w:val="16"/>
                <w:szCs w:val="16"/>
              </w:rPr>
              <w:t>onth</w:t>
            </w:r>
            <w:r w:rsidR="00C441B3" w:rsidRPr="00324315">
              <w:rPr>
                <w:rFonts w:cs="UniversLTStd-BoldCn"/>
                <w:bCs/>
                <w:sz w:val="16"/>
                <w:szCs w:val="16"/>
              </w:rPr>
              <w:t>)</w:t>
            </w:r>
            <w:r w:rsidR="00BF2DE5" w:rsidRPr="00324315">
              <w:rPr>
                <w:rFonts w:cs="UniversLTStd-BoldCn"/>
                <w:bCs/>
                <w:sz w:val="16"/>
                <w:szCs w:val="16"/>
              </w:rPr>
              <w:t>:</w:t>
            </w:r>
            <w:r w:rsidR="00F56E16" w:rsidRPr="00324315">
              <w:rPr>
                <w:rFonts w:cs="UniversLTStd-BoldCn"/>
                <w:bCs/>
                <w:sz w:val="16"/>
                <w:szCs w:val="16"/>
              </w:rPr>
              <w:t xml:space="preserve"> </w:t>
            </w:r>
            <w:r w:rsidR="004F60B9" w:rsidRPr="00324315">
              <w:rPr>
                <w:rFonts w:cs="UniversLTStd-BoldCn"/>
                <w:bCs/>
                <w:sz w:val="16"/>
                <w:szCs w:val="16"/>
              </w:rPr>
              <w:t xml:space="preserve"> 4.04M</w:t>
            </w:r>
          </w:p>
          <w:p w14:paraId="0D1C791A" w14:textId="67C25BE9" w:rsidR="00E5675C" w:rsidRPr="00324315" w:rsidRDefault="004F60B9" w:rsidP="00BF2DE5">
            <w:pPr>
              <w:rPr>
                <w:sz w:val="16"/>
                <w:szCs w:val="16"/>
              </w:rPr>
            </w:pPr>
            <w:r w:rsidRPr="00324315">
              <w:rPr>
                <w:sz w:val="16"/>
                <w:szCs w:val="16"/>
              </w:rPr>
              <w:t>Dividend Yield: 2.38%</w:t>
            </w:r>
          </w:p>
        </w:tc>
      </w:tr>
    </w:tbl>
    <w:p w14:paraId="4F402887" w14:textId="2A591AC3" w:rsidR="00443ED9" w:rsidRPr="00324315" w:rsidRDefault="00443ED9" w:rsidP="005E114B">
      <w:pPr>
        <w:rPr>
          <w:sz w:val="16"/>
          <w:szCs w:val="16"/>
        </w:rPr>
      </w:pPr>
    </w:p>
    <w:tbl>
      <w:tblPr>
        <w:tblStyle w:val="TableGrid"/>
        <w:tblW w:w="11700" w:type="dxa"/>
        <w:tblInd w:w="-1332" w:type="dxa"/>
        <w:tblLook w:val="04A0" w:firstRow="1" w:lastRow="0" w:firstColumn="1" w:lastColumn="0" w:noHBand="0" w:noVBand="1"/>
      </w:tblPr>
      <w:tblGrid>
        <w:gridCol w:w="11700"/>
      </w:tblGrid>
      <w:tr w:rsidR="00DB5A10" w:rsidRPr="00324315" w14:paraId="311194DC" w14:textId="77777777" w:rsidTr="00DB5A10">
        <w:trPr>
          <w:trHeight w:val="197"/>
        </w:trPr>
        <w:tc>
          <w:tcPr>
            <w:tcW w:w="11700" w:type="dxa"/>
            <w:shd w:val="clear" w:color="auto" w:fill="365F91" w:themeFill="accent1" w:themeFillShade="BF"/>
          </w:tcPr>
          <w:p w14:paraId="14342F91" w14:textId="5A8BBA7A" w:rsidR="00DB5A10" w:rsidRPr="00324315" w:rsidRDefault="00DB5A10" w:rsidP="00DB5A10">
            <w:pPr>
              <w:tabs>
                <w:tab w:val="left" w:pos="3690"/>
              </w:tabs>
              <w:jc w:val="both"/>
              <w:rPr>
                <w:color w:val="FFFFFF" w:themeColor="background1"/>
                <w:sz w:val="16"/>
                <w:szCs w:val="16"/>
              </w:rPr>
            </w:pPr>
            <w:r w:rsidRPr="00324315">
              <w:rPr>
                <w:b/>
                <w:color w:val="FFFFFF" w:themeColor="background1"/>
                <w:sz w:val="16"/>
                <w:szCs w:val="16"/>
              </w:rPr>
              <w:t xml:space="preserve">Company Background:  </w:t>
            </w:r>
            <w:r w:rsidRPr="00324315">
              <w:rPr>
                <w:b/>
                <w:color w:val="FFFFFF" w:themeColor="background1"/>
                <w:sz w:val="16"/>
                <w:szCs w:val="16"/>
              </w:rPr>
              <w:tab/>
            </w:r>
          </w:p>
        </w:tc>
      </w:tr>
      <w:tr w:rsidR="00DB5A10" w:rsidRPr="00324315" w14:paraId="325C88BE" w14:textId="77777777" w:rsidTr="00421632">
        <w:trPr>
          <w:trHeight w:val="755"/>
        </w:trPr>
        <w:tc>
          <w:tcPr>
            <w:tcW w:w="11700" w:type="dxa"/>
          </w:tcPr>
          <w:p w14:paraId="6DA30C88" w14:textId="52717713" w:rsidR="00D04F99" w:rsidRPr="00F818EA" w:rsidRDefault="004F60B9" w:rsidP="005E114B">
            <w:pPr>
              <w:rPr>
                <w:sz w:val="16"/>
                <w:szCs w:val="16"/>
              </w:rPr>
            </w:pPr>
            <w:r w:rsidRPr="00F818EA">
              <w:rPr>
                <w:rFonts w:cs="Arial"/>
                <w:sz w:val="16"/>
                <w:szCs w:val="16"/>
                <w:shd w:val="clear" w:color="auto" w:fill="FFFFFF"/>
              </w:rPr>
              <w:t>Honeywell International, Inc. is a diversified technology and manufacturing company, serving customers worldwide with aerospace products and services and turbochargers and automotive products (39% of '14 sales); control, sensing and security technologies for buildings, homes, and industry (36%); and specialty chemicals, electronic and advanced materials, and process technology for refining and petrochemicals (25%).</w:t>
            </w:r>
            <w:r w:rsidRPr="00F818EA">
              <w:rPr>
                <w:rStyle w:val="apple-converted-space"/>
                <w:rFonts w:cs="Arial"/>
                <w:sz w:val="16"/>
                <w:szCs w:val="16"/>
                <w:shd w:val="clear" w:color="auto" w:fill="FFFFFF"/>
              </w:rPr>
              <w:t> </w:t>
            </w:r>
          </w:p>
          <w:p w14:paraId="0A8884D5" w14:textId="264CF31B" w:rsidR="00216841" w:rsidRPr="00324315" w:rsidRDefault="00216841" w:rsidP="009F0830">
            <w:pPr>
              <w:rPr>
                <w:sz w:val="16"/>
                <w:szCs w:val="16"/>
              </w:rPr>
            </w:pPr>
          </w:p>
        </w:tc>
      </w:tr>
      <w:tr w:rsidR="00274740" w:rsidRPr="00324315" w14:paraId="4EB61633" w14:textId="77777777" w:rsidTr="00274740">
        <w:tc>
          <w:tcPr>
            <w:tcW w:w="11700" w:type="dxa"/>
            <w:shd w:val="clear" w:color="auto" w:fill="365F91" w:themeFill="accent1" w:themeFillShade="BF"/>
          </w:tcPr>
          <w:p w14:paraId="38206B03" w14:textId="7B341966" w:rsidR="00274740" w:rsidRPr="00324315" w:rsidRDefault="00274740" w:rsidP="00BB61F8">
            <w:pPr>
              <w:tabs>
                <w:tab w:val="left" w:pos="3225"/>
              </w:tabs>
              <w:rPr>
                <w:b/>
                <w:color w:val="FFFFFF" w:themeColor="background1"/>
                <w:sz w:val="16"/>
                <w:szCs w:val="16"/>
              </w:rPr>
            </w:pPr>
            <w:r w:rsidRPr="00324315">
              <w:rPr>
                <w:b/>
                <w:color w:val="FFFFFF" w:themeColor="background1"/>
                <w:sz w:val="16"/>
                <w:szCs w:val="16"/>
              </w:rPr>
              <w:t xml:space="preserve">Industry </w:t>
            </w:r>
            <w:r w:rsidR="00BB3908" w:rsidRPr="00324315">
              <w:rPr>
                <w:b/>
                <w:color w:val="FFFFFF" w:themeColor="background1"/>
                <w:sz w:val="16"/>
                <w:szCs w:val="16"/>
              </w:rPr>
              <w:t>Outlook:</w:t>
            </w:r>
            <w:r w:rsidRPr="00324315">
              <w:rPr>
                <w:b/>
                <w:color w:val="FFFFFF" w:themeColor="background1"/>
                <w:sz w:val="16"/>
                <w:szCs w:val="16"/>
              </w:rPr>
              <w:t xml:space="preserve"> </w:t>
            </w:r>
          </w:p>
        </w:tc>
      </w:tr>
      <w:tr w:rsidR="00274740" w:rsidRPr="00324315" w14:paraId="52C52C72" w14:textId="77777777" w:rsidTr="00A8303B">
        <w:trPr>
          <w:trHeight w:val="1214"/>
        </w:trPr>
        <w:tc>
          <w:tcPr>
            <w:tcW w:w="11700" w:type="dxa"/>
          </w:tcPr>
          <w:p w14:paraId="13CF9C4C" w14:textId="77777777" w:rsidR="00A8303B" w:rsidRPr="00F818EA" w:rsidRDefault="002E5ADC" w:rsidP="00F818EA">
            <w:pPr>
              <w:pStyle w:val="ListParagraph"/>
              <w:numPr>
                <w:ilvl w:val="0"/>
                <w:numId w:val="10"/>
              </w:numPr>
              <w:ind w:left="319"/>
              <w:rPr>
                <w:sz w:val="16"/>
                <w:szCs w:val="16"/>
              </w:rPr>
            </w:pPr>
            <w:r w:rsidRPr="00F818EA">
              <w:rPr>
                <w:sz w:val="16"/>
                <w:szCs w:val="16"/>
              </w:rPr>
              <w:t>Positive outlook on commercial aerospace and neutral on defense for the next 12 months</w:t>
            </w:r>
          </w:p>
          <w:p w14:paraId="22DD46B9" w14:textId="6608C324" w:rsidR="002E5ADC" w:rsidRPr="00324315" w:rsidRDefault="002E5ADC" w:rsidP="00F818EA">
            <w:pPr>
              <w:pStyle w:val="ListParagraph"/>
              <w:numPr>
                <w:ilvl w:val="0"/>
                <w:numId w:val="10"/>
              </w:numPr>
              <w:ind w:left="319"/>
              <w:rPr>
                <w:sz w:val="16"/>
                <w:szCs w:val="16"/>
              </w:rPr>
            </w:pPr>
            <w:r w:rsidRPr="00324315">
              <w:rPr>
                <w:sz w:val="16"/>
                <w:szCs w:val="16"/>
              </w:rPr>
              <w:t xml:space="preserve">Trade association IATA estimates global passenger air traffic grew 5.9% in </w:t>
            </w:r>
            <w:r w:rsidR="00A1512A">
              <w:rPr>
                <w:sz w:val="16"/>
                <w:szCs w:val="16"/>
              </w:rPr>
              <w:t>2015 after growing 5.2% for 2014 and sees growth of 7.0% in 2016</w:t>
            </w:r>
          </w:p>
          <w:p w14:paraId="7C315525" w14:textId="77777777" w:rsidR="002E5ADC" w:rsidRPr="00324315" w:rsidRDefault="002E5ADC" w:rsidP="00F818EA">
            <w:pPr>
              <w:pStyle w:val="ListParagraph"/>
              <w:numPr>
                <w:ilvl w:val="0"/>
                <w:numId w:val="10"/>
              </w:numPr>
              <w:ind w:left="319"/>
              <w:rPr>
                <w:sz w:val="16"/>
                <w:szCs w:val="16"/>
              </w:rPr>
            </w:pPr>
            <w:r w:rsidRPr="00324315">
              <w:rPr>
                <w:sz w:val="16"/>
                <w:szCs w:val="16"/>
              </w:rPr>
              <w:t xml:space="preserve">Expected to see continued solid demand for new commercial jets, fueled by growth in the developing markets and a need to replace aging, less fuel-efficient aircraft in developed markets. </w:t>
            </w:r>
          </w:p>
          <w:p w14:paraId="175FAF77" w14:textId="77777777" w:rsidR="002E5ADC" w:rsidRPr="00324315" w:rsidRDefault="002E5ADC" w:rsidP="00F818EA">
            <w:pPr>
              <w:pStyle w:val="ListParagraph"/>
              <w:numPr>
                <w:ilvl w:val="0"/>
                <w:numId w:val="10"/>
              </w:numPr>
              <w:ind w:left="319"/>
              <w:rPr>
                <w:rFonts w:eastAsia="Times New Roman" w:cs="Times New Roman"/>
                <w:sz w:val="16"/>
                <w:szCs w:val="16"/>
              </w:rPr>
            </w:pPr>
            <w:r w:rsidRPr="00324315">
              <w:rPr>
                <w:sz w:val="16"/>
                <w:szCs w:val="16"/>
              </w:rPr>
              <w:t>Commercial aerospace shares selling at reasonable valuations.</w:t>
            </w:r>
          </w:p>
          <w:p w14:paraId="2219CC73" w14:textId="19F4D6F6" w:rsidR="002E5ADC" w:rsidRPr="00324315" w:rsidRDefault="002E5ADC" w:rsidP="00F818EA">
            <w:pPr>
              <w:pStyle w:val="ListParagraph"/>
              <w:numPr>
                <w:ilvl w:val="0"/>
                <w:numId w:val="10"/>
              </w:numPr>
              <w:ind w:left="319"/>
              <w:rPr>
                <w:rFonts w:eastAsia="Times New Roman" w:cs="Times New Roman"/>
                <w:sz w:val="16"/>
                <w:szCs w:val="16"/>
              </w:rPr>
            </w:pPr>
            <w:r w:rsidRPr="00324315">
              <w:rPr>
                <w:sz w:val="16"/>
                <w:szCs w:val="16"/>
              </w:rPr>
              <w:t>Year to date through August 14, the S&amp;P Aerospace &amp; Defense Index rose 3.0%, vs. a 2.8% decline for the S&amp;P Industrials Index and a 1.7% rise for the S&amp;P 1500 Composite Index. The sub-industry index rose 8.7% in 2014, vs. 8.4% for Industrials and 10.9% for the S&amp;P 1500.</w:t>
            </w:r>
          </w:p>
        </w:tc>
      </w:tr>
      <w:tr w:rsidR="00DB5A10" w:rsidRPr="00324315" w14:paraId="6A32B295" w14:textId="77777777" w:rsidTr="00A8303B">
        <w:trPr>
          <w:trHeight w:val="90"/>
        </w:trPr>
        <w:tc>
          <w:tcPr>
            <w:tcW w:w="11700" w:type="dxa"/>
            <w:shd w:val="clear" w:color="auto" w:fill="365F91" w:themeFill="accent1" w:themeFillShade="BF"/>
          </w:tcPr>
          <w:p w14:paraId="22F69EB1" w14:textId="5B91B2A3" w:rsidR="00DB5A10" w:rsidRPr="00324315" w:rsidRDefault="00DB5A10" w:rsidP="00DB5A10">
            <w:pPr>
              <w:tabs>
                <w:tab w:val="left" w:pos="3225"/>
              </w:tabs>
              <w:rPr>
                <w:b/>
                <w:color w:val="FFFFFF" w:themeColor="background1"/>
                <w:sz w:val="16"/>
                <w:szCs w:val="16"/>
              </w:rPr>
            </w:pPr>
            <w:r w:rsidRPr="00324315">
              <w:rPr>
                <w:b/>
                <w:color w:val="FFFFFF" w:themeColor="background1"/>
                <w:sz w:val="16"/>
                <w:szCs w:val="16"/>
              </w:rPr>
              <w:t>Investment Thesis:</w:t>
            </w:r>
            <w:r w:rsidRPr="00324315">
              <w:rPr>
                <w:b/>
                <w:color w:val="FFFFFF" w:themeColor="background1"/>
                <w:sz w:val="16"/>
                <w:szCs w:val="16"/>
              </w:rPr>
              <w:tab/>
            </w:r>
          </w:p>
        </w:tc>
      </w:tr>
      <w:tr w:rsidR="00DB5A10" w:rsidRPr="00324315" w14:paraId="4F0CBDAD" w14:textId="77777777" w:rsidTr="00DB5A10">
        <w:tc>
          <w:tcPr>
            <w:tcW w:w="11700" w:type="dxa"/>
          </w:tcPr>
          <w:p w14:paraId="2A0B938A" w14:textId="77777777" w:rsidR="008717C3" w:rsidRPr="00597CA6" w:rsidRDefault="002E5ADC" w:rsidP="00597CA6">
            <w:pPr>
              <w:pStyle w:val="ListParagraph"/>
              <w:numPr>
                <w:ilvl w:val="0"/>
                <w:numId w:val="11"/>
              </w:numPr>
              <w:ind w:left="319"/>
              <w:rPr>
                <w:sz w:val="16"/>
                <w:szCs w:val="16"/>
              </w:rPr>
            </w:pPr>
            <w:r w:rsidRPr="00597CA6">
              <w:rPr>
                <w:sz w:val="16"/>
                <w:szCs w:val="16"/>
              </w:rPr>
              <w:t>HON's building environmental and combustion controls, and its turbocharger products benefiting from a strong global trend toward energy efficiency</w:t>
            </w:r>
          </w:p>
          <w:p w14:paraId="300332D1" w14:textId="77777777" w:rsidR="002E5ADC" w:rsidRPr="00324315" w:rsidRDefault="002E5ADC" w:rsidP="00601444">
            <w:pPr>
              <w:pStyle w:val="ListParagraph"/>
              <w:numPr>
                <w:ilvl w:val="0"/>
                <w:numId w:val="5"/>
              </w:numPr>
              <w:rPr>
                <w:sz w:val="16"/>
                <w:szCs w:val="16"/>
              </w:rPr>
            </w:pPr>
            <w:r w:rsidRPr="00324315">
              <w:rPr>
                <w:sz w:val="16"/>
                <w:szCs w:val="16"/>
              </w:rPr>
              <w:t>Aerospace should benefit from rising global fleet sizes, demand for better fuel economy and aftermarket demand, while specialty chemical volumes should benefit from improving global demand for petroleum products.</w:t>
            </w:r>
          </w:p>
          <w:p w14:paraId="03BAC051" w14:textId="77777777" w:rsidR="002E5ADC" w:rsidRPr="00324315" w:rsidRDefault="002E5ADC" w:rsidP="00601444">
            <w:pPr>
              <w:pStyle w:val="ListParagraph"/>
              <w:numPr>
                <w:ilvl w:val="0"/>
                <w:numId w:val="5"/>
              </w:numPr>
              <w:rPr>
                <w:sz w:val="16"/>
                <w:szCs w:val="16"/>
              </w:rPr>
            </w:pPr>
            <w:r w:rsidRPr="00324315">
              <w:rPr>
                <w:sz w:val="16"/>
                <w:szCs w:val="16"/>
              </w:rPr>
              <w:t>HON pays a solid dividend (2.3% yield at the recent price), which is expected to rise, in line with the EPS growth.</w:t>
            </w:r>
          </w:p>
          <w:p w14:paraId="35F9E681" w14:textId="0436BC06" w:rsidR="002E5ADC" w:rsidRPr="00324315" w:rsidRDefault="002E5ADC" w:rsidP="00601444">
            <w:pPr>
              <w:pStyle w:val="ListParagraph"/>
              <w:numPr>
                <w:ilvl w:val="0"/>
                <w:numId w:val="5"/>
              </w:numPr>
              <w:rPr>
                <w:sz w:val="16"/>
                <w:szCs w:val="16"/>
              </w:rPr>
            </w:pPr>
            <w:r w:rsidRPr="00324315">
              <w:rPr>
                <w:sz w:val="16"/>
                <w:szCs w:val="16"/>
              </w:rPr>
              <w:t>HON reiterated its forward-looking guidance and announced a dividend increase in 2015.</w:t>
            </w:r>
          </w:p>
        </w:tc>
      </w:tr>
      <w:tr w:rsidR="00DB5A10" w:rsidRPr="00324315" w14:paraId="3604FAC8" w14:textId="77777777" w:rsidTr="00DB5A10">
        <w:tc>
          <w:tcPr>
            <w:tcW w:w="11700" w:type="dxa"/>
            <w:shd w:val="clear" w:color="auto" w:fill="365F91" w:themeFill="accent1" w:themeFillShade="BF"/>
          </w:tcPr>
          <w:p w14:paraId="36D57562" w14:textId="69893D12" w:rsidR="00DB5A10" w:rsidRPr="00324315" w:rsidRDefault="00DB5A10" w:rsidP="00DB5A10">
            <w:pPr>
              <w:tabs>
                <w:tab w:val="left" w:pos="2235"/>
              </w:tabs>
              <w:rPr>
                <w:sz w:val="16"/>
                <w:szCs w:val="16"/>
              </w:rPr>
            </w:pPr>
            <w:r w:rsidRPr="00324315">
              <w:rPr>
                <w:b/>
                <w:color w:val="FFFFFF" w:themeColor="background1"/>
                <w:sz w:val="16"/>
                <w:szCs w:val="16"/>
              </w:rPr>
              <w:t>Investment Risks:</w:t>
            </w:r>
            <w:r w:rsidRPr="00324315">
              <w:rPr>
                <w:b/>
                <w:color w:val="FFFFFF" w:themeColor="background1"/>
                <w:sz w:val="16"/>
                <w:szCs w:val="16"/>
              </w:rPr>
              <w:tab/>
            </w:r>
          </w:p>
        </w:tc>
      </w:tr>
      <w:tr w:rsidR="00DB5A10" w:rsidRPr="00324315" w14:paraId="7051B972" w14:textId="77777777" w:rsidTr="00DB5A10">
        <w:tc>
          <w:tcPr>
            <w:tcW w:w="11700" w:type="dxa"/>
          </w:tcPr>
          <w:p w14:paraId="78159DC0" w14:textId="0BE8F990" w:rsidR="00601444" w:rsidRPr="00324315" w:rsidRDefault="002E5ADC" w:rsidP="002E5ADC">
            <w:pPr>
              <w:pStyle w:val="ListParagraph"/>
              <w:numPr>
                <w:ilvl w:val="0"/>
                <w:numId w:val="6"/>
              </w:numPr>
              <w:ind w:left="342" w:hanging="342"/>
              <w:rPr>
                <w:sz w:val="16"/>
                <w:szCs w:val="16"/>
              </w:rPr>
            </w:pPr>
            <w:r w:rsidRPr="00324315">
              <w:rPr>
                <w:sz w:val="16"/>
                <w:szCs w:val="16"/>
              </w:rPr>
              <w:t>Risks include further weakening of the global economy, operational difficulties and less than-expected restructuring benefits.</w:t>
            </w:r>
          </w:p>
        </w:tc>
      </w:tr>
      <w:tr w:rsidR="00DB5A10" w:rsidRPr="00324315" w14:paraId="76F577E7" w14:textId="77777777" w:rsidTr="00DB5A10">
        <w:tc>
          <w:tcPr>
            <w:tcW w:w="11700" w:type="dxa"/>
            <w:shd w:val="clear" w:color="auto" w:fill="365F91" w:themeFill="accent1" w:themeFillShade="BF"/>
          </w:tcPr>
          <w:p w14:paraId="0A443D6F" w14:textId="4EB2A931" w:rsidR="00DB5A10" w:rsidRPr="00324315" w:rsidRDefault="00DB5A10" w:rsidP="00DB5A10">
            <w:pPr>
              <w:ind w:left="72"/>
              <w:jc w:val="both"/>
              <w:rPr>
                <w:color w:val="FFFFFF" w:themeColor="background1"/>
                <w:sz w:val="16"/>
                <w:szCs w:val="16"/>
              </w:rPr>
            </w:pPr>
            <w:r w:rsidRPr="00324315">
              <w:rPr>
                <w:b/>
                <w:color w:val="FFFFFF" w:themeColor="background1"/>
                <w:sz w:val="16"/>
                <w:szCs w:val="16"/>
              </w:rPr>
              <w:t xml:space="preserve">3-5 take </w:t>
            </w:r>
            <w:r w:rsidR="00274740" w:rsidRPr="00324315">
              <w:rPr>
                <w:b/>
                <w:color w:val="FFFFFF" w:themeColor="background1"/>
                <w:sz w:val="16"/>
                <w:szCs w:val="16"/>
              </w:rPr>
              <w:t>away</w:t>
            </w:r>
            <w:r w:rsidRPr="00324315">
              <w:rPr>
                <w:b/>
                <w:color w:val="FFFFFF" w:themeColor="background1"/>
                <w:sz w:val="16"/>
                <w:szCs w:val="16"/>
              </w:rPr>
              <w:t xml:space="preserve"> from last quarter investor call transcript: </w:t>
            </w:r>
          </w:p>
        </w:tc>
      </w:tr>
      <w:tr w:rsidR="00DB5A10" w:rsidRPr="00324315" w14:paraId="75D76709" w14:textId="77777777" w:rsidTr="00A8303B">
        <w:trPr>
          <w:trHeight w:val="1340"/>
        </w:trPr>
        <w:tc>
          <w:tcPr>
            <w:tcW w:w="11700" w:type="dxa"/>
          </w:tcPr>
          <w:p w14:paraId="7CA31C12" w14:textId="308E2938" w:rsidR="00600A80" w:rsidRPr="00324315" w:rsidRDefault="00C236CF" w:rsidP="00C236CF">
            <w:pPr>
              <w:pStyle w:val="ListParagraph"/>
              <w:numPr>
                <w:ilvl w:val="0"/>
                <w:numId w:val="6"/>
              </w:numPr>
              <w:ind w:left="319"/>
              <w:rPr>
                <w:rFonts w:cs="Arial"/>
                <w:color w:val="000000"/>
                <w:sz w:val="16"/>
                <w:szCs w:val="16"/>
                <w:shd w:val="clear" w:color="auto" w:fill="FFFFFF"/>
              </w:rPr>
            </w:pPr>
            <w:r w:rsidRPr="00324315">
              <w:rPr>
                <w:rFonts w:cs="Arial"/>
                <w:color w:val="000000"/>
                <w:sz w:val="16"/>
                <w:szCs w:val="16"/>
                <w:shd w:val="clear" w:color="auto" w:fill="FFFFFF"/>
              </w:rPr>
              <w:t>F</w:t>
            </w:r>
            <w:r w:rsidR="00600A80" w:rsidRPr="00324315">
              <w:rPr>
                <w:rFonts w:cs="Arial"/>
                <w:color w:val="000000"/>
                <w:sz w:val="16"/>
                <w:szCs w:val="16"/>
                <w:shd w:val="clear" w:color="auto" w:fill="FFFFFF"/>
              </w:rPr>
              <w:t>unded $160 million of new restructuring in 2015, and that includes $60 million in the fourth quarter, building on a healthy pipeline of new projects which will support strong margin expansion this year and beyond.</w:t>
            </w:r>
          </w:p>
          <w:p w14:paraId="17E8F2B5" w14:textId="77777777" w:rsidR="00600A80" w:rsidRPr="00324315" w:rsidRDefault="00600A80" w:rsidP="00C236CF">
            <w:pPr>
              <w:pStyle w:val="ListParagraph"/>
              <w:numPr>
                <w:ilvl w:val="0"/>
                <w:numId w:val="6"/>
              </w:numPr>
              <w:ind w:left="319"/>
              <w:rPr>
                <w:rFonts w:cs="Arial"/>
                <w:color w:val="000000"/>
                <w:sz w:val="16"/>
                <w:szCs w:val="16"/>
                <w:bdr w:val="none" w:sz="0" w:space="0" w:color="auto" w:frame="1"/>
              </w:rPr>
            </w:pPr>
            <w:r w:rsidRPr="00324315">
              <w:rPr>
                <w:rFonts w:cs="Arial"/>
                <w:color w:val="000000"/>
                <w:sz w:val="16"/>
                <w:szCs w:val="16"/>
                <w:shd w:val="clear" w:color="auto" w:fill="FFFFFF"/>
              </w:rPr>
              <w:t>In November, Honeywell was selected to supply its HTF series jet engines, auxiliary power unit, advanced cockpit technologies, environmental control system and cabin pressure control system to Cessna's new Citation Longitude business jet</w:t>
            </w:r>
          </w:p>
          <w:p w14:paraId="4C9EDF99" w14:textId="6CF757BE" w:rsidR="00600A80" w:rsidRPr="00324315" w:rsidRDefault="00C236CF" w:rsidP="00C236CF">
            <w:pPr>
              <w:pStyle w:val="ListParagraph"/>
              <w:numPr>
                <w:ilvl w:val="0"/>
                <w:numId w:val="6"/>
              </w:numPr>
              <w:ind w:left="319"/>
              <w:rPr>
                <w:rFonts w:cs="Arial"/>
                <w:color w:val="000000"/>
                <w:sz w:val="16"/>
                <w:szCs w:val="16"/>
                <w:bdr w:val="none" w:sz="0" w:space="0" w:color="auto" w:frame="1"/>
              </w:rPr>
            </w:pPr>
            <w:r w:rsidRPr="00324315">
              <w:rPr>
                <w:rFonts w:cs="Arial"/>
                <w:color w:val="000000"/>
                <w:sz w:val="16"/>
                <w:szCs w:val="16"/>
                <w:bdr w:val="none" w:sz="0" w:space="0" w:color="auto" w:frame="1"/>
              </w:rPr>
              <w:t>A</w:t>
            </w:r>
            <w:r w:rsidR="00600A80" w:rsidRPr="00324315">
              <w:rPr>
                <w:rFonts w:cs="Arial"/>
                <w:color w:val="000000"/>
                <w:sz w:val="16"/>
                <w:szCs w:val="16"/>
                <w:bdr w:val="none" w:sz="0" w:space="0" w:color="auto" w:frame="1"/>
              </w:rPr>
              <w:t>cquired the remaining 30% stake in UOP Russell, a global leader in modular gas processing technology and equipment.</w:t>
            </w:r>
          </w:p>
          <w:p w14:paraId="4205DC0B" w14:textId="187C1551" w:rsidR="00450C7B" w:rsidRPr="00324315" w:rsidRDefault="00C236CF" w:rsidP="00C236CF">
            <w:pPr>
              <w:pStyle w:val="ListParagraph"/>
              <w:numPr>
                <w:ilvl w:val="0"/>
                <w:numId w:val="6"/>
              </w:numPr>
              <w:ind w:left="319"/>
              <w:rPr>
                <w:rFonts w:cs="Arial"/>
                <w:color w:val="000000"/>
                <w:sz w:val="16"/>
                <w:szCs w:val="16"/>
                <w:bdr w:val="none" w:sz="0" w:space="0" w:color="auto" w:frame="1"/>
              </w:rPr>
            </w:pPr>
            <w:r w:rsidRPr="00324315">
              <w:rPr>
                <w:rFonts w:cs="Arial"/>
                <w:color w:val="000000"/>
                <w:sz w:val="16"/>
                <w:szCs w:val="16"/>
                <w:bdr w:val="none" w:sz="0" w:space="0" w:color="auto" w:frame="1"/>
              </w:rPr>
              <w:t>R</w:t>
            </w:r>
            <w:r w:rsidR="00600A80" w:rsidRPr="00324315">
              <w:rPr>
                <w:rFonts w:cs="Arial"/>
                <w:color w:val="000000"/>
                <w:sz w:val="16"/>
                <w:szCs w:val="16"/>
                <w:bdr w:val="none" w:sz="0" w:space="0" w:color="auto" w:frame="1"/>
              </w:rPr>
              <w:t>epurchased close to $2 billion in Honeywell shares during the year at attractive prices, which is nearly double the rate at 2014</w:t>
            </w:r>
          </w:p>
        </w:tc>
      </w:tr>
    </w:tbl>
    <w:p w14:paraId="5873EF7F" w14:textId="77777777" w:rsidR="00B7642F" w:rsidRPr="00324315" w:rsidRDefault="00B7642F" w:rsidP="005E114B">
      <w:pPr>
        <w:rPr>
          <w:sz w:val="16"/>
          <w:szCs w:val="16"/>
        </w:rPr>
      </w:pPr>
    </w:p>
    <w:tbl>
      <w:tblPr>
        <w:tblStyle w:val="TableGrid"/>
        <w:tblW w:w="11808" w:type="dxa"/>
        <w:tblInd w:w="-1440" w:type="dxa"/>
        <w:tblLook w:val="04A0" w:firstRow="1" w:lastRow="0" w:firstColumn="1" w:lastColumn="0" w:noHBand="0" w:noVBand="1"/>
      </w:tblPr>
      <w:tblGrid>
        <w:gridCol w:w="7465"/>
        <w:gridCol w:w="4343"/>
      </w:tblGrid>
      <w:tr w:rsidR="00830F06" w:rsidRPr="00324315" w14:paraId="730DB2FF" w14:textId="77777777" w:rsidTr="00034A52">
        <w:tc>
          <w:tcPr>
            <w:tcW w:w="7488" w:type="dxa"/>
            <w:shd w:val="clear" w:color="auto" w:fill="365F91" w:themeFill="accent1" w:themeFillShade="BF"/>
          </w:tcPr>
          <w:p w14:paraId="7CF6246B" w14:textId="38A66325" w:rsidR="00830F06" w:rsidRPr="00324315" w:rsidRDefault="00830F06" w:rsidP="00443ED9">
            <w:pPr>
              <w:jc w:val="both"/>
              <w:rPr>
                <w:b/>
                <w:color w:val="FFFFFF" w:themeColor="background1"/>
                <w:sz w:val="16"/>
                <w:szCs w:val="16"/>
              </w:rPr>
            </w:pPr>
            <w:r w:rsidRPr="00324315">
              <w:rPr>
                <w:b/>
                <w:color w:val="FFFFFF" w:themeColor="background1"/>
                <w:sz w:val="16"/>
                <w:szCs w:val="16"/>
              </w:rPr>
              <w:t>Financial Performance:</w:t>
            </w:r>
          </w:p>
        </w:tc>
        <w:tc>
          <w:tcPr>
            <w:tcW w:w="4320" w:type="dxa"/>
            <w:shd w:val="clear" w:color="auto" w:fill="365F91" w:themeFill="accent1" w:themeFillShade="BF"/>
          </w:tcPr>
          <w:p w14:paraId="09E00ADF" w14:textId="62365A7B" w:rsidR="00830F06" w:rsidRPr="00324315" w:rsidRDefault="00830F06" w:rsidP="00443ED9">
            <w:pPr>
              <w:jc w:val="both"/>
              <w:rPr>
                <w:b/>
                <w:color w:val="FFFFFF" w:themeColor="background1"/>
                <w:sz w:val="16"/>
                <w:szCs w:val="16"/>
              </w:rPr>
            </w:pPr>
            <w:r w:rsidRPr="00324315">
              <w:rPr>
                <w:b/>
                <w:color w:val="FFFFFF" w:themeColor="background1"/>
                <w:sz w:val="16"/>
                <w:szCs w:val="16"/>
              </w:rPr>
              <w:t xml:space="preserve">Discounted Cash Flow </w:t>
            </w:r>
          </w:p>
        </w:tc>
      </w:tr>
      <w:tr w:rsidR="00830F06" w:rsidRPr="00324315" w14:paraId="0538015D" w14:textId="77777777" w:rsidTr="00830F06">
        <w:tc>
          <w:tcPr>
            <w:tcW w:w="7488" w:type="dxa"/>
          </w:tcPr>
          <w:p w14:paraId="6973B10F" w14:textId="77777777" w:rsidR="00830F06" w:rsidRPr="00324315" w:rsidRDefault="00830F06" w:rsidP="00443ED9">
            <w:pPr>
              <w:jc w:val="both"/>
              <w:rPr>
                <w:sz w:val="16"/>
                <w:szCs w:val="16"/>
              </w:rPr>
            </w:pPr>
          </w:p>
          <w:p w14:paraId="6F98E45C" w14:textId="1789566A" w:rsidR="00830F06" w:rsidRPr="00324315" w:rsidRDefault="0056351A" w:rsidP="00443ED9">
            <w:pPr>
              <w:jc w:val="both"/>
              <w:rPr>
                <w:sz w:val="16"/>
                <w:szCs w:val="16"/>
              </w:rPr>
            </w:pPr>
            <w:r>
              <w:rPr>
                <w:noProof/>
                <w:sz w:val="16"/>
                <w:szCs w:val="16"/>
              </w:rPr>
              <w:pict w14:anchorId="6AB49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7pt;height:172.95pt">
                  <v:imagedata r:id="rId6" o:title="Capture"/>
                </v:shape>
              </w:pict>
            </w:r>
            <w:r>
              <w:rPr>
                <w:noProof/>
                <w:sz w:val="16"/>
                <w:szCs w:val="16"/>
              </w:rPr>
              <w:pict w14:anchorId="16DEF8BF">
                <v:shape id="_x0000_i1026" type="#_x0000_t75" style="width:155.15pt;height:172.95pt">
                  <v:imagedata r:id="rId7" o:title="Capture1"/>
                </v:shape>
              </w:pict>
            </w:r>
          </w:p>
        </w:tc>
        <w:tc>
          <w:tcPr>
            <w:tcW w:w="4320" w:type="dxa"/>
          </w:tcPr>
          <w:p w14:paraId="3276E349" w14:textId="77777777" w:rsidR="00830F06" w:rsidRPr="00324315" w:rsidRDefault="00830F06" w:rsidP="00443ED9">
            <w:pPr>
              <w:jc w:val="both"/>
              <w:rPr>
                <w:sz w:val="16"/>
                <w:szCs w:val="16"/>
              </w:rPr>
            </w:pPr>
          </w:p>
          <w:tbl>
            <w:tblPr>
              <w:tblStyle w:val="TableGrid"/>
              <w:tblW w:w="0" w:type="auto"/>
              <w:tblLook w:val="04A0" w:firstRow="1" w:lastRow="0" w:firstColumn="1" w:lastColumn="0" w:noHBand="0" w:noVBand="1"/>
            </w:tblPr>
            <w:tblGrid>
              <w:gridCol w:w="1908"/>
              <w:gridCol w:w="1129"/>
              <w:gridCol w:w="1080"/>
            </w:tblGrid>
            <w:tr w:rsidR="0060598F" w:rsidRPr="00324315" w14:paraId="4C54BF94" w14:textId="77777777" w:rsidTr="0060598F">
              <w:tc>
                <w:tcPr>
                  <w:tcW w:w="1908" w:type="dxa"/>
                  <w:shd w:val="clear" w:color="auto" w:fill="DBE5F1" w:themeFill="accent1" w:themeFillTint="33"/>
                </w:tcPr>
                <w:p w14:paraId="15FA463B" w14:textId="77777777" w:rsidR="00830F06" w:rsidRPr="00324315" w:rsidRDefault="00830F06" w:rsidP="00830F06">
                  <w:pPr>
                    <w:rPr>
                      <w:sz w:val="16"/>
                      <w:szCs w:val="16"/>
                    </w:rPr>
                  </w:pPr>
                </w:p>
              </w:tc>
              <w:tc>
                <w:tcPr>
                  <w:tcW w:w="1129" w:type="dxa"/>
                  <w:shd w:val="clear" w:color="auto" w:fill="DBE5F1" w:themeFill="accent1" w:themeFillTint="33"/>
                </w:tcPr>
                <w:p w14:paraId="3D650FB0" w14:textId="39B87B1D" w:rsidR="00830F06" w:rsidRPr="00324315" w:rsidRDefault="00FA5BBC" w:rsidP="00830F06">
                  <w:pPr>
                    <w:rPr>
                      <w:sz w:val="16"/>
                      <w:szCs w:val="16"/>
                    </w:rPr>
                  </w:pPr>
                  <w:r w:rsidRPr="00324315">
                    <w:rPr>
                      <w:sz w:val="16"/>
                      <w:szCs w:val="16"/>
                    </w:rPr>
                    <w:t>2010</w:t>
                  </w:r>
                  <w:r w:rsidR="00830F06" w:rsidRPr="00324315">
                    <w:rPr>
                      <w:sz w:val="16"/>
                      <w:szCs w:val="16"/>
                    </w:rPr>
                    <w:t>-14</w:t>
                  </w:r>
                </w:p>
              </w:tc>
              <w:tc>
                <w:tcPr>
                  <w:tcW w:w="1080" w:type="dxa"/>
                  <w:shd w:val="clear" w:color="auto" w:fill="DBE5F1" w:themeFill="accent1" w:themeFillTint="33"/>
                </w:tcPr>
                <w:p w14:paraId="6917AD00" w14:textId="77777777" w:rsidR="00830F06" w:rsidRPr="00324315" w:rsidRDefault="00830F06" w:rsidP="00830F06">
                  <w:pPr>
                    <w:rPr>
                      <w:sz w:val="16"/>
                      <w:szCs w:val="16"/>
                    </w:rPr>
                  </w:pPr>
                  <w:r w:rsidRPr="00324315">
                    <w:rPr>
                      <w:sz w:val="16"/>
                      <w:szCs w:val="16"/>
                    </w:rPr>
                    <w:t>2015-19</w:t>
                  </w:r>
                </w:p>
              </w:tc>
            </w:tr>
            <w:tr w:rsidR="0060598F" w:rsidRPr="00324315" w14:paraId="5A9DD5F4" w14:textId="77777777" w:rsidTr="0010720B">
              <w:tc>
                <w:tcPr>
                  <w:tcW w:w="1908" w:type="dxa"/>
                </w:tcPr>
                <w:p w14:paraId="6A465DCA" w14:textId="77777777" w:rsidR="00830F06" w:rsidRPr="00324315" w:rsidRDefault="00830F06" w:rsidP="00830F06">
                  <w:pPr>
                    <w:rPr>
                      <w:sz w:val="16"/>
                      <w:szCs w:val="16"/>
                    </w:rPr>
                  </w:pPr>
                  <w:r w:rsidRPr="00324315">
                    <w:rPr>
                      <w:sz w:val="16"/>
                      <w:szCs w:val="16"/>
                    </w:rPr>
                    <w:t xml:space="preserve">Avg  Revenue growth </w:t>
                  </w:r>
                </w:p>
              </w:tc>
              <w:tc>
                <w:tcPr>
                  <w:tcW w:w="1129" w:type="dxa"/>
                </w:tcPr>
                <w:p w14:paraId="28890419" w14:textId="455AA6F7" w:rsidR="00830F06" w:rsidRPr="00324315" w:rsidRDefault="00ED68A2" w:rsidP="00830F06">
                  <w:pPr>
                    <w:rPr>
                      <w:sz w:val="16"/>
                      <w:szCs w:val="16"/>
                      <w:lang w:eastAsia="zh-CN"/>
                    </w:rPr>
                  </w:pPr>
                  <w:r w:rsidRPr="00324315">
                    <w:rPr>
                      <w:sz w:val="16"/>
                      <w:szCs w:val="16"/>
                      <w:lang w:eastAsia="zh-CN"/>
                    </w:rPr>
                    <w:t>3</w:t>
                  </w:r>
                  <w:r w:rsidR="00FA5BBC" w:rsidRPr="00324315">
                    <w:rPr>
                      <w:sz w:val="16"/>
                      <w:szCs w:val="16"/>
                      <w:lang w:eastAsia="zh-CN"/>
                    </w:rPr>
                    <w:t>%</w:t>
                  </w:r>
                </w:p>
              </w:tc>
              <w:tc>
                <w:tcPr>
                  <w:tcW w:w="1080" w:type="dxa"/>
                </w:tcPr>
                <w:p w14:paraId="2B6EF445" w14:textId="05FD9323" w:rsidR="00830F06" w:rsidRPr="00324315" w:rsidRDefault="00E15185" w:rsidP="00830F06">
                  <w:pPr>
                    <w:rPr>
                      <w:sz w:val="16"/>
                      <w:szCs w:val="16"/>
                    </w:rPr>
                  </w:pPr>
                  <w:r>
                    <w:rPr>
                      <w:sz w:val="16"/>
                      <w:szCs w:val="16"/>
                    </w:rPr>
                    <w:t>5</w:t>
                  </w:r>
                  <w:r w:rsidR="00FA5BBC" w:rsidRPr="00324315">
                    <w:rPr>
                      <w:sz w:val="16"/>
                      <w:szCs w:val="16"/>
                    </w:rPr>
                    <w:t>%</w:t>
                  </w:r>
                </w:p>
              </w:tc>
            </w:tr>
            <w:tr w:rsidR="0060598F" w:rsidRPr="00324315" w14:paraId="49A71F37" w14:textId="77777777" w:rsidTr="0010720B">
              <w:tc>
                <w:tcPr>
                  <w:tcW w:w="1908" w:type="dxa"/>
                </w:tcPr>
                <w:p w14:paraId="7425D824" w14:textId="77777777" w:rsidR="00830F06" w:rsidRPr="00324315" w:rsidRDefault="00830F06" w:rsidP="00830F06">
                  <w:pPr>
                    <w:rPr>
                      <w:sz w:val="16"/>
                      <w:szCs w:val="16"/>
                    </w:rPr>
                  </w:pPr>
                  <w:r w:rsidRPr="00324315">
                    <w:rPr>
                      <w:sz w:val="16"/>
                      <w:szCs w:val="16"/>
                    </w:rPr>
                    <w:t xml:space="preserve">Avg  EBITDA Margin </w:t>
                  </w:r>
                </w:p>
              </w:tc>
              <w:tc>
                <w:tcPr>
                  <w:tcW w:w="1129" w:type="dxa"/>
                </w:tcPr>
                <w:p w14:paraId="6AE1C97F" w14:textId="32F90965" w:rsidR="00830F06" w:rsidRPr="00324315" w:rsidRDefault="00E15185" w:rsidP="00830F06">
                  <w:pPr>
                    <w:rPr>
                      <w:sz w:val="16"/>
                      <w:szCs w:val="16"/>
                      <w:lang w:eastAsia="zh-CN"/>
                    </w:rPr>
                  </w:pPr>
                  <w:r>
                    <w:rPr>
                      <w:sz w:val="16"/>
                      <w:szCs w:val="16"/>
                      <w:lang w:eastAsia="zh-CN"/>
                    </w:rPr>
                    <w:t>16</w:t>
                  </w:r>
                  <w:r w:rsidR="00BD4639" w:rsidRPr="00324315">
                    <w:rPr>
                      <w:sz w:val="16"/>
                      <w:szCs w:val="16"/>
                      <w:lang w:eastAsia="zh-CN"/>
                    </w:rPr>
                    <w:t>%</w:t>
                  </w:r>
                </w:p>
              </w:tc>
              <w:tc>
                <w:tcPr>
                  <w:tcW w:w="1080" w:type="dxa"/>
                </w:tcPr>
                <w:p w14:paraId="72FC070B" w14:textId="30E4327B" w:rsidR="00830F06" w:rsidRPr="00324315" w:rsidRDefault="00E15185" w:rsidP="00830F06">
                  <w:pPr>
                    <w:rPr>
                      <w:sz w:val="16"/>
                      <w:szCs w:val="16"/>
                    </w:rPr>
                  </w:pPr>
                  <w:r>
                    <w:rPr>
                      <w:sz w:val="16"/>
                      <w:szCs w:val="16"/>
                    </w:rPr>
                    <w:t>22</w:t>
                  </w:r>
                  <w:r w:rsidR="00FA5BBC" w:rsidRPr="00324315">
                    <w:rPr>
                      <w:sz w:val="16"/>
                      <w:szCs w:val="16"/>
                    </w:rPr>
                    <w:t>%</w:t>
                  </w:r>
                </w:p>
              </w:tc>
            </w:tr>
            <w:tr w:rsidR="0060598F" w:rsidRPr="00324315" w14:paraId="5B01660D" w14:textId="77777777" w:rsidTr="0010720B">
              <w:tc>
                <w:tcPr>
                  <w:tcW w:w="1908" w:type="dxa"/>
                </w:tcPr>
                <w:p w14:paraId="2B656250" w14:textId="67D1BE93" w:rsidR="00830F06" w:rsidRPr="00324315" w:rsidRDefault="00830F06" w:rsidP="00E15185">
                  <w:pPr>
                    <w:rPr>
                      <w:sz w:val="16"/>
                      <w:szCs w:val="16"/>
                    </w:rPr>
                  </w:pPr>
                  <w:r w:rsidRPr="00324315">
                    <w:rPr>
                      <w:sz w:val="16"/>
                      <w:szCs w:val="16"/>
                    </w:rPr>
                    <w:t xml:space="preserve">Avg  </w:t>
                  </w:r>
                  <w:r w:rsidR="00E15185">
                    <w:rPr>
                      <w:sz w:val="16"/>
                      <w:szCs w:val="16"/>
                    </w:rPr>
                    <w:t>NOPAT</w:t>
                  </w:r>
                </w:p>
              </w:tc>
              <w:tc>
                <w:tcPr>
                  <w:tcW w:w="1129" w:type="dxa"/>
                </w:tcPr>
                <w:p w14:paraId="6B796F07" w14:textId="248D7A46" w:rsidR="00830F06" w:rsidRPr="00324315" w:rsidRDefault="00E15185" w:rsidP="00830F06">
                  <w:pPr>
                    <w:rPr>
                      <w:sz w:val="16"/>
                      <w:szCs w:val="16"/>
                      <w:lang w:eastAsia="zh-CN"/>
                    </w:rPr>
                  </w:pPr>
                  <w:r>
                    <w:rPr>
                      <w:sz w:val="16"/>
                      <w:szCs w:val="16"/>
                      <w:lang w:eastAsia="zh-CN"/>
                    </w:rPr>
                    <w:t>10%</w:t>
                  </w:r>
                </w:p>
              </w:tc>
              <w:tc>
                <w:tcPr>
                  <w:tcW w:w="1080" w:type="dxa"/>
                </w:tcPr>
                <w:p w14:paraId="2CA542D3" w14:textId="62988CF2" w:rsidR="00830F06" w:rsidRPr="00324315" w:rsidRDefault="00E15185" w:rsidP="00830F06">
                  <w:pPr>
                    <w:rPr>
                      <w:sz w:val="16"/>
                      <w:szCs w:val="16"/>
                      <w:highlight w:val="yellow"/>
                    </w:rPr>
                  </w:pPr>
                  <w:r w:rsidRPr="00E15185">
                    <w:rPr>
                      <w:sz w:val="16"/>
                      <w:szCs w:val="16"/>
                    </w:rPr>
                    <w:t>14%</w:t>
                  </w:r>
                </w:p>
              </w:tc>
            </w:tr>
            <w:tr w:rsidR="0060598F" w:rsidRPr="00324315" w14:paraId="1407D251" w14:textId="77777777" w:rsidTr="0010720B">
              <w:tc>
                <w:tcPr>
                  <w:tcW w:w="1908" w:type="dxa"/>
                </w:tcPr>
                <w:p w14:paraId="5FB4F2E9" w14:textId="099B718E" w:rsidR="00830F06" w:rsidRPr="00324315" w:rsidRDefault="00830F06" w:rsidP="00E15185">
                  <w:pPr>
                    <w:rPr>
                      <w:sz w:val="16"/>
                      <w:szCs w:val="16"/>
                    </w:rPr>
                  </w:pPr>
                  <w:r w:rsidRPr="00324315">
                    <w:rPr>
                      <w:sz w:val="16"/>
                      <w:szCs w:val="16"/>
                    </w:rPr>
                    <w:t xml:space="preserve">Avg  </w:t>
                  </w:r>
                  <w:r w:rsidR="00E15185">
                    <w:rPr>
                      <w:sz w:val="16"/>
                      <w:szCs w:val="16"/>
                    </w:rPr>
                    <w:t>FCF/Margin</w:t>
                  </w:r>
                  <w:r w:rsidRPr="00324315">
                    <w:rPr>
                      <w:sz w:val="16"/>
                      <w:szCs w:val="16"/>
                    </w:rPr>
                    <w:t xml:space="preserve"> </w:t>
                  </w:r>
                </w:p>
              </w:tc>
              <w:tc>
                <w:tcPr>
                  <w:tcW w:w="1129" w:type="dxa"/>
                </w:tcPr>
                <w:p w14:paraId="3BD7CDF4" w14:textId="20FC3EA3" w:rsidR="00830F06" w:rsidRPr="00324315" w:rsidRDefault="00E15185" w:rsidP="00830F06">
                  <w:pPr>
                    <w:rPr>
                      <w:sz w:val="16"/>
                      <w:szCs w:val="16"/>
                      <w:lang w:eastAsia="zh-CN"/>
                    </w:rPr>
                  </w:pPr>
                  <w:r>
                    <w:rPr>
                      <w:sz w:val="16"/>
                      <w:szCs w:val="16"/>
                      <w:lang w:eastAsia="zh-CN"/>
                    </w:rPr>
                    <w:t>11%</w:t>
                  </w:r>
                </w:p>
              </w:tc>
              <w:tc>
                <w:tcPr>
                  <w:tcW w:w="1080" w:type="dxa"/>
                </w:tcPr>
                <w:p w14:paraId="6104E666" w14:textId="07FBC1AB" w:rsidR="00830F06" w:rsidRPr="00324315" w:rsidRDefault="00E15185" w:rsidP="00830F06">
                  <w:pPr>
                    <w:rPr>
                      <w:sz w:val="16"/>
                      <w:szCs w:val="16"/>
                      <w:highlight w:val="yellow"/>
                      <w:lang w:eastAsia="zh-CN"/>
                    </w:rPr>
                  </w:pPr>
                  <w:r w:rsidRPr="00E15185">
                    <w:rPr>
                      <w:sz w:val="16"/>
                      <w:szCs w:val="16"/>
                      <w:lang w:eastAsia="zh-CN"/>
                    </w:rPr>
                    <w:t>15%</w:t>
                  </w:r>
                </w:p>
              </w:tc>
            </w:tr>
            <w:tr w:rsidR="00E15185" w:rsidRPr="00324315" w14:paraId="261F133B" w14:textId="77777777" w:rsidTr="001D714C">
              <w:tc>
                <w:tcPr>
                  <w:tcW w:w="1908" w:type="dxa"/>
                </w:tcPr>
                <w:p w14:paraId="0B1C1930" w14:textId="187B617A" w:rsidR="00E15185" w:rsidRPr="00324315" w:rsidRDefault="00E15185" w:rsidP="00830F06">
                  <w:pPr>
                    <w:rPr>
                      <w:sz w:val="16"/>
                      <w:szCs w:val="16"/>
                    </w:rPr>
                  </w:pPr>
                  <w:r w:rsidRPr="00324315">
                    <w:rPr>
                      <w:sz w:val="16"/>
                      <w:szCs w:val="16"/>
                    </w:rPr>
                    <w:t>Cost of Debt</w:t>
                  </w:r>
                </w:p>
              </w:tc>
              <w:tc>
                <w:tcPr>
                  <w:tcW w:w="2209" w:type="dxa"/>
                  <w:gridSpan w:val="2"/>
                </w:tcPr>
                <w:p w14:paraId="04395283" w14:textId="6B858E0D" w:rsidR="00E15185" w:rsidRPr="00324315" w:rsidRDefault="00E15185" w:rsidP="00E15185">
                  <w:pPr>
                    <w:jc w:val="center"/>
                    <w:rPr>
                      <w:sz w:val="16"/>
                      <w:szCs w:val="16"/>
                      <w:highlight w:val="yellow"/>
                      <w:lang w:eastAsia="zh-CN"/>
                    </w:rPr>
                  </w:pPr>
                  <w:r>
                    <w:rPr>
                      <w:sz w:val="16"/>
                      <w:szCs w:val="16"/>
                      <w:lang w:eastAsia="zh-CN"/>
                    </w:rPr>
                    <w:t>1.1%</w:t>
                  </w:r>
                </w:p>
              </w:tc>
            </w:tr>
            <w:tr w:rsidR="00E15185" w:rsidRPr="00324315" w14:paraId="42F79EE5" w14:textId="77777777" w:rsidTr="0010720B">
              <w:tc>
                <w:tcPr>
                  <w:tcW w:w="3037" w:type="dxa"/>
                  <w:gridSpan w:val="2"/>
                </w:tcPr>
                <w:p w14:paraId="11317549" w14:textId="26CBB200" w:rsidR="00E15185" w:rsidRPr="00324315" w:rsidRDefault="00E15185" w:rsidP="00830F06">
                  <w:pPr>
                    <w:rPr>
                      <w:sz w:val="16"/>
                      <w:szCs w:val="16"/>
                    </w:rPr>
                  </w:pPr>
                  <w:r w:rsidRPr="00324315">
                    <w:rPr>
                      <w:sz w:val="16"/>
                      <w:szCs w:val="16"/>
                    </w:rPr>
                    <w:t>Tax Rate</w:t>
                  </w:r>
                </w:p>
              </w:tc>
              <w:tc>
                <w:tcPr>
                  <w:tcW w:w="1080" w:type="dxa"/>
                </w:tcPr>
                <w:p w14:paraId="316D237F" w14:textId="1CDB5944" w:rsidR="00E15185" w:rsidRPr="00324315" w:rsidRDefault="00E15185" w:rsidP="00830F06">
                  <w:pPr>
                    <w:rPr>
                      <w:sz w:val="16"/>
                      <w:szCs w:val="16"/>
                      <w:lang w:eastAsia="zh-CN"/>
                    </w:rPr>
                  </w:pPr>
                  <w:r>
                    <w:rPr>
                      <w:sz w:val="16"/>
                      <w:szCs w:val="16"/>
                    </w:rPr>
                    <w:t>26</w:t>
                  </w:r>
                  <w:r w:rsidRPr="00324315">
                    <w:rPr>
                      <w:sz w:val="16"/>
                      <w:szCs w:val="16"/>
                    </w:rPr>
                    <w:t>%</w:t>
                  </w:r>
                </w:p>
              </w:tc>
            </w:tr>
            <w:tr w:rsidR="00E15185" w:rsidRPr="00324315" w14:paraId="67214880" w14:textId="77777777" w:rsidTr="0010720B">
              <w:tc>
                <w:tcPr>
                  <w:tcW w:w="3037" w:type="dxa"/>
                  <w:gridSpan w:val="2"/>
                </w:tcPr>
                <w:p w14:paraId="30979647" w14:textId="091A90DE" w:rsidR="00E15185" w:rsidRPr="00324315" w:rsidRDefault="00E15185" w:rsidP="00830F06">
                  <w:pPr>
                    <w:rPr>
                      <w:sz w:val="16"/>
                      <w:szCs w:val="16"/>
                    </w:rPr>
                  </w:pPr>
                  <w:r w:rsidRPr="00324315">
                    <w:rPr>
                      <w:sz w:val="16"/>
                      <w:szCs w:val="16"/>
                    </w:rPr>
                    <w:t xml:space="preserve">Cost of Equity </w:t>
                  </w:r>
                </w:p>
              </w:tc>
              <w:tc>
                <w:tcPr>
                  <w:tcW w:w="1080" w:type="dxa"/>
                </w:tcPr>
                <w:p w14:paraId="426CE887" w14:textId="57D9EF01" w:rsidR="00E15185" w:rsidRPr="00324315" w:rsidRDefault="00E15185" w:rsidP="00830F06">
                  <w:pPr>
                    <w:rPr>
                      <w:sz w:val="16"/>
                      <w:szCs w:val="16"/>
                    </w:rPr>
                  </w:pPr>
                  <w:r>
                    <w:rPr>
                      <w:sz w:val="16"/>
                      <w:szCs w:val="16"/>
                      <w:lang w:eastAsia="zh-CN"/>
                    </w:rPr>
                    <w:t>11.1</w:t>
                  </w:r>
                  <w:r w:rsidRPr="00324315">
                    <w:rPr>
                      <w:sz w:val="16"/>
                      <w:szCs w:val="16"/>
                      <w:lang w:eastAsia="zh-CN"/>
                    </w:rPr>
                    <w:t>%</w:t>
                  </w:r>
                </w:p>
              </w:tc>
            </w:tr>
            <w:tr w:rsidR="00E15185" w:rsidRPr="00324315" w14:paraId="0F9564DE" w14:textId="77777777" w:rsidTr="0010720B">
              <w:tc>
                <w:tcPr>
                  <w:tcW w:w="3037" w:type="dxa"/>
                  <w:gridSpan w:val="2"/>
                </w:tcPr>
                <w:p w14:paraId="02E73EF4" w14:textId="5842DA8D" w:rsidR="00E15185" w:rsidRPr="00324315" w:rsidRDefault="00E15185" w:rsidP="00830F06">
                  <w:pPr>
                    <w:rPr>
                      <w:sz w:val="16"/>
                      <w:szCs w:val="16"/>
                    </w:rPr>
                  </w:pPr>
                  <w:r w:rsidRPr="00324315">
                    <w:rPr>
                      <w:sz w:val="16"/>
                      <w:szCs w:val="16"/>
                    </w:rPr>
                    <w:t>WACC</w:t>
                  </w:r>
                </w:p>
              </w:tc>
              <w:tc>
                <w:tcPr>
                  <w:tcW w:w="1080" w:type="dxa"/>
                </w:tcPr>
                <w:p w14:paraId="7C66D20E" w14:textId="0D5783D3" w:rsidR="00E15185" w:rsidRPr="00324315" w:rsidRDefault="00E15185" w:rsidP="00830F06">
                  <w:pPr>
                    <w:rPr>
                      <w:sz w:val="16"/>
                      <w:szCs w:val="16"/>
                      <w:lang w:eastAsia="zh-CN"/>
                    </w:rPr>
                  </w:pPr>
                  <w:r>
                    <w:rPr>
                      <w:sz w:val="16"/>
                      <w:szCs w:val="16"/>
                    </w:rPr>
                    <w:t>9.8</w:t>
                  </w:r>
                  <w:r w:rsidRPr="00324315">
                    <w:rPr>
                      <w:sz w:val="16"/>
                      <w:szCs w:val="16"/>
                    </w:rPr>
                    <w:t>%</w:t>
                  </w:r>
                </w:p>
              </w:tc>
            </w:tr>
            <w:tr w:rsidR="00E15185" w:rsidRPr="00324315" w14:paraId="19A1F6C8" w14:textId="77777777" w:rsidTr="0010720B">
              <w:tc>
                <w:tcPr>
                  <w:tcW w:w="3037" w:type="dxa"/>
                  <w:gridSpan w:val="2"/>
                </w:tcPr>
                <w:p w14:paraId="714B53EA" w14:textId="0692D0C0" w:rsidR="00E15185" w:rsidRPr="00324315" w:rsidRDefault="00E15185" w:rsidP="00830F06">
                  <w:pPr>
                    <w:rPr>
                      <w:sz w:val="16"/>
                      <w:szCs w:val="16"/>
                    </w:rPr>
                  </w:pPr>
                  <w:r w:rsidRPr="00324315">
                    <w:rPr>
                      <w:sz w:val="16"/>
                      <w:szCs w:val="16"/>
                    </w:rPr>
                    <w:t>Perpetuity Growth Rate (Terminal)</w:t>
                  </w:r>
                </w:p>
              </w:tc>
              <w:tc>
                <w:tcPr>
                  <w:tcW w:w="1080" w:type="dxa"/>
                </w:tcPr>
                <w:p w14:paraId="71DF2BD8" w14:textId="61EF5B35" w:rsidR="00E15185" w:rsidRPr="00324315" w:rsidRDefault="00E15185" w:rsidP="00830F06">
                  <w:pPr>
                    <w:rPr>
                      <w:sz w:val="16"/>
                      <w:szCs w:val="16"/>
                    </w:rPr>
                  </w:pPr>
                  <w:r>
                    <w:rPr>
                      <w:sz w:val="16"/>
                      <w:szCs w:val="16"/>
                      <w:lang w:eastAsia="zh-CN"/>
                    </w:rPr>
                    <w:t>2.5</w:t>
                  </w:r>
                  <w:r w:rsidRPr="00324315">
                    <w:rPr>
                      <w:sz w:val="16"/>
                      <w:szCs w:val="16"/>
                    </w:rPr>
                    <w:t>%</w:t>
                  </w:r>
                </w:p>
              </w:tc>
            </w:tr>
            <w:tr w:rsidR="00E15185" w:rsidRPr="00324315" w14:paraId="48232758" w14:textId="77777777" w:rsidTr="002D3CFC">
              <w:trPr>
                <w:trHeight w:val="197"/>
              </w:trPr>
              <w:tc>
                <w:tcPr>
                  <w:tcW w:w="3037" w:type="dxa"/>
                  <w:gridSpan w:val="2"/>
                </w:tcPr>
                <w:p w14:paraId="75850D20" w14:textId="368AF990" w:rsidR="00E15185" w:rsidRPr="00324315" w:rsidRDefault="00E15185" w:rsidP="0012425D">
                  <w:pPr>
                    <w:rPr>
                      <w:sz w:val="16"/>
                      <w:szCs w:val="16"/>
                    </w:rPr>
                  </w:pPr>
                  <w:r>
                    <w:rPr>
                      <w:sz w:val="16"/>
                      <w:szCs w:val="16"/>
                    </w:rPr>
                    <w:t>Bloomberg Perpetuity Growth Rate</w:t>
                  </w:r>
                </w:p>
              </w:tc>
              <w:tc>
                <w:tcPr>
                  <w:tcW w:w="1080" w:type="dxa"/>
                </w:tcPr>
                <w:p w14:paraId="0C5586DB" w14:textId="0C94E614" w:rsidR="00E15185" w:rsidRPr="00324315" w:rsidRDefault="00E15185" w:rsidP="00830F06">
                  <w:pPr>
                    <w:rPr>
                      <w:sz w:val="16"/>
                      <w:szCs w:val="16"/>
                    </w:rPr>
                  </w:pPr>
                  <w:r>
                    <w:rPr>
                      <w:sz w:val="16"/>
                      <w:szCs w:val="16"/>
                    </w:rPr>
                    <w:t>4.1</w:t>
                  </w:r>
                </w:p>
              </w:tc>
            </w:tr>
          </w:tbl>
          <w:p w14:paraId="4363BD08" w14:textId="77777777" w:rsidR="009F0D12" w:rsidRPr="00324315" w:rsidRDefault="009F0D12" w:rsidP="009F0D12">
            <w:pPr>
              <w:jc w:val="both"/>
              <w:rPr>
                <w:sz w:val="16"/>
                <w:szCs w:val="16"/>
              </w:rPr>
            </w:pPr>
            <w:r w:rsidRPr="00324315">
              <w:rPr>
                <w:sz w:val="16"/>
                <w:szCs w:val="16"/>
              </w:rPr>
              <w:t xml:space="preserve">Analyst Opinion </w:t>
            </w:r>
          </w:p>
          <w:tbl>
            <w:tblPr>
              <w:tblStyle w:val="TableGrid"/>
              <w:tblW w:w="0" w:type="auto"/>
              <w:tblLook w:val="04A0" w:firstRow="1" w:lastRow="0" w:firstColumn="1" w:lastColumn="0" w:noHBand="0" w:noVBand="1"/>
            </w:tblPr>
            <w:tblGrid>
              <w:gridCol w:w="1363"/>
              <w:gridCol w:w="1363"/>
              <w:gridCol w:w="1363"/>
            </w:tblGrid>
            <w:tr w:rsidR="009F0D12" w:rsidRPr="00324315" w14:paraId="2502AA66" w14:textId="77777777" w:rsidTr="0010720B">
              <w:tc>
                <w:tcPr>
                  <w:tcW w:w="1363" w:type="dxa"/>
                  <w:shd w:val="clear" w:color="auto" w:fill="DBE5F1" w:themeFill="accent1" w:themeFillTint="33"/>
                </w:tcPr>
                <w:p w14:paraId="6457A1D0" w14:textId="2C41D33B" w:rsidR="009F0D12" w:rsidRPr="00324315" w:rsidRDefault="009F0D12" w:rsidP="009F0D12">
                  <w:pPr>
                    <w:jc w:val="both"/>
                    <w:rPr>
                      <w:sz w:val="16"/>
                      <w:szCs w:val="16"/>
                    </w:rPr>
                  </w:pPr>
                  <w:r w:rsidRPr="00324315">
                    <w:rPr>
                      <w:sz w:val="16"/>
                      <w:szCs w:val="16"/>
                    </w:rPr>
                    <w:t xml:space="preserve">Buy: </w:t>
                  </w:r>
                  <w:r w:rsidR="00E15185">
                    <w:rPr>
                      <w:sz w:val="16"/>
                      <w:szCs w:val="16"/>
                    </w:rPr>
                    <w:t>17</w:t>
                  </w:r>
                </w:p>
              </w:tc>
              <w:tc>
                <w:tcPr>
                  <w:tcW w:w="1363" w:type="dxa"/>
                  <w:shd w:val="clear" w:color="auto" w:fill="DBE5F1" w:themeFill="accent1" w:themeFillTint="33"/>
                </w:tcPr>
                <w:p w14:paraId="10E79476" w14:textId="702741ED" w:rsidR="009F0D12" w:rsidRPr="00324315" w:rsidRDefault="009F0D12" w:rsidP="009F0D12">
                  <w:pPr>
                    <w:jc w:val="both"/>
                    <w:rPr>
                      <w:sz w:val="16"/>
                      <w:szCs w:val="16"/>
                    </w:rPr>
                  </w:pPr>
                  <w:r w:rsidRPr="00324315">
                    <w:rPr>
                      <w:sz w:val="16"/>
                      <w:szCs w:val="16"/>
                    </w:rPr>
                    <w:t xml:space="preserve">Hold: </w:t>
                  </w:r>
                  <w:r w:rsidR="00E15185">
                    <w:rPr>
                      <w:sz w:val="16"/>
                      <w:szCs w:val="16"/>
                    </w:rPr>
                    <w:t>5</w:t>
                  </w:r>
                </w:p>
              </w:tc>
              <w:tc>
                <w:tcPr>
                  <w:tcW w:w="1363" w:type="dxa"/>
                  <w:shd w:val="clear" w:color="auto" w:fill="DBE5F1" w:themeFill="accent1" w:themeFillTint="33"/>
                </w:tcPr>
                <w:p w14:paraId="1F373BED" w14:textId="365EECE5" w:rsidR="009F0D12" w:rsidRPr="00324315" w:rsidRDefault="009F0D12" w:rsidP="009F0D12">
                  <w:pPr>
                    <w:jc w:val="both"/>
                    <w:rPr>
                      <w:sz w:val="16"/>
                      <w:szCs w:val="16"/>
                    </w:rPr>
                  </w:pPr>
                  <w:r w:rsidRPr="00324315">
                    <w:rPr>
                      <w:sz w:val="16"/>
                      <w:szCs w:val="16"/>
                    </w:rPr>
                    <w:t xml:space="preserve">Sell: </w:t>
                  </w:r>
                  <w:r w:rsidR="00E15185">
                    <w:rPr>
                      <w:sz w:val="16"/>
                      <w:szCs w:val="16"/>
                    </w:rPr>
                    <w:t>0</w:t>
                  </w:r>
                </w:p>
              </w:tc>
            </w:tr>
          </w:tbl>
          <w:p w14:paraId="724FC07A" w14:textId="77777777" w:rsidR="009F0D12" w:rsidRPr="00324315" w:rsidRDefault="009F0D12" w:rsidP="009F0D12">
            <w:pPr>
              <w:jc w:val="both"/>
              <w:rPr>
                <w:sz w:val="16"/>
                <w:szCs w:val="16"/>
              </w:rPr>
            </w:pPr>
          </w:p>
          <w:tbl>
            <w:tblPr>
              <w:tblStyle w:val="TableGrid"/>
              <w:tblW w:w="4117" w:type="dxa"/>
              <w:tblLook w:val="04A0" w:firstRow="1" w:lastRow="0" w:firstColumn="1" w:lastColumn="0" w:noHBand="0" w:noVBand="1"/>
            </w:tblPr>
            <w:tblGrid>
              <w:gridCol w:w="1747"/>
              <w:gridCol w:w="999"/>
              <w:gridCol w:w="1371"/>
            </w:tblGrid>
            <w:tr w:rsidR="009F0D12" w:rsidRPr="00324315" w14:paraId="0A705346" w14:textId="77777777" w:rsidTr="00D363A8">
              <w:tc>
                <w:tcPr>
                  <w:tcW w:w="1800" w:type="dxa"/>
                  <w:shd w:val="clear" w:color="auto" w:fill="DBE5F1" w:themeFill="accent1" w:themeFillTint="33"/>
                </w:tcPr>
                <w:p w14:paraId="7897F5B6" w14:textId="77777777" w:rsidR="009F0D12" w:rsidRPr="00324315" w:rsidRDefault="009F0D12" w:rsidP="009F0D12">
                  <w:pPr>
                    <w:jc w:val="both"/>
                    <w:rPr>
                      <w:sz w:val="16"/>
                      <w:szCs w:val="16"/>
                    </w:rPr>
                  </w:pPr>
                </w:p>
              </w:tc>
              <w:tc>
                <w:tcPr>
                  <w:tcW w:w="900" w:type="dxa"/>
                  <w:shd w:val="clear" w:color="auto" w:fill="DBE5F1" w:themeFill="accent1" w:themeFillTint="33"/>
                </w:tcPr>
                <w:p w14:paraId="78BA4ECF" w14:textId="77777777" w:rsidR="009F0D12" w:rsidRPr="00324315" w:rsidRDefault="009F0D12" w:rsidP="009F0D12">
                  <w:pPr>
                    <w:jc w:val="both"/>
                    <w:rPr>
                      <w:sz w:val="16"/>
                      <w:szCs w:val="16"/>
                    </w:rPr>
                  </w:pPr>
                  <w:r w:rsidRPr="00324315">
                    <w:rPr>
                      <w:sz w:val="16"/>
                      <w:szCs w:val="16"/>
                    </w:rPr>
                    <w:t xml:space="preserve">Rating </w:t>
                  </w:r>
                </w:p>
              </w:tc>
              <w:tc>
                <w:tcPr>
                  <w:tcW w:w="1417" w:type="dxa"/>
                  <w:shd w:val="clear" w:color="auto" w:fill="DBE5F1" w:themeFill="accent1" w:themeFillTint="33"/>
                </w:tcPr>
                <w:p w14:paraId="1E6E599B" w14:textId="77777777" w:rsidR="009F0D12" w:rsidRPr="00324315" w:rsidRDefault="009F0D12" w:rsidP="009F0D12">
                  <w:pPr>
                    <w:jc w:val="both"/>
                    <w:rPr>
                      <w:sz w:val="16"/>
                      <w:szCs w:val="16"/>
                    </w:rPr>
                  </w:pPr>
                  <w:r w:rsidRPr="00324315">
                    <w:rPr>
                      <w:sz w:val="16"/>
                      <w:szCs w:val="16"/>
                    </w:rPr>
                    <w:t xml:space="preserve">Target </w:t>
                  </w:r>
                </w:p>
              </w:tc>
            </w:tr>
            <w:tr w:rsidR="009F0D12" w:rsidRPr="00324315" w14:paraId="18B2C8FA" w14:textId="77777777" w:rsidTr="00D363A8">
              <w:tc>
                <w:tcPr>
                  <w:tcW w:w="1800" w:type="dxa"/>
                </w:tcPr>
                <w:p w14:paraId="12374E3E" w14:textId="77777777" w:rsidR="009F0D12" w:rsidRPr="00324315" w:rsidRDefault="009F0D12" w:rsidP="009F0D12">
                  <w:pPr>
                    <w:jc w:val="both"/>
                    <w:rPr>
                      <w:sz w:val="16"/>
                      <w:szCs w:val="16"/>
                    </w:rPr>
                  </w:pPr>
                  <w:r w:rsidRPr="00324315">
                    <w:rPr>
                      <w:sz w:val="16"/>
                      <w:szCs w:val="16"/>
                    </w:rPr>
                    <w:t xml:space="preserve">S&amp;P Net Advantage </w:t>
                  </w:r>
                </w:p>
              </w:tc>
              <w:tc>
                <w:tcPr>
                  <w:tcW w:w="900" w:type="dxa"/>
                </w:tcPr>
                <w:p w14:paraId="6EC161A2" w14:textId="4F9ABBD0" w:rsidR="009F0D12" w:rsidRPr="00324315" w:rsidRDefault="00216841" w:rsidP="009F0D12">
                  <w:pPr>
                    <w:jc w:val="both"/>
                    <w:rPr>
                      <w:sz w:val="16"/>
                      <w:szCs w:val="16"/>
                    </w:rPr>
                  </w:pPr>
                  <w:r w:rsidRPr="00324315">
                    <w:rPr>
                      <w:sz w:val="16"/>
                      <w:szCs w:val="16"/>
                    </w:rPr>
                    <w:t>4 Star</w:t>
                  </w:r>
                </w:p>
              </w:tc>
              <w:tc>
                <w:tcPr>
                  <w:tcW w:w="1417" w:type="dxa"/>
                </w:tcPr>
                <w:p w14:paraId="0BCB7E23" w14:textId="5D5E6D77" w:rsidR="009F0D12" w:rsidRPr="00324315" w:rsidRDefault="00E15185" w:rsidP="009F0D12">
                  <w:pPr>
                    <w:jc w:val="both"/>
                    <w:rPr>
                      <w:sz w:val="16"/>
                      <w:szCs w:val="16"/>
                    </w:rPr>
                  </w:pPr>
                  <w:r>
                    <w:rPr>
                      <w:sz w:val="16"/>
                      <w:szCs w:val="16"/>
                    </w:rPr>
                    <w:t>$120</w:t>
                  </w:r>
                </w:p>
              </w:tc>
            </w:tr>
            <w:tr w:rsidR="009F0D12" w:rsidRPr="00324315" w14:paraId="35B4D85C" w14:textId="77777777" w:rsidTr="00D363A8">
              <w:trPr>
                <w:trHeight w:val="215"/>
              </w:trPr>
              <w:tc>
                <w:tcPr>
                  <w:tcW w:w="1800" w:type="dxa"/>
                </w:tcPr>
                <w:p w14:paraId="1DD4E482" w14:textId="4558A51F" w:rsidR="009F0D12" w:rsidRPr="00324315" w:rsidRDefault="0029559F" w:rsidP="009F0D12">
                  <w:pPr>
                    <w:jc w:val="both"/>
                    <w:rPr>
                      <w:sz w:val="16"/>
                      <w:szCs w:val="16"/>
                    </w:rPr>
                  </w:pPr>
                  <w:r w:rsidRPr="00324315">
                    <w:rPr>
                      <w:sz w:val="16"/>
                      <w:szCs w:val="16"/>
                    </w:rPr>
                    <w:t>Morning Star</w:t>
                  </w:r>
                </w:p>
              </w:tc>
              <w:tc>
                <w:tcPr>
                  <w:tcW w:w="900" w:type="dxa"/>
                </w:tcPr>
                <w:p w14:paraId="0B4EFFDC" w14:textId="6D0D17DF" w:rsidR="009F0D12" w:rsidRPr="00324315" w:rsidRDefault="009F0D12" w:rsidP="009F0D12">
                  <w:pPr>
                    <w:jc w:val="both"/>
                    <w:rPr>
                      <w:sz w:val="16"/>
                      <w:szCs w:val="16"/>
                    </w:rPr>
                  </w:pPr>
                </w:p>
              </w:tc>
              <w:tc>
                <w:tcPr>
                  <w:tcW w:w="1417" w:type="dxa"/>
                </w:tcPr>
                <w:p w14:paraId="70BA49F9" w14:textId="2A59AF10" w:rsidR="009F0D12" w:rsidRPr="00324315" w:rsidRDefault="009F0D12" w:rsidP="009F0D12">
                  <w:pPr>
                    <w:jc w:val="both"/>
                    <w:rPr>
                      <w:sz w:val="16"/>
                      <w:szCs w:val="16"/>
                      <w:lang w:eastAsia="zh-CN"/>
                    </w:rPr>
                  </w:pPr>
                </w:p>
              </w:tc>
            </w:tr>
            <w:tr w:rsidR="009F0D12" w:rsidRPr="00324315" w14:paraId="0BBF9B66" w14:textId="77777777" w:rsidTr="00D363A8">
              <w:trPr>
                <w:trHeight w:val="215"/>
              </w:trPr>
              <w:tc>
                <w:tcPr>
                  <w:tcW w:w="1800" w:type="dxa"/>
                </w:tcPr>
                <w:p w14:paraId="0E7E15E7" w14:textId="50B93F2B" w:rsidR="009F0D12" w:rsidRPr="00324315" w:rsidRDefault="009F0D12" w:rsidP="009F0D12">
                  <w:pPr>
                    <w:jc w:val="both"/>
                    <w:rPr>
                      <w:sz w:val="16"/>
                      <w:szCs w:val="16"/>
                    </w:rPr>
                  </w:pPr>
                  <w:r w:rsidRPr="00324315">
                    <w:rPr>
                      <w:sz w:val="16"/>
                      <w:szCs w:val="16"/>
                    </w:rPr>
                    <w:t xml:space="preserve">Value Line </w:t>
                  </w:r>
                </w:p>
              </w:tc>
              <w:tc>
                <w:tcPr>
                  <w:tcW w:w="900" w:type="dxa"/>
                </w:tcPr>
                <w:p w14:paraId="161AF23F" w14:textId="66B49E83" w:rsidR="009F0D12" w:rsidRPr="00324315" w:rsidRDefault="007D12F0" w:rsidP="009F0D12">
                  <w:pPr>
                    <w:jc w:val="both"/>
                    <w:rPr>
                      <w:sz w:val="16"/>
                      <w:szCs w:val="16"/>
                    </w:rPr>
                  </w:pPr>
                  <w:r w:rsidRPr="00324315">
                    <w:rPr>
                      <w:sz w:val="16"/>
                      <w:szCs w:val="16"/>
                    </w:rPr>
                    <w:t>Timeliness</w:t>
                  </w:r>
                  <w:r w:rsidR="001D3CAE" w:rsidRPr="00324315">
                    <w:rPr>
                      <w:sz w:val="16"/>
                      <w:szCs w:val="16"/>
                    </w:rPr>
                    <w:t>2</w:t>
                  </w:r>
                </w:p>
              </w:tc>
              <w:tc>
                <w:tcPr>
                  <w:tcW w:w="1417" w:type="dxa"/>
                </w:tcPr>
                <w:p w14:paraId="22CC1EA0" w14:textId="53EB945D" w:rsidR="009F0D12" w:rsidRPr="00324315" w:rsidRDefault="00E15185" w:rsidP="009F0D12">
                  <w:pPr>
                    <w:jc w:val="both"/>
                    <w:rPr>
                      <w:sz w:val="16"/>
                      <w:szCs w:val="16"/>
                    </w:rPr>
                  </w:pPr>
                  <w:r>
                    <w:rPr>
                      <w:sz w:val="16"/>
                      <w:szCs w:val="16"/>
                    </w:rPr>
                    <w:t>$110-135</w:t>
                  </w:r>
                </w:p>
              </w:tc>
            </w:tr>
          </w:tbl>
          <w:p w14:paraId="577D83D9" w14:textId="77777777" w:rsidR="002D3CFC" w:rsidRPr="00324315" w:rsidRDefault="002D3CFC" w:rsidP="00443ED9">
            <w:pPr>
              <w:jc w:val="both"/>
              <w:rPr>
                <w:sz w:val="16"/>
                <w:szCs w:val="16"/>
              </w:rPr>
            </w:pPr>
          </w:p>
        </w:tc>
      </w:tr>
    </w:tbl>
    <w:p w14:paraId="2B589A9D" w14:textId="77777777" w:rsidR="00830F06" w:rsidRPr="00324315" w:rsidRDefault="00830F06" w:rsidP="00443ED9">
      <w:pPr>
        <w:ind w:left="-1440"/>
        <w:jc w:val="both"/>
        <w:rPr>
          <w:b/>
          <w:sz w:val="16"/>
          <w:szCs w:val="16"/>
        </w:rPr>
      </w:pPr>
    </w:p>
    <w:tbl>
      <w:tblPr>
        <w:tblStyle w:val="TableGrid"/>
        <w:tblW w:w="11808" w:type="dxa"/>
        <w:tblInd w:w="-1440" w:type="dxa"/>
        <w:tblLook w:val="04A0" w:firstRow="1" w:lastRow="0" w:firstColumn="1" w:lastColumn="0" w:noHBand="0" w:noVBand="1"/>
      </w:tblPr>
      <w:tblGrid>
        <w:gridCol w:w="7473"/>
        <w:gridCol w:w="4392"/>
      </w:tblGrid>
      <w:tr w:rsidR="004F2EAA" w:rsidRPr="00324315" w14:paraId="660DEC2C" w14:textId="77777777" w:rsidTr="00034A52">
        <w:tc>
          <w:tcPr>
            <w:tcW w:w="7488" w:type="dxa"/>
            <w:shd w:val="clear" w:color="auto" w:fill="365F91" w:themeFill="accent1" w:themeFillShade="BF"/>
          </w:tcPr>
          <w:p w14:paraId="1BAF6900" w14:textId="27A2E398" w:rsidR="004F2EAA" w:rsidRPr="00324315" w:rsidRDefault="004F2EAA" w:rsidP="004F2EAA">
            <w:pPr>
              <w:rPr>
                <w:b/>
                <w:color w:val="FFFFFF" w:themeColor="background1"/>
                <w:sz w:val="16"/>
                <w:szCs w:val="16"/>
              </w:rPr>
            </w:pPr>
            <w:r w:rsidRPr="00324315">
              <w:rPr>
                <w:b/>
                <w:color w:val="FFFFFF" w:themeColor="background1"/>
                <w:sz w:val="16"/>
                <w:szCs w:val="16"/>
              </w:rPr>
              <w:t>Relative Valuation</w:t>
            </w:r>
          </w:p>
        </w:tc>
        <w:tc>
          <w:tcPr>
            <w:tcW w:w="4320" w:type="dxa"/>
            <w:shd w:val="clear" w:color="auto" w:fill="365F91" w:themeFill="accent1" w:themeFillShade="BF"/>
          </w:tcPr>
          <w:p w14:paraId="335BDBD9" w14:textId="160EB620" w:rsidR="004F2EAA" w:rsidRPr="00324315" w:rsidRDefault="000E0407" w:rsidP="0010720B">
            <w:pPr>
              <w:jc w:val="both"/>
              <w:rPr>
                <w:b/>
                <w:color w:val="FFFFFF" w:themeColor="background1"/>
                <w:sz w:val="16"/>
                <w:szCs w:val="16"/>
              </w:rPr>
            </w:pPr>
            <w:r w:rsidRPr="00324315">
              <w:rPr>
                <w:b/>
                <w:color w:val="FFFFFF" w:themeColor="background1"/>
                <w:sz w:val="16"/>
                <w:szCs w:val="16"/>
              </w:rPr>
              <w:t>Total Return</w:t>
            </w:r>
          </w:p>
        </w:tc>
      </w:tr>
      <w:tr w:rsidR="004F2EAA" w:rsidRPr="00324315" w14:paraId="2AA141CB" w14:textId="77777777" w:rsidTr="00DF0D9C">
        <w:trPr>
          <w:trHeight w:val="2591"/>
        </w:trPr>
        <w:tc>
          <w:tcPr>
            <w:tcW w:w="7488" w:type="dxa"/>
          </w:tcPr>
          <w:p w14:paraId="3F2A33BE" w14:textId="77777777" w:rsidR="004F2EAA" w:rsidRPr="00324315" w:rsidRDefault="004F2EAA" w:rsidP="0010720B">
            <w:pPr>
              <w:jc w:val="both"/>
              <w:rPr>
                <w:b/>
                <w:sz w:val="16"/>
                <w:szCs w:val="16"/>
              </w:rPr>
            </w:pPr>
          </w:p>
          <w:tbl>
            <w:tblPr>
              <w:tblStyle w:val="TableGrid"/>
              <w:tblW w:w="7247" w:type="dxa"/>
              <w:tblLook w:val="04A0" w:firstRow="1" w:lastRow="0" w:firstColumn="1" w:lastColumn="0" w:noHBand="0" w:noVBand="1"/>
            </w:tblPr>
            <w:tblGrid>
              <w:gridCol w:w="1521"/>
              <w:gridCol w:w="1048"/>
              <w:gridCol w:w="1134"/>
              <w:gridCol w:w="1134"/>
              <w:gridCol w:w="1178"/>
              <w:gridCol w:w="1232"/>
            </w:tblGrid>
            <w:tr w:rsidR="008C5D56" w:rsidRPr="00324315" w14:paraId="03A7F5D8" w14:textId="77777777" w:rsidTr="00E21663">
              <w:tc>
                <w:tcPr>
                  <w:tcW w:w="1521" w:type="dxa"/>
                  <w:shd w:val="clear" w:color="auto" w:fill="DBE5F1" w:themeFill="accent1" w:themeFillTint="33"/>
                </w:tcPr>
                <w:p w14:paraId="18F981FE" w14:textId="77777777" w:rsidR="008C5D56" w:rsidRPr="00324315" w:rsidRDefault="008C5D56" w:rsidP="008C5D56">
                  <w:pPr>
                    <w:rPr>
                      <w:sz w:val="16"/>
                      <w:szCs w:val="16"/>
                    </w:rPr>
                  </w:pPr>
                  <w:r w:rsidRPr="00324315">
                    <w:rPr>
                      <w:sz w:val="16"/>
                      <w:szCs w:val="16"/>
                    </w:rPr>
                    <w:t>FY2014</w:t>
                  </w:r>
                </w:p>
              </w:tc>
              <w:tc>
                <w:tcPr>
                  <w:tcW w:w="1048" w:type="dxa"/>
                  <w:shd w:val="clear" w:color="auto" w:fill="DBE5F1" w:themeFill="accent1" w:themeFillTint="33"/>
                  <w:vAlign w:val="bottom"/>
                </w:tcPr>
                <w:p w14:paraId="36FCBD39" w14:textId="3DE24DAD" w:rsidR="008C5D56" w:rsidRPr="00324315" w:rsidRDefault="00490C01" w:rsidP="008C5D56">
                  <w:pPr>
                    <w:jc w:val="center"/>
                    <w:rPr>
                      <w:sz w:val="16"/>
                      <w:szCs w:val="16"/>
                    </w:rPr>
                  </w:pPr>
                  <w:r>
                    <w:rPr>
                      <w:rFonts w:cs="Arial"/>
                      <w:sz w:val="16"/>
                      <w:szCs w:val="16"/>
                    </w:rPr>
                    <w:t>Hanwha Techwin Co</w:t>
                  </w:r>
                </w:p>
              </w:tc>
              <w:tc>
                <w:tcPr>
                  <w:tcW w:w="1134" w:type="dxa"/>
                  <w:shd w:val="clear" w:color="auto" w:fill="DBE5F1" w:themeFill="accent1" w:themeFillTint="33"/>
                  <w:vAlign w:val="bottom"/>
                </w:tcPr>
                <w:p w14:paraId="18F40648" w14:textId="2D30264A" w:rsidR="008C5D56" w:rsidRPr="00324315" w:rsidRDefault="00490C01" w:rsidP="008C5D56">
                  <w:pPr>
                    <w:jc w:val="center"/>
                    <w:rPr>
                      <w:sz w:val="16"/>
                      <w:szCs w:val="16"/>
                    </w:rPr>
                  </w:pPr>
                  <w:r>
                    <w:rPr>
                      <w:rFonts w:cs="Arial"/>
                      <w:sz w:val="16"/>
                      <w:szCs w:val="16"/>
                    </w:rPr>
                    <w:t>United Technologies</w:t>
                  </w:r>
                </w:p>
              </w:tc>
              <w:tc>
                <w:tcPr>
                  <w:tcW w:w="1134" w:type="dxa"/>
                  <w:shd w:val="clear" w:color="auto" w:fill="DBE5F1" w:themeFill="accent1" w:themeFillTint="33"/>
                  <w:vAlign w:val="bottom"/>
                </w:tcPr>
                <w:p w14:paraId="64A1B213" w14:textId="549346D8" w:rsidR="008C5D56" w:rsidRPr="00324315" w:rsidRDefault="00490C01" w:rsidP="008C5D56">
                  <w:pPr>
                    <w:jc w:val="center"/>
                    <w:rPr>
                      <w:sz w:val="16"/>
                      <w:szCs w:val="16"/>
                    </w:rPr>
                  </w:pPr>
                  <w:r>
                    <w:rPr>
                      <w:rFonts w:cs="Arial"/>
                      <w:sz w:val="16"/>
                      <w:szCs w:val="16"/>
                    </w:rPr>
                    <w:t>Jiangsu Leike Defense</w:t>
                  </w:r>
                </w:p>
              </w:tc>
              <w:tc>
                <w:tcPr>
                  <w:tcW w:w="1178" w:type="dxa"/>
                  <w:shd w:val="clear" w:color="auto" w:fill="DBE5F1" w:themeFill="accent1" w:themeFillTint="33"/>
                  <w:vAlign w:val="bottom"/>
                </w:tcPr>
                <w:p w14:paraId="2A396C67" w14:textId="2F5CC20E" w:rsidR="008C5D56" w:rsidRPr="00324315" w:rsidRDefault="008C5D56" w:rsidP="008C5D56">
                  <w:pPr>
                    <w:jc w:val="center"/>
                    <w:rPr>
                      <w:sz w:val="16"/>
                      <w:szCs w:val="16"/>
                    </w:rPr>
                  </w:pPr>
                  <w:r w:rsidRPr="00324315">
                    <w:rPr>
                      <w:rFonts w:cs="Arial"/>
                      <w:sz w:val="16"/>
                      <w:szCs w:val="16"/>
                    </w:rPr>
                    <w:t>Industry</w:t>
                  </w:r>
                </w:p>
              </w:tc>
              <w:tc>
                <w:tcPr>
                  <w:tcW w:w="1232" w:type="dxa"/>
                  <w:shd w:val="clear" w:color="auto" w:fill="DBE5F1" w:themeFill="accent1" w:themeFillTint="33"/>
                  <w:vAlign w:val="bottom"/>
                </w:tcPr>
                <w:p w14:paraId="78007BAA" w14:textId="7E3A8870" w:rsidR="008C5D56" w:rsidRPr="00324315" w:rsidRDefault="00490C01" w:rsidP="008C5D56">
                  <w:pPr>
                    <w:jc w:val="center"/>
                    <w:rPr>
                      <w:sz w:val="16"/>
                      <w:szCs w:val="16"/>
                      <w:lang w:eastAsia="zh-CN"/>
                    </w:rPr>
                  </w:pPr>
                  <w:r>
                    <w:rPr>
                      <w:rFonts w:cs="Arial"/>
                      <w:sz w:val="16"/>
                      <w:szCs w:val="16"/>
                    </w:rPr>
                    <w:t>Honeywell International Inc.</w:t>
                  </w:r>
                </w:p>
              </w:tc>
            </w:tr>
            <w:tr w:rsidR="00752BF4" w:rsidRPr="00324315" w14:paraId="5DA42BF7" w14:textId="77777777" w:rsidTr="007D4DEC">
              <w:tc>
                <w:tcPr>
                  <w:tcW w:w="1521" w:type="dxa"/>
                </w:tcPr>
                <w:p w14:paraId="5D8F0BAD" w14:textId="77777777" w:rsidR="00752BF4" w:rsidRPr="00324315" w:rsidRDefault="00752BF4" w:rsidP="00752BF4">
                  <w:pPr>
                    <w:rPr>
                      <w:sz w:val="16"/>
                      <w:szCs w:val="16"/>
                    </w:rPr>
                  </w:pPr>
                  <w:r w:rsidRPr="00324315">
                    <w:rPr>
                      <w:sz w:val="16"/>
                      <w:szCs w:val="16"/>
                    </w:rPr>
                    <w:t>P/E</w:t>
                  </w:r>
                </w:p>
              </w:tc>
              <w:tc>
                <w:tcPr>
                  <w:tcW w:w="1048" w:type="dxa"/>
                  <w:vAlign w:val="bottom"/>
                </w:tcPr>
                <w:p w14:paraId="53BFCC21" w14:textId="0DEC4D73" w:rsidR="00752BF4" w:rsidRPr="00324315" w:rsidRDefault="00490C01" w:rsidP="00752BF4">
                  <w:pPr>
                    <w:jc w:val="center"/>
                    <w:rPr>
                      <w:sz w:val="16"/>
                      <w:szCs w:val="16"/>
                    </w:rPr>
                  </w:pPr>
                  <w:r>
                    <w:rPr>
                      <w:rFonts w:cs="Arial"/>
                      <w:sz w:val="16"/>
                      <w:szCs w:val="16"/>
                    </w:rPr>
                    <w:t>-</w:t>
                  </w:r>
                </w:p>
              </w:tc>
              <w:tc>
                <w:tcPr>
                  <w:tcW w:w="1134" w:type="dxa"/>
                  <w:vAlign w:val="bottom"/>
                </w:tcPr>
                <w:p w14:paraId="0006F77E" w14:textId="28588C7E" w:rsidR="00752BF4" w:rsidRPr="00324315" w:rsidRDefault="005E2672" w:rsidP="00752BF4">
                  <w:pPr>
                    <w:jc w:val="center"/>
                    <w:rPr>
                      <w:sz w:val="16"/>
                      <w:szCs w:val="16"/>
                    </w:rPr>
                  </w:pPr>
                  <w:r>
                    <w:rPr>
                      <w:rFonts w:cs="Arial"/>
                      <w:sz w:val="16"/>
                      <w:szCs w:val="16"/>
                    </w:rPr>
                    <w:t>13.06</w:t>
                  </w:r>
                </w:p>
              </w:tc>
              <w:tc>
                <w:tcPr>
                  <w:tcW w:w="1134" w:type="dxa"/>
                  <w:vAlign w:val="bottom"/>
                </w:tcPr>
                <w:p w14:paraId="265146A9" w14:textId="0F986D4C" w:rsidR="00752BF4" w:rsidRPr="00324315" w:rsidRDefault="005E2672" w:rsidP="00752BF4">
                  <w:pPr>
                    <w:jc w:val="center"/>
                    <w:rPr>
                      <w:sz w:val="16"/>
                      <w:szCs w:val="16"/>
                    </w:rPr>
                  </w:pPr>
                  <w:r>
                    <w:rPr>
                      <w:rFonts w:cs="Arial"/>
                      <w:sz w:val="16"/>
                      <w:szCs w:val="16"/>
                    </w:rPr>
                    <w:t>213.76</w:t>
                  </w:r>
                </w:p>
              </w:tc>
              <w:tc>
                <w:tcPr>
                  <w:tcW w:w="1178" w:type="dxa"/>
                  <w:vAlign w:val="bottom"/>
                </w:tcPr>
                <w:p w14:paraId="1710897B" w14:textId="49D35150" w:rsidR="00752BF4" w:rsidRPr="00324315" w:rsidRDefault="00490C01" w:rsidP="00752BF4">
                  <w:pPr>
                    <w:jc w:val="center"/>
                    <w:rPr>
                      <w:sz w:val="16"/>
                      <w:szCs w:val="16"/>
                    </w:rPr>
                  </w:pPr>
                  <w:r>
                    <w:rPr>
                      <w:rFonts w:cs="Arial"/>
                      <w:sz w:val="16"/>
                      <w:szCs w:val="16"/>
                    </w:rPr>
                    <w:t>41.08</w:t>
                  </w:r>
                </w:p>
              </w:tc>
              <w:tc>
                <w:tcPr>
                  <w:tcW w:w="1232" w:type="dxa"/>
                  <w:vAlign w:val="bottom"/>
                </w:tcPr>
                <w:p w14:paraId="7076EAC1" w14:textId="2C243FF5" w:rsidR="00752BF4" w:rsidRPr="00324315" w:rsidRDefault="00490C01" w:rsidP="00752BF4">
                  <w:pPr>
                    <w:jc w:val="center"/>
                    <w:rPr>
                      <w:sz w:val="16"/>
                      <w:szCs w:val="16"/>
                    </w:rPr>
                  </w:pPr>
                  <w:r>
                    <w:rPr>
                      <w:rFonts w:cs="Arial"/>
                      <w:sz w:val="16"/>
                      <w:szCs w:val="16"/>
                    </w:rPr>
                    <w:t>15.77</w:t>
                  </w:r>
                </w:p>
              </w:tc>
            </w:tr>
            <w:tr w:rsidR="00752BF4" w:rsidRPr="00324315" w14:paraId="3CF28431" w14:textId="77777777" w:rsidTr="007D4DEC">
              <w:tc>
                <w:tcPr>
                  <w:tcW w:w="1521" w:type="dxa"/>
                </w:tcPr>
                <w:p w14:paraId="7E3790DF" w14:textId="77777777" w:rsidR="00752BF4" w:rsidRPr="00324315" w:rsidRDefault="00752BF4" w:rsidP="00752BF4">
                  <w:pPr>
                    <w:rPr>
                      <w:sz w:val="16"/>
                      <w:szCs w:val="16"/>
                    </w:rPr>
                  </w:pPr>
                  <w:r w:rsidRPr="00324315">
                    <w:rPr>
                      <w:sz w:val="16"/>
                      <w:szCs w:val="16"/>
                    </w:rPr>
                    <w:t>P/B</w:t>
                  </w:r>
                </w:p>
              </w:tc>
              <w:tc>
                <w:tcPr>
                  <w:tcW w:w="1048" w:type="dxa"/>
                  <w:vAlign w:val="bottom"/>
                </w:tcPr>
                <w:p w14:paraId="34BDBBAA" w14:textId="6C60EAA7" w:rsidR="00752BF4" w:rsidRPr="00324315" w:rsidRDefault="00490C01" w:rsidP="00752BF4">
                  <w:pPr>
                    <w:jc w:val="center"/>
                    <w:rPr>
                      <w:sz w:val="16"/>
                      <w:szCs w:val="16"/>
                    </w:rPr>
                  </w:pPr>
                  <w:r>
                    <w:rPr>
                      <w:rFonts w:cs="Arial"/>
                      <w:sz w:val="16"/>
                      <w:szCs w:val="16"/>
                    </w:rPr>
                    <w:t>0.95</w:t>
                  </w:r>
                </w:p>
              </w:tc>
              <w:tc>
                <w:tcPr>
                  <w:tcW w:w="1134" w:type="dxa"/>
                  <w:vAlign w:val="bottom"/>
                </w:tcPr>
                <w:p w14:paraId="6DD53DF3" w14:textId="75406301" w:rsidR="00752BF4" w:rsidRPr="00324315" w:rsidRDefault="005E2672" w:rsidP="00752BF4">
                  <w:pPr>
                    <w:jc w:val="center"/>
                    <w:rPr>
                      <w:sz w:val="16"/>
                      <w:szCs w:val="16"/>
                    </w:rPr>
                  </w:pPr>
                  <w:r>
                    <w:rPr>
                      <w:rFonts w:cs="Arial"/>
                      <w:sz w:val="16"/>
                      <w:szCs w:val="16"/>
                    </w:rPr>
                    <w:t>2.82</w:t>
                  </w:r>
                </w:p>
              </w:tc>
              <w:tc>
                <w:tcPr>
                  <w:tcW w:w="1134" w:type="dxa"/>
                  <w:vAlign w:val="bottom"/>
                </w:tcPr>
                <w:p w14:paraId="28B68146" w14:textId="218C0037" w:rsidR="00752BF4" w:rsidRPr="00324315" w:rsidRDefault="005E2672" w:rsidP="00752BF4">
                  <w:pPr>
                    <w:jc w:val="center"/>
                    <w:rPr>
                      <w:sz w:val="16"/>
                      <w:szCs w:val="16"/>
                    </w:rPr>
                  </w:pPr>
                  <w:r>
                    <w:rPr>
                      <w:rFonts w:cs="Arial"/>
                      <w:sz w:val="16"/>
                      <w:szCs w:val="16"/>
                    </w:rPr>
                    <w:t>6.25</w:t>
                  </w:r>
                </w:p>
              </w:tc>
              <w:tc>
                <w:tcPr>
                  <w:tcW w:w="1178" w:type="dxa"/>
                  <w:vAlign w:val="bottom"/>
                </w:tcPr>
                <w:p w14:paraId="7C8A26C7" w14:textId="0DE42D3F" w:rsidR="00752BF4" w:rsidRPr="00324315" w:rsidRDefault="00490C01" w:rsidP="00752BF4">
                  <w:pPr>
                    <w:jc w:val="center"/>
                    <w:rPr>
                      <w:sz w:val="16"/>
                      <w:szCs w:val="16"/>
                    </w:rPr>
                  </w:pPr>
                  <w:r>
                    <w:rPr>
                      <w:rFonts w:cs="Arial"/>
                      <w:sz w:val="16"/>
                      <w:szCs w:val="16"/>
                    </w:rPr>
                    <w:t>2.85</w:t>
                  </w:r>
                </w:p>
              </w:tc>
              <w:tc>
                <w:tcPr>
                  <w:tcW w:w="1232" w:type="dxa"/>
                  <w:vAlign w:val="bottom"/>
                </w:tcPr>
                <w:p w14:paraId="5AFEA404" w14:textId="410BB3B9" w:rsidR="00752BF4" w:rsidRPr="00324315" w:rsidRDefault="00490C01" w:rsidP="00752BF4">
                  <w:pPr>
                    <w:jc w:val="center"/>
                    <w:rPr>
                      <w:sz w:val="16"/>
                      <w:szCs w:val="16"/>
                    </w:rPr>
                  </w:pPr>
                  <w:r>
                    <w:rPr>
                      <w:rFonts w:cs="Arial"/>
                      <w:sz w:val="16"/>
                      <w:szCs w:val="16"/>
                    </w:rPr>
                    <w:t>4.29</w:t>
                  </w:r>
                </w:p>
              </w:tc>
            </w:tr>
            <w:tr w:rsidR="00752BF4" w:rsidRPr="00324315" w14:paraId="0617F604" w14:textId="77777777" w:rsidTr="007D4DEC">
              <w:tc>
                <w:tcPr>
                  <w:tcW w:w="1521" w:type="dxa"/>
                </w:tcPr>
                <w:p w14:paraId="3EC6238B" w14:textId="77777777" w:rsidR="00752BF4" w:rsidRPr="00324315" w:rsidRDefault="00752BF4" w:rsidP="00752BF4">
                  <w:pPr>
                    <w:rPr>
                      <w:sz w:val="16"/>
                      <w:szCs w:val="16"/>
                    </w:rPr>
                  </w:pPr>
                  <w:r w:rsidRPr="00324315">
                    <w:rPr>
                      <w:sz w:val="16"/>
                      <w:szCs w:val="16"/>
                    </w:rPr>
                    <w:t xml:space="preserve">Dividend Yield </w:t>
                  </w:r>
                </w:p>
              </w:tc>
              <w:tc>
                <w:tcPr>
                  <w:tcW w:w="1048" w:type="dxa"/>
                  <w:vAlign w:val="bottom"/>
                </w:tcPr>
                <w:p w14:paraId="524E59DF" w14:textId="53E2BB06" w:rsidR="00752BF4" w:rsidRPr="00324315" w:rsidRDefault="00490C01" w:rsidP="00752BF4">
                  <w:pPr>
                    <w:jc w:val="center"/>
                    <w:rPr>
                      <w:sz w:val="16"/>
                      <w:szCs w:val="16"/>
                    </w:rPr>
                  </w:pPr>
                  <w:r>
                    <w:rPr>
                      <w:rFonts w:cs="Arial"/>
                      <w:sz w:val="16"/>
                      <w:szCs w:val="16"/>
                    </w:rPr>
                    <w:t>-</w:t>
                  </w:r>
                </w:p>
              </w:tc>
              <w:tc>
                <w:tcPr>
                  <w:tcW w:w="1134" w:type="dxa"/>
                  <w:vAlign w:val="bottom"/>
                </w:tcPr>
                <w:p w14:paraId="22DA99B4" w14:textId="5799D347" w:rsidR="00752BF4" w:rsidRPr="00324315" w:rsidRDefault="005E2672" w:rsidP="00752BF4">
                  <w:pPr>
                    <w:jc w:val="center"/>
                    <w:rPr>
                      <w:sz w:val="16"/>
                      <w:szCs w:val="16"/>
                    </w:rPr>
                  </w:pPr>
                  <w:r>
                    <w:rPr>
                      <w:rFonts w:cs="Arial"/>
                      <w:sz w:val="16"/>
                      <w:szCs w:val="16"/>
                    </w:rPr>
                    <w:t>2.94</w:t>
                  </w:r>
                </w:p>
              </w:tc>
              <w:tc>
                <w:tcPr>
                  <w:tcW w:w="1134" w:type="dxa"/>
                  <w:vAlign w:val="bottom"/>
                </w:tcPr>
                <w:p w14:paraId="37475220" w14:textId="613CA936" w:rsidR="00752BF4" w:rsidRPr="00324315" w:rsidRDefault="005E2672" w:rsidP="00752BF4">
                  <w:pPr>
                    <w:jc w:val="center"/>
                    <w:rPr>
                      <w:sz w:val="16"/>
                      <w:szCs w:val="16"/>
                    </w:rPr>
                  </w:pPr>
                  <w:r>
                    <w:rPr>
                      <w:rFonts w:cs="Arial"/>
                      <w:sz w:val="16"/>
                      <w:szCs w:val="16"/>
                    </w:rPr>
                    <w:t>0</w:t>
                  </w:r>
                </w:p>
              </w:tc>
              <w:tc>
                <w:tcPr>
                  <w:tcW w:w="1178" w:type="dxa"/>
                  <w:vAlign w:val="bottom"/>
                </w:tcPr>
                <w:p w14:paraId="46267742" w14:textId="2B7C6EDB" w:rsidR="00752BF4" w:rsidRPr="00324315" w:rsidRDefault="00490C01" w:rsidP="00752BF4">
                  <w:pPr>
                    <w:jc w:val="center"/>
                    <w:rPr>
                      <w:sz w:val="16"/>
                      <w:szCs w:val="16"/>
                    </w:rPr>
                  </w:pPr>
                  <w:r>
                    <w:rPr>
                      <w:rFonts w:cs="Arial"/>
                      <w:sz w:val="16"/>
                      <w:szCs w:val="16"/>
                    </w:rPr>
                    <w:t>1.51%</w:t>
                  </w:r>
                </w:p>
              </w:tc>
              <w:tc>
                <w:tcPr>
                  <w:tcW w:w="1232" w:type="dxa"/>
                  <w:vAlign w:val="bottom"/>
                </w:tcPr>
                <w:p w14:paraId="4CB9EC74" w14:textId="3F650202" w:rsidR="00752BF4" w:rsidRPr="00324315" w:rsidRDefault="00490C01" w:rsidP="00752BF4">
                  <w:pPr>
                    <w:jc w:val="center"/>
                    <w:rPr>
                      <w:sz w:val="16"/>
                      <w:szCs w:val="16"/>
                    </w:rPr>
                  </w:pPr>
                  <w:r>
                    <w:rPr>
                      <w:rFonts w:cs="Arial"/>
                      <w:sz w:val="16"/>
                      <w:szCs w:val="16"/>
                    </w:rPr>
                    <w:t>2.02</w:t>
                  </w:r>
                </w:p>
              </w:tc>
            </w:tr>
            <w:tr w:rsidR="00752BF4" w:rsidRPr="00324315" w14:paraId="4505851E" w14:textId="77777777" w:rsidTr="007D4DEC">
              <w:tc>
                <w:tcPr>
                  <w:tcW w:w="1521" w:type="dxa"/>
                </w:tcPr>
                <w:p w14:paraId="6045AE39" w14:textId="77777777" w:rsidR="00752BF4" w:rsidRPr="00324315" w:rsidRDefault="00752BF4" w:rsidP="00752BF4">
                  <w:pPr>
                    <w:rPr>
                      <w:sz w:val="16"/>
                      <w:szCs w:val="16"/>
                    </w:rPr>
                  </w:pPr>
                  <w:r w:rsidRPr="00324315">
                    <w:rPr>
                      <w:sz w:val="16"/>
                      <w:szCs w:val="16"/>
                    </w:rPr>
                    <w:t xml:space="preserve">PEG Ratio </w:t>
                  </w:r>
                </w:p>
              </w:tc>
              <w:tc>
                <w:tcPr>
                  <w:tcW w:w="1048" w:type="dxa"/>
                  <w:vAlign w:val="bottom"/>
                </w:tcPr>
                <w:p w14:paraId="6C39B871" w14:textId="41E1EA7E" w:rsidR="00752BF4" w:rsidRPr="00324315" w:rsidRDefault="00490C01" w:rsidP="00752BF4">
                  <w:pPr>
                    <w:jc w:val="center"/>
                    <w:rPr>
                      <w:sz w:val="16"/>
                      <w:szCs w:val="16"/>
                    </w:rPr>
                  </w:pPr>
                  <w:r>
                    <w:rPr>
                      <w:rFonts w:cs="Arial"/>
                      <w:sz w:val="16"/>
                      <w:szCs w:val="16"/>
                    </w:rPr>
                    <w:t>-</w:t>
                  </w:r>
                </w:p>
              </w:tc>
              <w:tc>
                <w:tcPr>
                  <w:tcW w:w="1134" w:type="dxa"/>
                  <w:vAlign w:val="bottom"/>
                </w:tcPr>
                <w:p w14:paraId="7D65AAED" w14:textId="3863E303" w:rsidR="00752BF4" w:rsidRPr="00324315" w:rsidRDefault="005E2672" w:rsidP="00752BF4">
                  <w:pPr>
                    <w:jc w:val="center"/>
                    <w:rPr>
                      <w:sz w:val="16"/>
                      <w:szCs w:val="16"/>
                    </w:rPr>
                  </w:pPr>
                  <w:r>
                    <w:rPr>
                      <w:rFonts w:cs="Arial"/>
                      <w:sz w:val="16"/>
                      <w:szCs w:val="16"/>
                    </w:rPr>
                    <w:t>1.49</w:t>
                  </w:r>
                </w:p>
              </w:tc>
              <w:tc>
                <w:tcPr>
                  <w:tcW w:w="1134" w:type="dxa"/>
                  <w:vAlign w:val="bottom"/>
                </w:tcPr>
                <w:p w14:paraId="405B4B3F" w14:textId="538F4FA4" w:rsidR="00752BF4" w:rsidRPr="00324315" w:rsidRDefault="005E2672" w:rsidP="00752BF4">
                  <w:pPr>
                    <w:jc w:val="center"/>
                    <w:rPr>
                      <w:sz w:val="16"/>
                      <w:szCs w:val="16"/>
                    </w:rPr>
                  </w:pPr>
                  <w:r>
                    <w:rPr>
                      <w:rFonts w:cs="Arial"/>
                      <w:sz w:val="16"/>
                      <w:szCs w:val="16"/>
                    </w:rPr>
                    <w:t>-</w:t>
                  </w:r>
                </w:p>
              </w:tc>
              <w:tc>
                <w:tcPr>
                  <w:tcW w:w="1178" w:type="dxa"/>
                  <w:vAlign w:val="bottom"/>
                </w:tcPr>
                <w:p w14:paraId="09628130" w14:textId="53ECAF86" w:rsidR="00752BF4" w:rsidRPr="00324315" w:rsidRDefault="00490C01" w:rsidP="00752BF4">
                  <w:pPr>
                    <w:jc w:val="center"/>
                    <w:rPr>
                      <w:sz w:val="16"/>
                      <w:szCs w:val="16"/>
                    </w:rPr>
                  </w:pPr>
                  <w:r>
                    <w:rPr>
                      <w:rFonts w:cs="Arial"/>
                      <w:sz w:val="16"/>
                      <w:szCs w:val="16"/>
                    </w:rPr>
                    <w:t>1.54</w:t>
                  </w:r>
                </w:p>
              </w:tc>
              <w:tc>
                <w:tcPr>
                  <w:tcW w:w="1232" w:type="dxa"/>
                  <w:vAlign w:val="bottom"/>
                </w:tcPr>
                <w:p w14:paraId="2302C4FD" w14:textId="38E2F185" w:rsidR="00752BF4" w:rsidRPr="00324315" w:rsidRDefault="00490C01" w:rsidP="00752BF4">
                  <w:pPr>
                    <w:jc w:val="center"/>
                    <w:rPr>
                      <w:sz w:val="16"/>
                      <w:szCs w:val="16"/>
                    </w:rPr>
                  </w:pPr>
                  <w:r>
                    <w:rPr>
                      <w:rFonts w:cs="Arial"/>
                      <w:sz w:val="16"/>
                      <w:szCs w:val="16"/>
                    </w:rPr>
                    <w:t>1.49</w:t>
                  </w:r>
                </w:p>
              </w:tc>
            </w:tr>
            <w:tr w:rsidR="00752BF4" w:rsidRPr="00324315" w14:paraId="06FF3325" w14:textId="77777777" w:rsidTr="007D4DEC">
              <w:tc>
                <w:tcPr>
                  <w:tcW w:w="1521" w:type="dxa"/>
                </w:tcPr>
                <w:p w14:paraId="7FD0AD7B" w14:textId="77777777" w:rsidR="00752BF4" w:rsidRPr="00324315" w:rsidRDefault="00752BF4" w:rsidP="00752BF4">
                  <w:pPr>
                    <w:rPr>
                      <w:sz w:val="16"/>
                      <w:szCs w:val="16"/>
                    </w:rPr>
                  </w:pPr>
                  <w:r w:rsidRPr="00324315">
                    <w:rPr>
                      <w:sz w:val="16"/>
                      <w:szCs w:val="16"/>
                    </w:rPr>
                    <w:t>EPS</w:t>
                  </w:r>
                </w:p>
              </w:tc>
              <w:tc>
                <w:tcPr>
                  <w:tcW w:w="1048" w:type="dxa"/>
                  <w:vAlign w:val="bottom"/>
                </w:tcPr>
                <w:p w14:paraId="039C42DF" w14:textId="554F40B1" w:rsidR="00752BF4" w:rsidRPr="00324315" w:rsidRDefault="00490C01" w:rsidP="00752BF4">
                  <w:pPr>
                    <w:jc w:val="center"/>
                    <w:rPr>
                      <w:sz w:val="16"/>
                      <w:szCs w:val="16"/>
                    </w:rPr>
                  </w:pPr>
                  <w:r>
                    <w:rPr>
                      <w:rFonts w:cs="Arial"/>
                      <w:sz w:val="16"/>
                      <w:szCs w:val="16"/>
                    </w:rPr>
                    <w:t>0.55</w:t>
                  </w:r>
                </w:p>
              </w:tc>
              <w:tc>
                <w:tcPr>
                  <w:tcW w:w="1134" w:type="dxa"/>
                  <w:vAlign w:val="bottom"/>
                </w:tcPr>
                <w:p w14:paraId="1CBE09CE" w14:textId="477A13DA" w:rsidR="00752BF4" w:rsidRPr="00324315" w:rsidRDefault="005E2672" w:rsidP="00752BF4">
                  <w:pPr>
                    <w:jc w:val="center"/>
                    <w:rPr>
                      <w:sz w:val="16"/>
                      <w:szCs w:val="16"/>
                    </w:rPr>
                  </w:pPr>
                  <w:r>
                    <w:rPr>
                      <w:rFonts w:cs="Arial"/>
                      <w:sz w:val="16"/>
                      <w:szCs w:val="16"/>
                    </w:rPr>
                    <w:t>3.86</w:t>
                  </w:r>
                </w:p>
              </w:tc>
              <w:tc>
                <w:tcPr>
                  <w:tcW w:w="1134" w:type="dxa"/>
                  <w:vAlign w:val="bottom"/>
                </w:tcPr>
                <w:p w14:paraId="418ADE6E" w14:textId="494F70DC" w:rsidR="00752BF4" w:rsidRPr="00324315" w:rsidRDefault="005E2672" w:rsidP="00752BF4">
                  <w:pPr>
                    <w:jc w:val="center"/>
                    <w:rPr>
                      <w:sz w:val="16"/>
                      <w:szCs w:val="16"/>
                    </w:rPr>
                  </w:pPr>
                  <w:r>
                    <w:rPr>
                      <w:rFonts w:cs="Arial"/>
                      <w:sz w:val="16"/>
                      <w:szCs w:val="16"/>
                    </w:rPr>
                    <w:t>0.02</w:t>
                  </w:r>
                </w:p>
              </w:tc>
              <w:tc>
                <w:tcPr>
                  <w:tcW w:w="1178" w:type="dxa"/>
                  <w:vAlign w:val="bottom"/>
                </w:tcPr>
                <w:p w14:paraId="0783FD74" w14:textId="0B096D49" w:rsidR="00752BF4" w:rsidRPr="00324315" w:rsidRDefault="00490C01" w:rsidP="00752BF4">
                  <w:pPr>
                    <w:jc w:val="center"/>
                    <w:rPr>
                      <w:sz w:val="16"/>
                      <w:szCs w:val="16"/>
                    </w:rPr>
                  </w:pPr>
                  <w:r>
                    <w:rPr>
                      <w:rFonts w:cs="Arial"/>
                      <w:sz w:val="16"/>
                      <w:szCs w:val="16"/>
                    </w:rPr>
                    <w:t>0.79</w:t>
                  </w:r>
                </w:p>
              </w:tc>
              <w:tc>
                <w:tcPr>
                  <w:tcW w:w="1232" w:type="dxa"/>
                  <w:vAlign w:val="bottom"/>
                </w:tcPr>
                <w:p w14:paraId="6D9EF64C" w14:textId="5A6B5E52" w:rsidR="00752BF4" w:rsidRPr="00324315" w:rsidRDefault="00490C01" w:rsidP="00752BF4">
                  <w:pPr>
                    <w:jc w:val="center"/>
                    <w:rPr>
                      <w:sz w:val="16"/>
                      <w:szCs w:val="16"/>
                    </w:rPr>
                  </w:pPr>
                  <w:r>
                    <w:rPr>
                      <w:rFonts w:cs="Arial"/>
                      <w:sz w:val="16"/>
                      <w:szCs w:val="16"/>
                    </w:rPr>
                    <w:t>1.55</w:t>
                  </w:r>
                </w:p>
              </w:tc>
            </w:tr>
            <w:tr w:rsidR="00752BF4" w:rsidRPr="00324315" w14:paraId="777301C1" w14:textId="77777777" w:rsidTr="007D4DEC">
              <w:tc>
                <w:tcPr>
                  <w:tcW w:w="1521" w:type="dxa"/>
                </w:tcPr>
                <w:p w14:paraId="0759BE0E" w14:textId="5BF8D697" w:rsidR="00752BF4" w:rsidRPr="00324315" w:rsidRDefault="00752BF4" w:rsidP="00752BF4">
                  <w:pPr>
                    <w:rPr>
                      <w:sz w:val="16"/>
                      <w:szCs w:val="16"/>
                    </w:rPr>
                  </w:pPr>
                  <w:r w:rsidRPr="00324315">
                    <w:rPr>
                      <w:sz w:val="16"/>
                      <w:szCs w:val="16"/>
                    </w:rPr>
                    <w:t>Rev Growth (1 Yr)</w:t>
                  </w:r>
                </w:p>
              </w:tc>
              <w:tc>
                <w:tcPr>
                  <w:tcW w:w="1048" w:type="dxa"/>
                  <w:vAlign w:val="bottom"/>
                </w:tcPr>
                <w:p w14:paraId="18DCC7A0" w14:textId="103E5E0D" w:rsidR="00752BF4" w:rsidRPr="00324315" w:rsidRDefault="00490C01" w:rsidP="00752BF4">
                  <w:pPr>
                    <w:jc w:val="center"/>
                    <w:rPr>
                      <w:sz w:val="16"/>
                      <w:szCs w:val="16"/>
                    </w:rPr>
                  </w:pPr>
                  <w:r>
                    <w:rPr>
                      <w:rFonts w:cs="Arial"/>
                      <w:sz w:val="16"/>
                      <w:szCs w:val="16"/>
                    </w:rPr>
                    <w:t>7.11</w:t>
                  </w:r>
                </w:p>
              </w:tc>
              <w:tc>
                <w:tcPr>
                  <w:tcW w:w="1134" w:type="dxa"/>
                  <w:vAlign w:val="bottom"/>
                </w:tcPr>
                <w:p w14:paraId="68E302DD" w14:textId="292C9BD2" w:rsidR="00752BF4" w:rsidRPr="00324315" w:rsidRDefault="005E2672" w:rsidP="00752BF4">
                  <w:pPr>
                    <w:jc w:val="center"/>
                    <w:rPr>
                      <w:sz w:val="16"/>
                      <w:szCs w:val="16"/>
                    </w:rPr>
                  </w:pPr>
                  <w:r>
                    <w:rPr>
                      <w:rFonts w:cs="Arial"/>
                      <w:sz w:val="16"/>
                      <w:szCs w:val="16"/>
                    </w:rPr>
                    <w:t>-15.86</w:t>
                  </w:r>
                </w:p>
              </w:tc>
              <w:tc>
                <w:tcPr>
                  <w:tcW w:w="1134" w:type="dxa"/>
                  <w:vAlign w:val="bottom"/>
                </w:tcPr>
                <w:p w14:paraId="67F1CBE6" w14:textId="0ED25145" w:rsidR="00752BF4" w:rsidRPr="00324315" w:rsidRDefault="005E2672" w:rsidP="00752BF4">
                  <w:pPr>
                    <w:jc w:val="center"/>
                    <w:rPr>
                      <w:sz w:val="16"/>
                      <w:szCs w:val="16"/>
                    </w:rPr>
                  </w:pPr>
                  <w:r>
                    <w:rPr>
                      <w:rFonts w:cs="Arial"/>
                      <w:sz w:val="16"/>
                      <w:szCs w:val="16"/>
                    </w:rPr>
                    <w:t>-2.23</w:t>
                  </w:r>
                </w:p>
              </w:tc>
              <w:tc>
                <w:tcPr>
                  <w:tcW w:w="1178" w:type="dxa"/>
                  <w:vAlign w:val="bottom"/>
                </w:tcPr>
                <w:p w14:paraId="42281ACF" w14:textId="6ADD31A6" w:rsidR="00752BF4" w:rsidRPr="00324315" w:rsidRDefault="00490C01" w:rsidP="00752BF4">
                  <w:pPr>
                    <w:jc w:val="center"/>
                    <w:rPr>
                      <w:sz w:val="16"/>
                      <w:szCs w:val="16"/>
                    </w:rPr>
                  </w:pPr>
                  <w:r>
                    <w:rPr>
                      <w:rFonts w:cs="Arial"/>
                      <w:sz w:val="16"/>
                      <w:szCs w:val="16"/>
                    </w:rPr>
                    <w:t>-6.46</w:t>
                  </w:r>
                </w:p>
              </w:tc>
              <w:tc>
                <w:tcPr>
                  <w:tcW w:w="1232" w:type="dxa"/>
                  <w:vAlign w:val="bottom"/>
                </w:tcPr>
                <w:p w14:paraId="17995264" w14:textId="14EBE2FD" w:rsidR="00752BF4" w:rsidRPr="00324315" w:rsidRDefault="00490C01" w:rsidP="00752BF4">
                  <w:pPr>
                    <w:jc w:val="center"/>
                    <w:rPr>
                      <w:sz w:val="16"/>
                      <w:szCs w:val="16"/>
                    </w:rPr>
                  </w:pPr>
                  <w:r>
                    <w:rPr>
                      <w:rFonts w:cs="Arial"/>
                      <w:sz w:val="16"/>
                      <w:szCs w:val="16"/>
                    </w:rPr>
                    <w:t>-2.77</w:t>
                  </w:r>
                </w:p>
              </w:tc>
            </w:tr>
            <w:tr w:rsidR="00752BF4" w:rsidRPr="00324315" w14:paraId="616F0554" w14:textId="77777777" w:rsidTr="007D4DEC">
              <w:tc>
                <w:tcPr>
                  <w:tcW w:w="1521" w:type="dxa"/>
                </w:tcPr>
                <w:p w14:paraId="12174486" w14:textId="19744DCD" w:rsidR="00752BF4" w:rsidRPr="00324315" w:rsidRDefault="00752BF4" w:rsidP="00752BF4">
                  <w:pPr>
                    <w:rPr>
                      <w:sz w:val="16"/>
                      <w:szCs w:val="16"/>
                    </w:rPr>
                  </w:pPr>
                  <w:r w:rsidRPr="00324315">
                    <w:rPr>
                      <w:sz w:val="16"/>
                      <w:szCs w:val="16"/>
                    </w:rPr>
                    <w:t xml:space="preserve">NI Growth (1 Yrs) </w:t>
                  </w:r>
                </w:p>
              </w:tc>
              <w:tc>
                <w:tcPr>
                  <w:tcW w:w="1048" w:type="dxa"/>
                  <w:vAlign w:val="bottom"/>
                </w:tcPr>
                <w:p w14:paraId="21AC8274" w14:textId="43AADE42" w:rsidR="00752BF4" w:rsidRPr="00324315" w:rsidRDefault="00490C01" w:rsidP="00752BF4">
                  <w:pPr>
                    <w:jc w:val="center"/>
                    <w:rPr>
                      <w:sz w:val="16"/>
                      <w:szCs w:val="16"/>
                    </w:rPr>
                  </w:pPr>
                  <w:r>
                    <w:rPr>
                      <w:sz w:val="16"/>
                      <w:szCs w:val="16"/>
                    </w:rPr>
                    <w:t>5.25</w:t>
                  </w:r>
                </w:p>
              </w:tc>
              <w:tc>
                <w:tcPr>
                  <w:tcW w:w="1134" w:type="dxa"/>
                  <w:vAlign w:val="bottom"/>
                </w:tcPr>
                <w:p w14:paraId="72155156" w14:textId="745C5136" w:rsidR="00752BF4" w:rsidRPr="00324315" w:rsidRDefault="005E2672" w:rsidP="00752BF4">
                  <w:pPr>
                    <w:jc w:val="center"/>
                    <w:rPr>
                      <w:sz w:val="16"/>
                      <w:szCs w:val="16"/>
                    </w:rPr>
                  </w:pPr>
                  <w:r>
                    <w:rPr>
                      <w:rFonts w:cs="Arial"/>
                      <w:sz w:val="16"/>
                      <w:szCs w:val="16"/>
                    </w:rPr>
                    <w:t>22.92</w:t>
                  </w:r>
                </w:p>
              </w:tc>
              <w:tc>
                <w:tcPr>
                  <w:tcW w:w="1134" w:type="dxa"/>
                  <w:vAlign w:val="bottom"/>
                </w:tcPr>
                <w:p w14:paraId="36DE4F19" w14:textId="38DBFF49" w:rsidR="00752BF4" w:rsidRPr="00324315" w:rsidRDefault="005E2672" w:rsidP="00752BF4">
                  <w:pPr>
                    <w:jc w:val="center"/>
                    <w:rPr>
                      <w:sz w:val="16"/>
                      <w:szCs w:val="16"/>
                    </w:rPr>
                  </w:pPr>
                  <w:r>
                    <w:rPr>
                      <w:rFonts w:cs="Arial"/>
                      <w:sz w:val="16"/>
                      <w:szCs w:val="16"/>
                    </w:rPr>
                    <w:t>2.95</w:t>
                  </w:r>
                </w:p>
              </w:tc>
              <w:tc>
                <w:tcPr>
                  <w:tcW w:w="1178" w:type="dxa"/>
                  <w:vAlign w:val="bottom"/>
                </w:tcPr>
                <w:p w14:paraId="098D397E" w14:textId="56609AFF" w:rsidR="00752BF4" w:rsidRPr="00324315" w:rsidRDefault="00490C01" w:rsidP="00752BF4">
                  <w:pPr>
                    <w:jc w:val="center"/>
                    <w:rPr>
                      <w:sz w:val="16"/>
                      <w:szCs w:val="16"/>
                    </w:rPr>
                  </w:pPr>
                  <w:r>
                    <w:rPr>
                      <w:rFonts w:cs="Arial"/>
                      <w:sz w:val="16"/>
                      <w:szCs w:val="16"/>
                    </w:rPr>
                    <w:t>10.32</w:t>
                  </w:r>
                </w:p>
              </w:tc>
              <w:tc>
                <w:tcPr>
                  <w:tcW w:w="1232" w:type="dxa"/>
                  <w:vAlign w:val="bottom"/>
                </w:tcPr>
                <w:p w14:paraId="09E34E39" w14:textId="322E5361" w:rsidR="00752BF4" w:rsidRPr="00324315" w:rsidRDefault="00490C01" w:rsidP="00752BF4">
                  <w:pPr>
                    <w:jc w:val="center"/>
                    <w:rPr>
                      <w:sz w:val="16"/>
                      <w:szCs w:val="16"/>
                    </w:rPr>
                  </w:pPr>
                  <w:r>
                    <w:rPr>
                      <w:rFonts w:cs="Arial"/>
                      <w:sz w:val="16"/>
                      <w:szCs w:val="16"/>
                    </w:rPr>
                    <w:t>11.96</w:t>
                  </w:r>
                </w:p>
              </w:tc>
            </w:tr>
            <w:tr w:rsidR="00752BF4" w:rsidRPr="00324315" w14:paraId="339AECB6" w14:textId="77777777" w:rsidTr="007D4DEC">
              <w:tc>
                <w:tcPr>
                  <w:tcW w:w="1521" w:type="dxa"/>
                </w:tcPr>
                <w:p w14:paraId="7B2C49BE" w14:textId="77777777" w:rsidR="00752BF4" w:rsidRPr="00324315" w:rsidRDefault="00752BF4" w:rsidP="00752BF4">
                  <w:pPr>
                    <w:rPr>
                      <w:sz w:val="16"/>
                      <w:szCs w:val="16"/>
                    </w:rPr>
                  </w:pPr>
                  <w:r w:rsidRPr="00324315">
                    <w:rPr>
                      <w:sz w:val="16"/>
                      <w:szCs w:val="16"/>
                    </w:rPr>
                    <w:t xml:space="preserve">Operating Margin </w:t>
                  </w:r>
                </w:p>
              </w:tc>
              <w:tc>
                <w:tcPr>
                  <w:tcW w:w="1048" w:type="dxa"/>
                  <w:vAlign w:val="bottom"/>
                </w:tcPr>
                <w:p w14:paraId="6D16033E" w14:textId="39073791" w:rsidR="00752BF4" w:rsidRPr="00324315" w:rsidRDefault="00490C01" w:rsidP="00752BF4">
                  <w:pPr>
                    <w:jc w:val="center"/>
                    <w:rPr>
                      <w:sz w:val="16"/>
                      <w:szCs w:val="16"/>
                    </w:rPr>
                  </w:pPr>
                  <w:r>
                    <w:rPr>
                      <w:rFonts w:cs="Arial"/>
                      <w:sz w:val="16"/>
                      <w:szCs w:val="16"/>
                    </w:rPr>
                    <w:t>3.71</w:t>
                  </w:r>
                </w:p>
              </w:tc>
              <w:tc>
                <w:tcPr>
                  <w:tcW w:w="1134" w:type="dxa"/>
                  <w:vAlign w:val="bottom"/>
                </w:tcPr>
                <w:p w14:paraId="0087603B" w14:textId="05070F5F" w:rsidR="00752BF4" w:rsidRPr="00324315" w:rsidRDefault="005E2672" w:rsidP="00752BF4">
                  <w:pPr>
                    <w:jc w:val="center"/>
                    <w:rPr>
                      <w:sz w:val="16"/>
                      <w:szCs w:val="16"/>
                    </w:rPr>
                  </w:pPr>
                  <w:r>
                    <w:rPr>
                      <w:rFonts w:cs="Arial"/>
                      <w:sz w:val="16"/>
                      <w:szCs w:val="16"/>
                    </w:rPr>
                    <w:t>2.74</w:t>
                  </w:r>
                </w:p>
              </w:tc>
              <w:tc>
                <w:tcPr>
                  <w:tcW w:w="1134" w:type="dxa"/>
                  <w:vAlign w:val="bottom"/>
                </w:tcPr>
                <w:p w14:paraId="648370E7" w14:textId="54F0EDEB" w:rsidR="00752BF4" w:rsidRPr="00324315" w:rsidRDefault="005E2672" w:rsidP="00752BF4">
                  <w:pPr>
                    <w:jc w:val="center"/>
                    <w:rPr>
                      <w:sz w:val="16"/>
                      <w:szCs w:val="16"/>
                    </w:rPr>
                  </w:pPr>
                  <w:r>
                    <w:rPr>
                      <w:rFonts w:cs="Arial"/>
                      <w:sz w:val="16"/>
                      <w:szCs w:val="16"/>
                    </w:rPr>
                    <w:t>4.08</w:t>
                  </w:r>
                </w:p>
              </w:tc>
              <w:tc>
                <w:tcPr>
                  <w:tcW w:w="1178" w:type="dxa"/>
                  <w:vAlign w:val="bottom"/>
                </w:tcPr>
                <w:p w14:paraId="218F33F9" w14:textId="1BD025E6" w:rsidR="00752BF4" w:rsidRPr="00324315" w:rsidRDefault="00490C01" w:rsidP="00752BF4">
                  <w:pPr>
                    <w:jc w:val="center"/>
                    <w:rPr>
                      <w:sz w:val="16"/>
                      <w:szCs w:val="16"/>
                    </w:rPr>
                  </w:pPr>
                  <w:r>
                    <w:rPr>
                      <w:rFonts w:cs="Arial"/>
                      <w:sz w:val="16"/>
                      <w:szCs w:val="16"/>
                    </w:rPr>
                    <w:t>7.46</w:t>
                  </w:r>
                </w:p>
              </w:tc>
              <w:tc>
                <w:tcPr>
                  <w:tcW w:w="1232" w:type="dxa"/>
                  <w:vAlign w:val="bottom"/>
                </w:tcPr>
                <w:p w14:paraId="0DC9A589" w14:textId="53ECBFDE" w:rsidR="00752BF4" w:rsidRPr="00324315" w:rsidRDefault="00490C01" w:rsidP="00752BF4">
                  <w:pPr>
                    <w:jc w:val="center"/>
                    <w:rPr>
                      <w:sz w:val="16"/>
                      <w:szCs w:val="16"/>
                    </w:rPr>
                  </w:pPr>
                  <w:r>
                    <w:rPr>
                      <w:rFonts w:cs="Arial"/>
                      <w:sz w:val="16"/>
                      <w:szCs w:val="16"/>
                    </w:rPr>
                    <w:t>17.36</w:t>
                  </w:r>
                </w:p>
              </w:tc>
            </w:tr>
            <w:tr w:rsidR="00752BF4" w:rsidRPr="00324315" w14:paraId="064AA80D" w14:textId="77777777" w:rsidTr="007D4DEC">
              <w:tc>
                <w:tcPr>
                  <w:tcW w:w="1521" w:type="dxa"/>
                </w:tcPr>
                <w:p w14:paraId="5977E240" w14:textId="77777777" w:rsidR="00752BF4" w:rsidRPr="00324315" w:rsidRDefault="00752BF4" w:rsidP="00752BF4">
                  <w:pPr>
                    <w:rPr>
                      <w:sz w:val="16"/>
                      <w:szCs w:val="16"/>
                    </w:rPr>
                  </w:pPr>
                  <w:r w:rsidRPr="00324315">
                    <w:rPr>
                      <w:sz w:val="16"/>
                      <w:szCs w:val="16"/>
                    </w:rPr>
                    <w:t xml:space="preserve">Debt / Equity </w:t>
                  </w:r>
                </w:p>
              </w:tc>
              <w:tc>
                <w:tcPr>
                  <w:tcW w:w="1048" w:type="dxa"/>
                  <w:vAlign w:val="bottom"/>
                </w:tcPr>
                <w:p w14:paraId="672F8CCF" w14:textId="32EF8DC7" w:rsidR="00752BF4" w:rsidRPr="00324315" w:rsidRDefault="005E2672" w:rsidP="00752BF4">
                  <w:pPr>
                    <w:jc w:val="center"/>
                    <w:rPr>
                      <w:sz w:val="16"/>
                      <w:szCs w:val="16"/>
                    </w:rPr>
                  </w:pPr>
                  <w:r>
                    <w:rPr>
                      <w:rFonts w:cs="Arial"/>
                      <w:sz w:val="16"/>
                      <w:szCs w:val="16"/>
                    </w:rPr>
                    <w:t>28.86</w:t>
                  </w:r>
                </w:p>
              </w:tc>
              <w:tc>
                <w:tcPr>
                  <w:tcW w:w="1134" w:type="dxa"/>
                  <w:vAlign w:val="bottom"/>
                </w:tcPr>
                <w:p w14:paraId="2639E00E" w14:textId="4A92526C" w:rsidR="00752BF4" w:rsidRPr="00324315" w:rsidRDefault="005E2672" w:rsidP="00752BF4">
                  <w:pPr>
                    <w:jc w:val="center"/>
                    <w:rPr>
                      <w:sz w:val="16"/>
                      <w:szCs w:val="16"/>
                    </w:rPr>
                  </w:pPr>
                  <w:r>
                    <w:rPr>
                      <w:rFonts w:cs="Arial"/>
                      <w:sz w:val="16"/>
                      <w:szCs w:val="16"/>
                    </w:rPr>
                    <w:t>46.09</w:t>
                  </w:r>
                </w:p>
              </w:tc>
              <w:tc>
                <w:tcPr>
                  <w:tcW w:w="1134" w:type="dxa"/>
                  <w:vAlign w:val="bottom"/>
                </w:tcPr>
                <w:p w14:paraId="1555406C" w14:textId="7FD57B10" w:rsidR="00752BF4" w:rsidRPr="00324315" w:rsidRDefault="005E2672" w:rsidP="00752BF4">
                  <w:pPr>
                    <w:jc w:val="center"/>
                    <w:rPr>
                      <w:sz w:val="16"/>
                      <w:szCs w:val="16"/>
                    </w:rPr>
                  </w:pPr>
                  <w:r>
                    <w:rPr>
                      <w:rFonts w:cs="Arial"/>
                      <w:sz w:val="16"/>
                      <w:szCs w:val="16"/>
                    </w:rPr>
                    <w:t>4.71</w:t>
                  </w:r>
                </w:p>
              </w:tc>
              <w:tc>
                <w:tcPr>
                  <w:tcW w:w="1178" w:type="dxa"/>
                  <w:vAlign w:val="bottom"/>
                </w:tcPr>
                <w:p w14:paraId="02951FB8" w14:textId="19EBBE16" w:rsidR="00752BF4" w:rsidRPr="00324315" w:rsidRDefault="00490C01" w:rsidP="00752BF4">
                  <w:pPr>
                    <w:jc w:val="center"/>
                    <w:rPr>
                      <w:sz w:val="16"/>
                      <w:szCs w:val="16"/>
                    </w:rPr>
                  </w:pPr>
                  <w:r>
                    <w:rPr>
                      <w:rFonts w:cs="Arial"/>
                      <w:sz w:val="16"/>
                      <w:szCs w:val="16"/>
                    </w:rPr>
                    <w:t>38.11</w:t>
                  </w:r>
                </w:p>
              </w:tc>
              <w:tc>
                <w:tcPr>
                  <w:tcW w:w="1232" w:type="dxa"/>
                  <w:vAlign w:val="bottom"/>
                </w:tcPr>
                <w:p w14:paraId="2DEE76F7" w14:textId="6013092F" w:rsidR="00752BF4" w:rsidRPr="00324315" w:rsidRDefault="00490C01" w:rsidP="00752BF4">
                  <w:pPr>
                    <w:jc w:val="center"/>
                    <w:rPr>
                      <w:sz w:val="16"/>
                      <w:szCs w:val="16"/>
                    </w:rPr>
                  </w:pPr>
                  <w:r>
                    <w:rPr>
                      <w:rFonts w:cs="Arial"/>
                      <w:sz w:val="16"/>
                      <w:szCs w:val="16"/>
                    </w:rPr>
                    <w:t>24.11</w:t>
                  </w:r>
                </w:p>
              </w:tc>
            </w:tr>
            <w:tr w:rsidR="00752BF4" w:rsidRPr="00324315" w14:paraId="36B329ED" w14:textId="77777777" w:rsidTr="007D4DEC">
              <w:tc>
                <w:tcPr>
                  <w:tcW w:w="1521" w:type="dxa"/>
                </w:tcPr>
                <w:p w14:paraId="791DB0D1" w14:textId="77777777" w:rsidR="00752BF4" w:rsidRPr="00324315" w:rsidRDefault="00752BF4" w:rsidP="00752BF4">
                  <w:pPr>
                    <w:rPr>
                      <w:sz w:val="16"/>
                      <w:szCs w:val="16"/>
                    </w:rPr>
                  </w:pPr>
                  <w:r w:rsidRPr="00324315">
                    <w:rPr>
                      <w:sz w:val="16"/>
                      <w:szCs w:val="16"/>
                    </w:rPr>
                    <w:t>Market Cap</w:t>
                  </w:r>
                </w:p>
              </w:tc>
              <w:tc>
                <w:tcPr>
                  <w:tcW w:w="1048" w:type="dxa"/>
                  <w:vAlign w:val="bottom"/>
                </w:tcPr>
                <w:p w14:paraId="031547AD" w14:textId="58243F3C" w:rsidR="00752BF4" w:rsidRPr="00324315" w:rsidRDefault="005E2672" w:rsidP="00752BF4">
                  <w:pPr>
                    <w:jc w:val="center"/>
                    <w:rPr>
                      <w:sz w:val="16"/>
                      <w:szCs w:val="16"/>
                    </w:rPr>
                  </w:pPr>
                  <w:r>
                    <w:rPr>
                      <w:rFonts w:cs="Arial"/>
                      <w:sz w:val="16"/>
                      <w:szCs w:val="16"/>
                    </w:rPr>
                    <w:t>1.49B</w:t>
                  </w:r>
                </w:p>
              </w:tc>
              <w:tc>
                <w:tcPr>
                  <w:tcW w:w="1134" w:type="dxa"/>
                  <w:vAlign w:val="bottom"/>
                </w:tcPr>
                <w:p w14:paraId="626B742A" w14:textId="050DD533" w:rsidR="00752BF4" w:rsidRPr="00324315" w:rsidRDefault="005E2672" w:rsidP="00752BF4">
                  <w:pPr>
                    <w:jc w:val="center"/>
                    <w:rPr>
                      <w:sz w:val="16"/>
                      <w:szCs w:val="16"/>
                    </w:rPr>
                  </w:pPr>
                  <w:r>
                    <w:rPr>
                      <w:rFonts w:cs="Arial"/>
                      <w:sz w:val="16"/>
                      <w:szCs w:val="16"/>
                    </w:rPr>
                    <w:t>77.14B</w:t>
                  </w:r>
                </w:p>
              </w:tc>
              <w:tc>
                <w:tcPr>
                  <w:tcW w:w="1134" w:type="dxa"/>
                  <w:vAlign w:val="bottom"/>
                </w:tcPr>
                <w:p w14:paraId="4F545191" w14:textId="78C005FD" w:rsidR="00752BF4" w:rsidRPr="00324315" w:rsidRDefault="005E2672" w:rsidP="00752BF4">
                  <w:pPr>
                    <w:jc w:val="center"/>
                    <w:rPr>
                      <w:sz w:val="16"/>
                      <w:szCs w:val="16"/>
                    </w:rPr>
                  </w:pPr>
                  <w:r>
                    <w:rPr>
                      <w:rFonts w:cs="Arial"/>
                      <w:sz w:val="16"/>
                      <w:szCs w:val="16"/>
                    </w:rPr>
                    <w:t>1.92B</w:t>
                  </w:r>
                </w:p>
              </w:tc>
              <w:tc>
                <w:tcPr>
                  <w:tcW w:w="1178" w:type="dxa"/>
                  <w:vAlign w:val="bottom"/>
                </w:tcPr>
                <w:p w14:paraId="70C9FE24" w14:textId="3A2CC037" w:rsidR="00752BF4" w:rsidRPr="00324315" w:rsidRDefault="00490C01" w:rsidP="00490C01">
                  <w:pPr>
                    <w:jc w:val="center"/>
                    <w:rPr>
                      <w:sz w:val="16"/>
                      <w:szCs w:val="16"/>
                    </w:rPr>
                  </w:pPr>
                  <w:r>
                    <w:rPr>
                      <w:rFonts w:cs="Arial"/>
                      <w:sz w:val="16"/>
                      <w:szCs w:val="16"/>
                    </w:rPr>
                    <w:t>20B</w:t>
                  </w:r>
                </w:p>
              </w:tc>
              <w:tc>
                <w:tcPr>
                  <w:tcW w:w="1232" w:type="dxa"/>
                  <w:vAlign w:val="bottom"/>
                </w:tcPr>
                <w:p w14:paraId="10279C73" w14:textId="499CE84C" w:rsidR="00752BF4" w:rsidRPr="00324315" w:rsidRDefault="00490C01" w:rsidP="00752BF4">
                  <w:pPr>
                    <w:jc w:val="center"/>
                    <w:rPr>
                      <w:sz w:val="16"/>
                      <w:szCs w:val="16"/>
                    </w:rPr>
                  </w:pPr>
                  <w:r>
                    <w:rPr>
                      <w:sz w:val="16"/>
                      <w:szCs w:val="16"/>
                    </w:rPr>
                    <w:t>79B</w:t>
                  </w:r>
                </w:p>
              </w:tc>
            </w:tr>
          </w:tbl>
          <w:p w14:paraId="67108435" w14:textId="3EF34397" w:rsidR="00D8492B" w:rsidRPr="00324315" w:rsidRDefault="00D8492B" w:rsidP="0010720B">
            <w:pPr>
              <w:jc w:val="both"/>
              <w:rPr>
                <w:b/>
                <w:sz w:val="16"/>
                <w:szCs w:val="16"/>
              </w:rPr>
            </w:pPr>
            <w:r w:rsidRPr="00324315">
              <w:rPr>
                <w:b/>
                <w:sz w:val="16"/>
                <w:szCs w:val="16"/>
              </w:rPr>
              <w:t xml:space="preserve">Sources: Bloomberg, S&amp;P NetAdvantage, VLIS, Morningstar </w:t>
            </w:r>
          </w:p>
        </w:tc>
        <w:tc>
          <w:tcPr>
            <w:tcW w:w="4320" w:type="dxa"/>
          </w:tcPr>
          <w:p w14:paraId="7FACE228" w14:textId="170AD80A" w:rsidR="004F2EAA" w:rsidRPr="00324315" w:rsidRDefault="004F2EAA" w:rsidP="0010720B">
            <w:pPr>
              <w:jc w:val="both"/>
              <w:rPr>
                <w:b/>
                <w:sz w:val="16"/>
                <w:szCs w:val="16"/>
              </w:rPr>
            </w:pPr>
          </w:p>
          <w:tbl>
            <w:tblPr>
              <w:tblStyle w:val="TableGrid"/>
              <w:tblW w:w="4094" w:type="dxa"/>
              <w:tblLook w:val="04A0" w:firstRow="1" w:lastRow="0" w:firstColumn="1" w:lastColumn="0" w:noHBand="0" w:noVBand="1"/>
            </w:tblPr>
            <w:tblGrid>
              <w:gridCol w:w="1422"/>
              <w:gridCol w:w="900"/>
              <w:gridCol w:w="810"/>
              <w:gridCol w:w="962"/>
            </w:tblGrid>
            <w:tr w:rsidR="00EA5213" w:rsidRPr="00324315" w14:paraId="39927E41" w14:textId="77777777" w:rsidTr="0060598F">
              <w:tc>
                <w:tcPr>
                  <w:tcW w:w="1422" w:type="dxa"/>
                  <w:shd w:val="clear" w:color="auto" w:fill="DBE5F1" w:themeFill="accent1" w:themeFillTint="33"/>
                </w:tcPr>
                <w:p w14:paraId="405B542F" w14:textId="7C67957F" w:rsidR="00EA5213" w:rsidRPr="00324315" w:rsidRDefault="00EA5213" w:rsidP="00EA5213">
                  <w:pPr>
                    <w:rPr>
                      <w:sz w:val="16"/>
                      <w:szCs w:val="16"/>
                    </w:rPr>
                  </w:pPr>
                </w:p>
              </w:tc>
              <w:tc>
                <w:tcPr>
                  <w:tcW w:w="900" w:type="dxa"/>
                  <w:shd w:val="clear" w:color="auto" w:fill="DBE5F1" w:themeFill="accent1" w:themeFillTint="33"/>
                </w:tcPr>
                <w:p w14:paraId="0AB96B2A" w14:textId="5ECB29AE" w:rsidR="00EA5213" w:rsidRPr="00324315" w:rsidRDefault="00E15185" w:rsidP="00EA5213">
                  <w:pPr>
                    <w:rPr>
                      <w:sz w:val="16"/>
                      <w:szCs w:val="16"/>
                    </w:rPr>
                  </w:pPr>
                  <w:r>
                    <w:rPr>
                      <w:sz w:val="16"/>
                      <w:szCs w:val="16"/>
                    </w:rPr>
                    <w:t>HON</w:t>
                  </w:r>
                </w:p>
              </w:tc>
              <w:tc>
                <w:tcPr>
                  <w:tcW w:w="810" w:type="dxa"/>
                  <w:shd w:val="clear" w:color="auto" w:fill="DBE5F1" w:themeFill="accent1" w:themeFillTint="33"/>
                </w:tcPr>
                <w:p w14:paraId="0650E6CE" w14:textId="77777777" w:rsidR="00EA5213" w:rsidRPr="00324315" w:rsidRDefault="00EA5213" w:rsidP="00EA5213">
                  <w:pPr>
                    <w:rPr>
                      <w:sz w:val="16"/>
                      <w:szCs w:val="16"/>
                    </w:rPr>
                  </w:pPr>
                  <w:r w:rsidRPr="00324315">
                    <w:rPr>
                      <w:sz w:val="16"/>
                      <w:szCs w:val="16"/>
                    </w:rPr>
                    <w:t xml:space="preserve">Sector </w:t>
                  </w:r>
                </w:p>
              </w:tc>
              <w:tc>
                <w:tcPr>
                  <w:tcW w:w="962" w:type="dxa"/>
                  <w:shd w:val="clear" w:color="auto" w:fill="DBE5F1" w:themeFill="accent1" w:themeFillTint="33"/>
                </w:tcPr>
                <w:p w14:paraId="68B31751" w14:textId="77777777" w:rsidR="00EA5213" w:rsidRPr="00324315" w:rsidRDefault="00EA5213" w:rsidP="00EA5213">
                  <w:pPr>
                    <w:rPr>
                      <w:sz w:val="16"/>
                      <w:szCs w:val="16"/>
                    </w:rPr>
                  </w:pPr>
                  <w:r w:rsidRPr="00324315">
                    <w:rPr>
                      <w:sz w:val="16"/>
                      <w:szCs w:val="16"/>
                    </w:rPr>
                    <w:t>S&amp;P 500</w:t>
                  </w:r>
                </w:p>
              </w:tc>
            </w:tr>
            <w:tr w:rsidR="00EA5213" w:rsidRPr="00324315" w14:paraId="47681D86" w14:textId="77777777" w:rsidTr="00371C05">
              <w:tc>
                <w:tcPr>
                  <w:tcW w:w="1422" w:type="dxa"/>
                </w:tcPr>
                <w:p w14:paraId="440258CF" w14:textId="77777777" w:rsidR="00EA5213" w:rsidRPr="00324315" w:rsidRDefault="00EA5213" w:rsidP="00EA5213">
                  <w:pPr>
                    <w:rPr>
                      <w:sz w:val="16"/>
                      <w:szCs w:val="16"/>
                    </w:rPr>
                  </w:pPr>
                  <w:r w:rsidRPr="00324315">
                    <w:rPr>
                      <w:sz w:val="16"/>
                      <w:szCs w:val="16"/>
                    </w:rPr>
                    <w:t>YTD</w:t>
                  </w:r>
                </w:p>
              </w:tc>
              <w:tc>
                <w:tcPr>
                  <w:tcW w:w="900" w:type="dxa"/>
                </w:tcPr>
                <w:p w14:paraId="2915C4D5" w14:textId="0D5E7C58" w:rsidR="00EA5213" w:rsidRPr="00324315" w:rsidRDefault="00E36165" w:rsidP="00EA5213">
                  <w:pPr>
                    <w:rPr>
                      <w:sz w:val="16"/>
                      <w:szCs w:val="16"/>
                    </w:rPr>
                  </w:pPr>
                  <w:r>
                    <w:rPr>
                      <w:sz w:val="16"/>
                      <w:szCs w:val="16"/>
                    </w:rPr>
                    <w:t>-0.94</w:t>
                  </w:r>
                </w:p>
              </w:tc>
              <w:tc>
                <w:tcPr>
                  <w:tcW w:w="810" w:type="dxa"/>
                </w:tcPr>
                <w:p w14:paraId="432CEBBB" w14:textId="508857A4" w:rsidR="00EA5213" w:rsidRPr="00324315" w:rsidRDefault="00E36165" w:rsidP="00EA5213">
                  <w:pPr>
                    <w:rPr>
                      <w:sz w:val="16"/>
                      <w:szCs w:val="16"/>
                    </w:rPr>
                  </w:pPr>
                  <w:r>
                    <w:rPr>
                      <w:sz w:val="16"/>
                      <w:szCs w:val="16"/>
                    </w:rPr>
                    <w:t>-5.63</w:t>
                  </w:r>
                </w:p>
              </w:tc>
              <w:tc>
                <w:tcPr>
                  <w:tcW w:w="962" w:type="dxa"/>
                </w:tcPr>
                <w:p w14:paraId="2D5C424C" w14:textId="0B959A9C" w:rsidR="00EA5213" w:rsidRPr="00324315" w:rsidRDefault="00E36165" w:rsidP="00EA5213">
                  <w:pPr>
                    <w:rPr>
                      <w:sz w:val="16"/>
                      <w:szCs w:val="16"/>
                    </w:rPr>
                  </w:pPr>
                  <w:r>
                    <w:rPr>
                      <w:sz w:val="16"/>
                      <w:szCs w:val="16"/>
                    </w:rPr>
                    <w:t>-9.19</w:t>
                  </w:r>
                </w:p>
              </w:tc>
            </w:tr>
            <w:tr w:rsidR="00EA5213" w:rsidRPr="00324315" w14:paraId="0876038A" w14:textId="77777777" w:rsidTr="00371C05">
              <w:tc>
                <w:tcPr>
                  <w:tcW w:w="1422" w:type="dxa"/>
                </w:tcPr>
                <w:p w14:paraId="1F90980B" w14:textId="77777777" w:rsidR="00EA5213" w:rsidRPr="00324315" w:rsidRDefault="00EA5213" w:rsidP="00EA5213">
                  <w:pPr>
                    <w:rPr>
                      <w:sz w:val="16"/>
                      <w:szCs w:val="16"/>
                    </w:rPr>
                  </w:pPr>
                  <w:r w:rsidRPr="00324315">
                    <w:rPr>
                      <w:sz w:val="16"/>
                      <w:szCs w:val="16"/>
                    </w:rPr>
                    <w:t xml:space="preserve">Last 3 Years </w:t>
                  </w:r>
                </w:p>
              </w:tc>
              <w:tc>
                <w:tcPr>
                  <w:tcW w:w="900" w:type="dxa"/>
                </w:tcPr>
                <w:p w14:paraId="0925A661" w14:textId="0547F9C3" w:rsidR="00EA5213" w:rsidRPr="00324315" w:rsidRDefault="00E36165" w:rsidP="00EA5213">
                  <w:pPr>
                    <w:rPr>
                      <w:sz w:val="16"/>
                      <w:szCs w:val="16"/>
                    </w:rPr>
                  </w:pPr>
                  <w:r>
                    <w:rPr>
                      <w:sz w:val="16"/>
                      <w:szCs w:val="16"/>
                    </w:rPr>
                    <w:t>15.37</w:t>
                  </w:r>
                </w:p>
              </w:tc>
              <w:tc>
                <w:tcPr>
                  <w:tcW w:w="810" w:type="dxa"/>
                </w:tcPr>
                <w:p w14:paraId="046C9C8D" w14:textId="5511B824" w:rsidR="00EA5213" w:rsidRPr="00324315" w:rsidRDefault="00E36165" w:rsidP="00EA5213">
                  <w:pPr>
                    <w:rPr>
                      <w:sz w:val="16"/>
                      <w:szCs w:val="16"/>
                    </w:rPr>
                  </w:pPr>
                  <w:r>
                    <w:rPr>
                      <w:sz w:val="16"/>
                      <w:szCs w:val="16"/>
                    </w:rPr>
                    <w:t>8.39</w:t>
                  </w:r>
                </w:p>
              </w:tc>
              <w:tc>
                <w:tcPr>
                  <w:tcW w:w="962" w:type="dxa"/>
                </w:tcPr>
                <w:p w14:paraId="55BE815F" w14:textId="30700981" w:rsidR="00EA5213" w:rsidRPr="00324315" w:rsidRDefault="00E36165" w:rsidP="00EA5213">
                  <w:pPr>
                    <w:rPr>
                      <w:sz w:val="16"/>
                      <w:szCs w:val="16"/>
                    </w:rPr>
                  </w:pPr>
                  <w:r>
                    <w:rPr>
                      <w:sz w:val="16"/>
                      <w:szCs w:val="16"/>
                    </w:rPr>
                    <w:t>9.12</w:t>
                  </w:r>
                </w:p>
              </w:tc>
            </w:tr>
            <w:tr w:rsidR="00EA5213" w:rsidRPr="00324315" w14:paraId="28B8CB1E" w14:textId="77777777" w:rsidTr="00371C05">
              <w:tc>
                <w:tcPr>
                  <w:tcW w:w="1422" w:type="dxa"/>
                </w:tcPr>
                <w:p w14:paraId="3272796F" w14:textId="77777777" w:rsidR="00EA5213" w:rsidRPr="00324315" w:rsidRDefault="00EA5213" w:rsidP="00EA5213">
                  <w:pPr>
                    <w:rPr>
                      <w:sz w:val="16"/>
                      <w:szCs w:val="16"/>
                    </w:rPr>
                  </w:pPr>
                  <w:r w:rsidRPr="00324315">
                    <w:rPr>
                      <w:sz w:val="16"/>
                      <w:szCs w:val="16"/>
                    </w:rPr>
                    <w:t xml:space="preserve">Last 5 Years </w:t>
                  </w:r>
                </w:p>
              </w:tc>
              <w:tc>
                <w:tcPr>
                  <w:tcW w:w="900" w:type="dxa"/>
                </w:tcPr>
                <w:p w14:paraId="6CA968EB" w14:textId="45DBA0BC" w:rsidR="00EA5213" w:rsidRPr="00324315" w:rsidRDefault="00E36165" w:rsidP="00EA5213">
                  <w:pPr>
                    <w:rPr>
                      <w:sz w:val="16"/>
                      <w:szCs w:val="16"/>
                    </w:rPr>
                  </w:pPr>
                  <w:r>
                    <w:rPr>
                      <w:sz w:val="16"/>
                      <w:szCs w:val="16"/>
                    </w:rPr>
                    <w:t>14.11</w:t>
                  </w:r>
                </w:p>
              </w:tc>
              <w:tc>
                <w:tcPr>
                  <w:tcW w:w="810" w:type="dxa"/>
                </w:tcPr>
                <w:p w14:paraId="3A2AF828" w14:textId="159CF698" w:rsidR="00EA5213" w:rsidRPr="00324315" w:rsidRDefault="00E36165" w:rsidP="00EA5213">
                  <w:pPr>
                    <w:rPr>
                      <w:sz w:val="16"/>
                      <w:szCs w:val="16"/>
                    </w:rPr>
                  </w:pPr>
                  <w:r>
                    <w:rPr>
                      <w:sz w:val="16"/>
                      <w:szCs w:val="16"/>
                    </w:rPr>
                    <w:t>7.40</w:t>
                  </w:r>
                </w:p>
              </w:tc>
              <w:tc>
                <w:tcPr>
                  <w:tcW w:w="962" w:type="dxa"/>
                </w:tcPr>
                <w:p w14:paraId="1D7EE8E1" w14:textId="6E61FA21" w:rsidR="00EA5213" w:rsidRPr="00324315" w:rsidRDefault="00E36165" w:rsidP="00EA5213">
                  <w:pPr>
                    <w:rPr>
                      <w:sz w:val="16"/>
                      <w:szCs w:val="16"/>
                    </w:rPr>
                  </w:pPr>
                  <w:r>
                    <w:rPr>
                      <w:sz w:val="16"/>
                      <w:szCs w:val="16"/>
                    </w:rPr>
                    <w:t>9.30</w:t>
                  </w:r>
                </w:p>
              </w:tc>
            </w:tr>
          </w:tbl>
          <w:p w14:paraId="51BB9526" w14:textId="77777777" w:rsidR="00096901" w:rsidRPr="00324315" w:rsidRDefault="00096901" w:rsidP="0010720B">
            <w:pPr>
              <w:jc w:val="both"/>
              <w:rPr>
                <w:b/>
                <w:sz w:val="16"/>
                <w:szCs w:val="16"/>
              </w:rPr>
            </w:pPr>
          </w:p>
          <w:p w14:paraId="221910A7" w14:textId="368D2A1A" w:rsidR="009F0D12" w:rsidRPr="00324315" w:rsidRDefault="009F0D12" w:rsidP="0010720B">
            <w:pPr>
              <w:jc w:val="both"/>
              <w:rPr>
                <w:b/>
                <w:sz w:val="16"/>
                <w:szCs w:val="16"/>
              </w:rPr>
            </w:pPr>
            <w:r w:rsidRPr="00324315">
              <w:rPr>
                <w:b/>
                <w:sz w:val="16"/>
                <w:szCs w:val="16"/>
              </w:rPr>
              <w:t>CSR Characteristics</w:t>
            </w:r>
          </w:p>
          <w:tbl>
            <w:tblPr>
              <w:tblStyle w:val="TableGrid"/>
              <w:tblW w:w="4166" w:type="dxa"/>
              <w:tblLook w:val="04A0" w:firstRow="1" w:lastRow="0" w:firstColumn="1" w:lastColumn="0" w:noHBand="0" w:noVBand="1"/>
            </w:tblPr>
            <w:tblGrid>
              <w:gridCol w:w="2497"/>
              <w:gridCol w:w="862"/>
              <w:gridCol w:w="807"/>
            </w:tblGrid>
            <w:tr w:rsidR="00EB73D7" w:rsidRPr="00324315" w14:paraId="331C9CF3" w14:textId="77777777" w:rsidTr="002D655C">
              <w:tc>
                <w:tcPr>
                  <w:tcW w:w="2497" w:type="dxa"/>
                  <w:shd w:val="clear" w:color="auto" w:fill="DBE5F1" w:themeFill="accent1" w:themeFillTint="33"/>
                </w:tcPr>
                <w:p w14:paraId="434A59A4" w14:textId="77777777" w:rsidR="00EB73D7" w:rsidRPr="00324315" w:rsidRDefault="00EB73D7" w:rsidP="002D655C">
                  <w:pPr>
                    <w:rPr>
                      <w:sz w:val="16"/>
                      <w:szCs w:val="16"/>
                    </w:rPr>
                  </w:pPr>
                </w:p>
              </w:tc>
              <w:tc>
                <w:tcPr>
                  <w:tcW w:w="862" w:type="dxa"/>
                  <w:shd w:val="clear" w:color="auto" w:fill="DBE5F1" w:themeFill="accent1" w:themeFillTint="33"/>
                </w:tcPr>
                <w:p w14:paraId="165DC052" w14:textId="092F0DBB" w:rsidR="00EB73D7" w:rsidRPr="00324315" w:rsidRDefault="00490C01" w:rsidP="002D655C">
                  <w:pPr>
                    <w:rPr>
                      <w:sz w:val="16"/>
                      <w:szCs w:val="16"/>
                    </w:rPr>
                  </w:pPr>
                  <w:r>
                    <w:rPr>
                      <w:sz w:val="16"/>
                      <w:szCs w:val="16"/>
                    </w:rPr>
                    <w:t>HON</w:t>
                  </w:r>
                </w:p>
              </w:tc>
              <w:tc>
                <w:tcPr>
                  <w:tcW w:w="807" w:type="dxa"/>
                  <w:shd w:val="clear" w:color="auto" w:fill="DBE5F1" w:themeFill="accent1" w:themeFillTint="33"/>
                </w:tcPr>
                <w:p w14:paraId="25A7D82A" w14:textId="77777777" w:rsidR="00EB73D7" w:rsidRPr="00324315" w:rsidRDefault="00EB73D7" w:rsidP="002D655C">
                  <w:pPr>
                    <w:rPr>
                      <w:sz w:val="16"/>
                      <w:szCs w:val="16"/>
                    </w:rPr>
                  </w:pPr>
                  <w:r w:rsidRPr="00324315">
                    <w:rPr>
                      <w:sz w:val="16"/>
                      <w:szCs w:val="16"/>
                    </w:rPr>
                    <w:t xml:space="preserve">Industry  </w:t>
                  </w:r>
                </w:p>
              </w:tc>
            </w:tr>
            <w:tr w:rsidR="00EB73D7" w:rsidRPr="00324315" w14:paraId="5846D050" w14:textId="77777777" w:rsidTr="002D655C">
              <w:tc>
                <w:tcPr>
                  <w:tcW w:w="2497" w:type="dxa"/>
                </w:tcPr>
                <w:p w14:paraId="6BBDDA03" w14:textId="77777777" w:rsidR="00EB73D7" w:rsidRPr="00324315" w:rsidRDefault="00EB73D7" w:rsidP="002D655C">
                  <w:pPr>
                    <w:rPr>
                      <w:sz w:val="16"/>
                      <w:szCs w:val="16"/>
                    </w:rPr>
                  </w:pPr>
                  <w:r w:rsidRPr="00324315">
                    <w:rPr>
                      <w:sz w:val="16"/>
                      <w:szCs w:val="16"/>
                    </w:rPr>
                    <w:t>ESG Disclosure Score</w:t>
                  </w:r>
                </w:p>
              </w:tc>
              <w:tc>
                <w:tcPr>
                  <w:tcW w:w="862" w:type="dxa"/>
                </w:tcPr>
                <w:p w14:paraId="6D6186B8" w14:textId="2BC80238" w:rsidR="00EB73D7" w:rsidRPr="00324315" w:rsidRDefault="00490C01" w:rsidP="002D655C">
                  <w:pPr>
                    <w:rPr>
                      <w:sz w:val="16"/>
                      <w:szCs w:val="16"/>
                    </w:rPr>
                  </w:pPr>
                  <w:r>
                    <w:rPr>
                      <w:sz w:val="16"/>
                      <w:szCs w:val="16"/>
                    </w:rPr>
                    <w:t>25.21</w:t>
                  </w:r>
                </w:p>
              </w:tc>
              <w:tc>
                <w:tcPr>
                  <w:tcW w:w="807" w:type="dxa"/>
                </w:tcPr>
                <w:p w14:paraId="517A34C2" w14:textId="0E1ADDF0" w:rsidR="00EB73D7" w:rsidRPr="00324315" w:rsidRDefault="00490C01" w:rsidP="002D655C">
                  <w:pPr>
                    <w:rPr>
                      <w:sz w:val="16"/>
                      <w:szCs w:val="16"/>
                    </w:rPr>
                  </w:pPr>
                  <w:r>
                    <w:rPr>
                      <w:sz w:val="16"/>
                      <w:szCs w:val="16"/>
                    </w:rPr>
                    <w:t>24.33</w:t>
                  </w:r>
                </w:p>
              </w:tc>
            </w:tr>
            <w:tr w:rsidR="00EB73D7" w:rsidRPr="00324315" w14:paraId="7A94F7D3" w14:textId="77777777" w:rsidTr="002D655C">
              <w:tc>
                <w:tcPr>
                  <w:tcW w:w="2497" w:type="dxa"/>
                </w:tcPr>
                <w:p w14:paraId="2FB28519" w14:textId="77777777" w:rsidR="00EB73D7" w:rsidRPr="00324315" w:rsidRDefault="00EB73D7" w:rsidP="002D655C">
                  <w:pPr>
                    <w:rPr>
                      <w:sz w:val="16"/>
                      <w:szCs w:val="16"/>
                    </w:rPr>
                  </w:pPr>
                  <w:r w:rsidRPr="00324315">
                    <w:rPr>
                      <w:sz w:val="16"/>
                      <w:szCs w:val="16"/>
                    </w:rPr>
                    <w:t>Governance Disclosure Score</w:t>
                  </w:r>
                </w:p>
              </w:tc>
              <w:tc>
                <w:tcPr>
                  <w:tcW w:w="862" w:type="dxa"/>
                </w:tcPr>
                <w:p w14:paraId="6EA8E978" w14:textId="0008B5AB" w:rsidR="00EB73D7" w:rsidRPr="00324315" w:rsidRDefault="00490C01" w:rsidP="002D655C">
                  <w:pPr>
                    <w:rPr>
                      <w:sz w:val="16"/>
                      <w:szCs w:val="16"/>
                    </w:rPr>
                  </w:pPr>
                  <w:r>
                    <w:rPr>
                      <w:sz w:val="16"/>
                      <w:szCs w:val="16"/>
                    </w:rPr>
                    <w:t>60.71</w:t>
                  </w:r>
                </w:p>
              </w:tc>
              <w:tc>
                <w:tcPr>
                  <w:tcW w:w="807" w:type="dxa"/>
                </w:tcPr>
                <w:p w14:paraId="6111952E" w14:textId="5B6FA7E6" w:rsidR="00EB73D7" w:rsidRPr="00324315" w:rsidRDefault="00490C01" w:rsidP="002D655C">
                  <w:pPr>
                    <w:rPr>
                      <w:sz w:val="16"/>
                      <w:szCs w:val="16"/>
                    </w:rPr>
                  </w:pPr>
                  <w:r>
                    <w:rPr>
                      <w:sz w:val="16"/>
                      <w:szCs w:val="16"/>
                    </w:rPr>
                    <w:t>53.79</w:t>
                  </w:r>
                </w:p>
              </w:tc>
            </w:tr>
            <w:tr w:rsidR="00EB73D7" w:rsidRPr="00324315" w14:paraId="4A0DF326" w14:textId="77777777" w:rsidTr="002D655C">
              <w:tc>
                <w:tcPr>
                  <w:tcW w:w="2497" w:type="dxa"/>
                </w:tcPr>
                <w:p w14:paraId="3FF44BFE" w14:textId="77777777" w:rsidR="00EB73D7" w:rsidRPr="00324315" w:rsidRDefault="00EB73D7" w:rsidP="002D655C">
                  <w:pPr>
                    <w:rPr>
                      <w:sz w:val="16"/>
                      <w:szCs w:val="16"/>
                    </w:rPr>
                  </w:pPr>
                  <w:r w:rsidRPr="00324315">
                    <w:rPr>
                      <w:sz w:val="16"/>
                      <w:szCs w:val="16"/>
                    </w:rPr>
                    <w:t>Social Disclosure Score</w:t>
                  </w:r>
                </w:p>
              </w:tc>
              <w:tc>
                <w:tcPr>
                  <w:tcW w:w="862" w:type="dxa"/>
                </w:tcPr>
                <w:p w14:paraId="1A14304F" w14:textId="53FF7816" w:rsidR="00EB73D7" w:rsidRPr="00324315" w:rsidRDefault="00490C01" w:rsidP="002D655C">
                  <w:pPr>
                    <w:rPr>
                      <w:sz w:val="16"/>
                      <w:szCs w:val="16"/>
                    </w:rPr>
                  </w:pPr>
                  <w:r>
                    <w:rPr>
                      <w:sz w:val="16"/>
                      <w:szCs w:val="16"/>
                    </w:rPr>
                    <w:t>19.30</w:t>
                  </w:r>
                </w:p>
              </w:tc>
              <w:tc>
                <w:tcPr>
                  <w:tcW w:w="807" w:type="dxa"/>
                </w:tcPr>
                <w:p w14:paraId="138E02CB" w14:textId="020CD7C6" w:rsidR="00EB73D7" w:rsidRPr="00324315" w:rsidRDefault="00490C01" w:rsidP="002D655C">
                  <w:pPr>
                    <w:rPr>
                      <w:sz w:val="16"/>
                      <w:szCs w:val="16"/>
                    </w:rPr>
                  </w:pPr>
                  <w:r>
                    <w:rPr>
                      <w:sz w:val="16"/>
                      <w:szCs w:val="16"/>
                    </w:rPr>
                    <w:t>25</w:t>
                  </w:r>
                </w:p>
              </w:tc>
            </w:tr>
            <w:tr w:rsidR="00EB73D7" w:rsidRPr="00324315" w14:paraId="390BAB0E" w14:textId="77777777" w:rsidTr="002D655C">
              <w:tc>
                <w:tcPr>
                  <w:tcW w:w="2497" w:type="dxa"/>
                </w:tcPr>
                <w:p w14:paraId="1435C4A3" w14:textId="77777777" w:rsidR="00EB73D7" w:rsidRPr="00324315" w:rsidRDefault="00EB73D7" w:rsidP="002D655C">
                  <w:pPr>
                    <w:rPr>
                      <w:sz w:val="16"/>
                      <w:szCs w:val="16"/>
                    </w:rPr>
                  </w:pPr>
                  <w:r w:rsidRPr="00324315">
                    <w:rPr>
                      <w:sz w:val="16"/>
                      <w:szCs w:val="16"/>
                    </w:rPr>
                    <w:t>Environmental Disclosure Score</w:t>
                  </w:r>
                </w:p>
              </w:tc>
              <w:tc>
                <w:tcPr>
                  <w:tcW w:w="862" w:type="dxa"/>
                </w:tcPr>
                <w:p w14:paraId="6DC54DCB" w14:textId="44F1A7DE" w:rsidR="00EB73D7" w:rsidRPr="00324315" w:rsidRDefault="00490C01" w:rsidP="002D655C">
                  <w:pPr>
                    <w:rPr>
                      <w:sz w:val="16"/>
                      <w:szCs w:val="16"/>
                    </w:rPr>
                  </w:pPr>
                  <w:r>
                    <w:rPr>
                      <w:sz w:val="16"/>
                      <w:szCs w:val="16"/>
                    </w:rPr>
                    <w:t>12.85</w:t>
                  </w:r>
                </w:p>
              </w:tc>
              <w:tc>
                <w:tcPr>
                  <w:tcW w:w="807" w:type="dxa"/>
                </w:tcPr>
                <w:p w14:paraId="454667DF" w14:textId="74F97C38" w:rsidR="00EB73D7" w:rsidRPr="00324315" w:rsidRDefault="00490C01" w:rsidP="002D655C">
                  <w:pPr>
                    <w:rPr>
                      <w:sz w:val="16"/>
                      <w:szCs w:val="16"/>
                    </w:rPr>
                  </w:pPr>
                  <w:r>
                    <w:rPr>
                      <w:sz w:val="16"/>
                      <w:szCs w:val="16"/>
                    </w:rPr>
                    <w:t>12.40</w:t>
                  </w:r>
                </w:p>
              </w:tc>
            </w:tr>
          </w:tbl>
          <w:p w14:paraId="62EFF545" w14:textId="24610E0D" w:rsidR="009F0D12" w:rsidRPr="00324315" w:rsidRDefault="00490C01" w:rsidP="0010720B">
            <w:pPr>
              <w:jc w:val="both"/>
              <w:rPr>
                <w:b/>
                <w:sz w:val="16"/>
                <w:szCs w:val="16"/>
                <w:lang w:eastAsia="zh-CN"/>
              </w:rPr>
            </w:pPr>
            <w:r>
              <w:rPr>
                <w:b/>
                <w:sz w:val="16"/>
                <w:szCs w:val="16"/>
              </w:rPr>
              <w:t>Prepared By: Akhil Sood, 02/10</w:t>
            </w:r>
            <w:r w:rsidR="00632652" w:rsidRPr="00324315">
              <w:rPr>
                <w:b/>
                <w:sz w:val="16"/>
                <w:szCs w:val="16"/>
              </w:rPr>
              <w:t>/2016</w:t>
            </w:r>
          </w:p>
        </w:tc>
      </w:tr>
    </w:tbl>
    <w:p w14:paraId="5C1E381E" w14:textId="36A09156" w:rsidR="00830F06" w:rsidRDefault="00830F06" w:rsidP="00D8492B">
      <w:pPr>
        <w:jc w:val="both"/>
        <w:rPr>
          <w:b/>
          <w:sz w:val="16"/>
          <w:szCs w:val="16"/>
          <w:lang w:eastAsia="zh-CN"/>
        </w:rPr>
      </w:pPr>
    </w:p>
    <w:p w14:paraId="381EC712" w14:textId="77777777" w:rsidR="00A1512A" w:rsidRDefault="00A1512A" w:rsidP="00D8492B">
      <w:pPr>
        <w:jc w:val="both"/>
        <w:rPr>
          <w:b/>
          <w:sz w:val="16"/>
          <w:szCs w:val="16"/>
          <w:lang w:eastAsia="zh-CN"/>
        </w:rPr>
      </w:pPr>
    </w:p>
    <w:p w14:paraId="0FC7C4F3" w14:textId="77777777" w:rsidR="00A1512A" w:rsidRDefault="00A1512A" w:rsidP="00D8492B">
      <w:pPr>
        <w:jc w:val="both"/>
        <w:rPr>
          <w:b/>
          <w:sz w:val="16"/>
          <w:szCs w:val="16"/>
          <w:lang w:eastAsia="zh-CN"/>
        </w:rPr>
      </w:pPr>
    </w:p>
    <w:p w14:paraId="7DDB55B9" w14:textId="77777777" w:rsidR="00A1512A" w:rsidRDefault="00A1512A" w:rsidP="00D8492B">
      <w:pPr>
        <w:jc w:val="both"/>
        <w:rPr>
          <w:b/>
          <w:sz w:val="16"/>
          <w:szCs w:val="16"/>
          <w:lang w:eastAsia="zh-CN"/>
        </w:rPr>
      </w:pPr>
    </w:p>
    <w:p w14:paraId="627483EE" w14:textId="77777777" w:rsidR="00A1512A" w:rsidRDefault="00A1512A" w:rsidP="00D8492B">
      <w:pPr>
        <w:jc w:val="both"/>
        <w:rPr>
          <w:b/>
          <w:sz w:val="16"/>
          <w:szCs w:val="16"/>
          <w:lang w:eastAsia="zh-CN"/>
        </w:rPr>
      </w:pPr>
    </w:p>
    <w:p w14:paraId="54A8A6F9" w14:textId="77777777" w:rsidR="0030390B" w:rsidRPr="0030390B" w:rsidRDefault="0030390B" w:rsidP="0030390B">
      <w:pPr>
        <w:jc w:val="both"/>
        <w:rPr>
          <w:b/>
          <w:lang w:eastAsia="zh-CN"/>
        </w:rPr>
      </w:pPr>
    </w:p>
    <w:sectPr w:rsidR="0030390B" w:rsidRPr="0030390B" w:rsidSect="007E4065">
      <w:pgSz w:w="12240" w:h="15840"/>
      <w:pgMar w:top="252"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UniversLTStd-BoldC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9091C"/>
    <w:multiLevelType w:val="hybridMultilevel"/>
    <w:tmpl w:val="A920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03F58"/>
    <w:multiLevelType w:val="hybridMultilevel"/>
    <w:tmpl w:val="BEAC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74E35"/>
    <w:multiLevelType w:val="hybridMultilevel"/>
    <w:tmpl w:val="AC549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7317BD"/>
    <w:multiLevelType w:val="hybridMultilevel"/>
    <w:tmpl w:val="CA0E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1187B"/>
    <w:multiLevelType w:val="hybridMultilevel"/>
    <w:tmpl w:val="BD90D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7D323D"/>
    <w:multiLevelType w:val="hybridMultilevel"/>
    <w:tmpl w:val="2DC67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EA034D"/>
    <w:multiLevelType w:val="hybridMultilevel"/>
    <w:tmpl w:val="87B0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074E5F"/>
    <w:multiLevelType w:val="hybridMultilevel"/>
    <w:tmpl w:val="D33C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DB774C"/>
    <w:multiLevelType w:val="hybridMultilevel"/>
    <w:tmpl w:val="3C40D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5F5E15"/>
    <w:multiLevelType w:val="hybridMultilevel"/>
    <w:tmpl w:val="2656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FE07C3"/>
    <w:multiLevelType w:val="hybridMultilevel"/>
    <w:tmpl w:val="CA9C8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4"/>
  </w:num>
  <w:num w:numId="4">
    <w:abstractNumId w:val="11"/>
  </w:num>
  <w:num w:numId="5">
    <w:abstractNumId w:val="5"/>
  </w:num>
  <w:num w:numId="6">
    <w:abstractNumId w:val="2"/>
  </w:num>
  <w:num w:numId="7">
    <w:abstractNumId w:val="3"/>
  </w:num>
  <w:num w:numId="8">
    <w:abstractNumId w:val="1"/>
  </w:num>
  <w:num w:numId="9">
    <w:abstractNumId w:val="7"/>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B8"/>
    <w:rsid w:val="00012726"/>
    <w:rsid w:val="000145A7"/>
    <w:rsid w:val="00014EFE"/>
    <w:rsid w:val="00022508"/>
    <w:rsid w:val="00026F5E"/>
    <w:rsid w:val="0003326A"/>
    <w:rsid w:val="00034A52"/>
    <w:rsid w:val="000528A3"/>
    <w:rsid w:val="00056CE9"/>
    <w:rsid w:val="00066CC4"/>
    <w:rsid w:val="00071F4F"/>
    <w:rsid w:val="00096901"/>
    <w:rsid w:val="000A0DE5"/>
    <w:rsid w:val="000E0407"/>
    <w:rsid w:val="000E0C3A"/>
    <w:rsid w:val="000F122E"/>
    <w:rsid w:val="0010720B"/>
    <w:rsid w:val="0012425D"/>
    <w:rsid w:val="0013332F"/>
    <w:rsid w:val="001366A3"/>
    <w:rsid w:val="0014778C"/>
    <w:rsid w:val="00197A37"/>
    <w:rsid w:val="001A0951"/>
    <w:rsid w:val="001A4CD7"/>
    <w:rsid w:val="001A54DB"/>
    <w:rsid w:val="001C5C89"/>
    <w:rsid w:val="001D3CAE"/>
    <w:rsid w:val="001F411C"/>
    <w:rsid w:val="001F4C8C"/>
    <w:rsid w:val="001F5F59"/>
    <w:rsid w:val="002039D4"/>
    <w:rsid w:val="002105B2"/>
    <w:rsid w:val="00216841"/>
    <w:rsid w:val="00231ED5"/>
    <w:rsid w:val="00245DD4"/>
    <w:rsid w:val="002535D2"/>
    <w:rsid w:val="00254456"/>
    <w:rsid w:val="00263A2E"/>
    <w:rsid w:val="00274740"/>
    <w:rsid w:val="0029559F"/>
    <w:rsid w:val="002A0663"/>
    <w:rsid w:val="002B04FE"/>
    <w:rsid w:val="002D3CFC"/>
    <w:rsid w:val="002D655C"/>
    <w:rsid w:val="002E5ADC"/>
    <w:rsid w:val="002F062C"/>
    <w:rsid w:val="0030390B"/>
    <w:rsid w:val="003073EA"/>
    <w:rsid w:val="003173DA"/>
    <w:rsid w:val="00324315"/>
    <w:rsid w:val="0033512A"/>
    <w:rsid w:val="00357218"/>
    <w:rsid w:val="00371C05"/>
    <w:rsid w:val="00375DB5"/>
    <w:rsid w:val="00384388"/>
    <w:rsid w:val="00386A22"/>
    <w:rsid w:val="00392411"/>
    <w:rsid w:val="00392719"/>
    <w:rsid w:val="003A37CB"/>
    <w:rsid w:val="003B3070"/>
    <w:rsid w:val="003C3391"/>
    <w:rsid w:val="003C3EC1"/>
    <w:rsid w:val="003E5DB4"/>
    <w:rsid w:val="003E7CA1"/>
    <w:rsid w:val="003F1C8A"/>
    <w:rsid w:val="003F7FD3"/>
    <w:rsid w:val="00401063"/>
    <w:rsid w:val="00401E94"/>
    <w:rsid w:val="00417CC5"/>
    <w:rsid w:val="00421632"/>
    <w:rsid w:val="0043087B"/>
    <w:rsid w:val="00443ED9"/>
    <w:rsid w:val="00450C7B"/>
    <w:rsid w:val="00462682"/>
    <w:rsid w:val="00490C01"/>
    <w:rsid w:val="004C1081"/>
    <w:rsid w:val="004D3729"/>
    <w:rsid w:val="004D7282"/>
    <w:rsid w:val="004F2EAA"/>
    <w:rsid w:val="004F53DC"/>
    <w:rsid w:val="004F60B9"/>
    <w:rsid w:val="0050052A"/>
    <w:rsid w:val="00500BAE"/>
    <w:rsid w:val="00501519"/>
    <w:rsid w:val="00521066"/>
    <w:rsid w:val="00532418"/>
    <w:rsid w:val="00547B13"/>
    <w:rsid w:val="0056019E"/>
    <w:rsid w:val="0056351A"/>
    <w:rsid w:val="00575123"/>
    <w:rsid w:val="00597CA6"/>
    <w:rsid w:val="005A43A8"/>
    <w:rsid w:val="005D4654"/>
    <w:rsid w:val="005D533F"/>
    <w:rsid w:val="005E114B"/>
    <w:rsid w:val="005E2672"/>
    <w:rsid w:val="005E4CAC"/>
    <w:rsid w:val="005F606E"/>
    <w:rsid w:val="00600A80"/>
    <w:rsid w:val="00601444"/>
    <w:rsid w:val="0060598F"/>
    <w:rsid w:val="00630775"/>
    <w:rsid w:val="00632652"/>
    <w:rsid w:val="00667760"/>
    <w:rsid w:val="006710A0"/>
    <w:rsid w:val="00674795"/>
    <w:rsid w:val="006953F0"/>
    <w:rsid w:val="006A37B5"/>
    <w:rsid w:val="006A61A4"/>
    <w:rsid w:val="006B0A61"/>
    <w:rsid w:val="006C1408"/>
    <w:rsid w:val="006E2939"/>
    <w:rsid w:val="006E44B8"/>
    <w:rsid w:val="006E5EA1"/>
    <w:rsid w:val="006F05AC"/>
    <w:rsid w:val="007237E6"/>
    <w:rsid w:val="00752BF4"/>
    <w:rsid w:val="0076327C"/>
    <w:rsid w:val="007814A0"/>
    <w:rsid w:val="00786CCC"/>
    <w:rsid w:val="007B2A6D"/>
    <w:rsid w:val="007B6409"/>
    <w:rsid w:val="007B6D7D"/>
    <w:rsid w:val="007D12F0"/>
    <w:rsid w:val="007D4DEC"/>
    <w:rsid w:val="007E4065"/>
    <w:rsid w:val="007F4659"/>
    <w:rsid w:val="00804E00"/>
    <w:rsid w:val="00815FF3"/>
    <w:rsid w:val="00830F06"/>
    <w:rsid w:val="00832142"/>
    <w:rsid w:val="00835134"/>
    <w:rsid w:val="0085115D"/>
    <w:rsid w:val="00857BC1"/>
    <w:rsid w:val="008717C3"/>
    <w:rsid w:val="00874223"/>
    <w:rsid w:val="00874A7B"/>
    <w:rsid w:val="008B72AE"/>
    <w:rsid w:val="008C5D56"/>
    <w:rsid w:val="008D49EF"/>
    <w:rsid w:val="008F5A79"/>
    <w:rsid w:val="00900789"/>
    <w:rsid w:val="009007A6"/>
    <w:rsid w:val="00911AF8"/>
    <w:rsid w:val="00913FF8"/>
    <w:rsid w:val="00915605"/>
    <w:rsid w:val="00920D13"/>
    <w:rsid w:val="00923CAB"/>
    <w:rsid w:val="00927E43"/>
    <w:rsid w:val="0097552E"/>
    <w:rsid w:val="009C57C6"/>
    <w:rsid w:val="009D5A45"/>
    <w:rsid w:val="009D7A72"/>
    <w:rsid w:val="009F0830"/>
    <w:rsid w:val="009F0D12"/>
    <w:rsid w:val="009F2E51"/>
    <w:rsid w:val="00A10BEF"/>
    <w:rsid w:val="00A1512A"/>
    <w:rsid w:val="00A217ED"/>
    <w:rsid w:val="00A30926"/>
    <w:rsid w:val="00A56542"/>
    <w:rsid w:val="00A603A6"/>
    <w:rsid w:val="00A63E9D"/>
    <w:rsid w:val="00A717BA"/>
    <w:rsid w:val="00A8303B"/>
    <w:rsid w:val="00A8460D"/>
    <w:rsid w:val="00A85575"/>
    <w:rsid w:val="00AA0C48"/>
    <w:rsid w:val="00AA5ED5"/>
    <w:rsid w:val="00AB003F"/>
    <w:rsid w:val="00AB159E"/>
    <w:rsid w:val="00B22327"/>
    <w:rsid w:val="00B335E6"/>
    <w:rsid w:val="00B502EC"/>
    <w:rsid w:val="00B52573"/>
    <w:rsid w:val="00B7642F"/>
    <w:rsid w:val="00B76988"/>
    <w:rsid w:val="00B94DBA"/>
    <w:rsid w:val="00BA3682"/>
    <w:rsid w:val="00BA6F89"/>
    <w:rsid w:val="00BA7CED"/>
    <w:rsid w:val="00BB3908"/>
    <w:rsid w:val="00BB61F8"/>
    <w:rsid w:val="00BC3AB4"/>
    <w:rsid w:val="00BC5E50"/>
    <w:rsid w:val="00BD4639"/>
    <w:rsid w:val="00BE10B7"/>
    <w:rsid w:val="00BF2DE5"/>
    <w:rsid w:val="00C15E83"/>
    <w:rsid w:val="00C161B3"/>
    <w:rsid w:val="00C2195E"/>
    <w:rsid w:val="00C236CF"/>
    <w:rsid w:val="00C3320D"/>
    <w:rsid w:val="00C352F3"/>
    <w:rsid w:val="00C441B3"/>
    <w:rsid w:val="00C9117C"/>
    <w:rsid w:val="00C97C4E"/>
    <w:rsid w:val="00CA7C70"/>
    <w:rsid w:val="00CC0565"/>
    <w:rsid w:val="00CE4435"/>
    <w:rsid w:val="00CF27D4"/>
    <w:rsid w:val="00CF2F28"/>
    <w:rsid w:val="00D04F99"/>
    <w:rsid w:val="00D0612C"/>
    <w:rsid w:val="00D16B81"/>
    <w:rsid w:val="00D363A8"/>
    <w:rsid w:val="00D570FE"/>
    <w:rsid w:val="00D636EF"/>
    <w:rsid w:val="00D8492B"/>
    <w:rsid w:val="00DA56AC"/>
    <w:rsid w:val="00DB5A10"/>
    <w:rsid w:val="00DB5E73"/>
    <w:rsid w:val="00DB7B0E"/>
    <w:rsid w:val="00DF0D9C"/>
    <w:rsid w:val="00E045F0"/>
    <w:rsid w:val="00E14AC6"/>
    <w:rsid w:val="00E15185"/>
    <w:rsid w:val="00E349B1"/>
    <w:rsid w:val="00E3542E"/>
    <w:rsid w:val="00E36165"/>
    <w:rsid w:val="00E51FAC"/>
    <w:rsid w:val="00E5675C"/>
    <w:rsid w:val="00E6009F"/>
    <w:rsid w:val="00E642EE"/>
    <w:rsid w:val="00E8555E"/>
    <w:rsid w:val="00E90970"/>
    <w:rsid w:val="00E96657"/>
    <w:rsid w:val="00E96739"/>
    <w:rsid w:val="00EA31B0"/>
    <w:rsid w:val="00EA5213"/>
    <w:rsid w:val="00EB73D7"/>
    <w:rsid w:val="00EB7E76"/>
    <w:rsid w:val="00EC2755"/>
    <w:rsid w:val="00EC75B4"/>
    <w:rsid w:val="00ED68A2"/>
    <w:rsid w:val="00EF1E8D"/>
    <w:rsid w:val="00F01A06"/>
    <w:rsid w:val="00F04E1E"/>
    <w:rsid w:val="00F272C6"/>
    <w:rsid w:val="00F31E0C"/>
    <w:rsid w:val="00F33587"/>
    <w:rsid w:val="00F56067"/>
    <w:rsid w:val="00F56E16"/>
    <w:rsid w:val="00F65A7F"/>
    <w:rsid w:val="00F75698"/>
    <w:rsid w:val="00F77D0C"/>
    <w:rsid w:val="00F818EA"/>
    <w:rsid w:val="00F856C9"/>
    <w:rsid w:val="00F92EDE"/>
    <w:rsid w:val="00F96F5E"/>
    <w:rsid w:val="00FA288F"/>
    <w:rsid w:val="00FA5BBC"/>
    <w:rsid w:val="00FC20D0"/>
    <w:rsid w:val="00FC33EF"/>
    <w:rsid w:val="00FC4084"/>
    <w:rsid w:val="00FF2C25"/>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4:defaultImageDpi w14:val="300"/>
  <w15:docId w15:val="{3AB7257A-FD9F-4599-AA03-B18F53A5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0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rPr>
      <w:rFonts w:asciiTheme="minorHAnsi" w:hAnsiTheme="minorHAnsi" w:cstheme="minorBidi"/>
    </w:rPr>
  </w:style>
  <w:style w:type="paragraph" w:styleId="NormalWeb">
    <w:name w:val="Normal (Web)"/>
    <w:basedOn w:val="Normal"/>
    <w:uiPriority w:val="99"/>
    <w:semiHidden/>
    <w:unhideWhenUsed/>
    <w:rsid w:val="00D8492B"/>
  </w:style>
  <w:style w:type="character" w:customStyle="1" w:styleId="apple-converted-space">
    <w:name w:val="apple-converted-space"/>
    <w:basedOn w:val="DefaultParagraphFont"/>
    <w:rsid w:val="00601444"/>
  </w:style>
  <w:style w:type="character" w:styleId="Hyperlink">
    <w:name w:val="Hyperlink"/>
    <w:basedOn w:val="DefaultParagraphFont"/>
    <w:uiPriority w:val="99"/>
    <w:semiHidden/>
    <w:unhideWhenUsed/>
    <w:rsid w:val="00600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6053">
      <w:bodyDiv w:val="1"/>
      <w:marLeft w:val="0"/>
      <w:marRight w:val="0"/>
      <w:marTop w:val="0"/>
      <w:marBottom w:val="0"/>
      <w:divBdr>
        <w:top w:val="none" w:sz="0" w:space="0" w:color="auto"/>
        <w:left w:val="none" w:sz="0" w:space="0" w:color="auto"/>
        <w:bottom w:val="none" w:sz="0" w:space="0" w:color="auto"/>
        <w:right w:val="none" w:sz="0" w:space="0" w:color="auto"/>
      </w:divBdr>
    </w:div>
    <w:div w:id="104153600">
      <w:bodyDiv w:val="1"/>
      <w:marLeft w:val="0"/>
      <w:marRight w:val="0"/>
      <w:marTop w:val="0"/>
      <w:marBottom w:val="0"/>
      <w:divBdr>
        <w:top w:val="none" w:sz="0" w:space="0" w:color="auto"/>
        <w:left w:val="none" w:sz="0" w:space="0" w:color="auto"/>
        <w:bottom w:val="none" w:sz="0" w:space="0" w:color="auto"/>
        <w:right w:val="none" w:sz="0" w:space="0" w:color="auto"/>
      </w:divBdr>
      <w:divsChild>
        <w:div w:id="1172987387">
          <w:marLeft w:val="0"/>
          <w:marRight w:val="0"/>
          <w:marTop w:val="0"/>
          <w:marBottom w:val="0"/>
          <w:divBdr>
            <w:top w:val="none" w:sz="0" w:space="0" w:color="auto"/>
            <w:left w:val="none" w:sz="0" w:space="0" w:color="auto"/>
            <w:bottom w:val="none" w:sz="0" w:space="0" w:color="auto"/>
            <w:right w:val="none" w:sz="0" w:space="0" w:color="auto"/>
          </w:divBdr>
          <w:divsChild>
            <w:div w:id="984772771">
              <w:marLeft w:val="0"/>
              <w:marRight w:val="0"/>
              <w:marTop w:val="0"/>
              <w:marBottom w:val="0"/>
              <w:divBdr>
                <w:top w:val="none" w:sz="0" w:space="0" w:color="auto"/>
                <w:left w:val="none" w:sz="0" w:space="0" w:color="auto"/>
                <w:bottom w:val="none" w:sz="0" w:space="0" w:color="auto"/>
                <w:right w:val="none" w:sz="0" w:space="0" w:color="auto"/>
              </w:divBdr>
              <w:divsChild>
                <w:div w:id="680930212">
                  <w:marLeft w:val="0"/>
                  <w:marRight w:val="0"/>
                  <w:marTop w:val="0"/>
                  <w:marBottom w:val="0"/>
                  <w:divBdr>
                    <w:top w:val="none" w:sz="0" w:space="0" w:color="auto"/>
                    <w:left w:val="none" w:sz="0" w:space="0" w:color="auto"/>
                    <w:bottom w:val="none" w:sz="0" w:space="0" w:color="auto"/>
                    <w:right w:val="none" w:sz="0" w:space="0" w:color="auto"/>
                  </w:divBdr>
                  <w:divsChild>
                    <w:div w:id="10576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2245">
      <w:bodyDiv w:val="1"/>
      <w:marLeft w:val="0"/>
      <w:marRight w:val="0"/>
      <w:marTop w:val="0"/>
      <w:marBottom w:val="0"/>
      <w:divBdr>
        <w:top w:val="none" w:sz="0" w:space="0" w:color="auto"/>
        <w:left w:val="none" w:sz="0" w:space="0" w:color="auto"/>
        <w:bottom w:val="none" w:sz="0" w:space="0" w:color="auto"/>
        <w:right w:val="none" w:sz="0" w:space="0" w:color="auto"/>
      </w:divBdr>
      <w:divsChild>
        <w:div w:id="1587835805">
          <w:marLeft w:val="0"/>
          <w:marRight w:val="0"/>
          <w:marTop w:val="0"/>
          <w:marBottom w:val="0"/>
          <w:divBdr>
            <w:top w:val="none" w:sz="0" w:space="0" w:color="auto"/>
            <w:left w:val="none" w:sz="0" w:space="0" w:color="auto"/>
            <w:bottom w:val="none" w:sz="0" w:space="0" w:color="auto"/>
            <w:right w:val="none" w:sz="0" w:space="0" w:color="auto"/>
          </w:divBdr>
          <w:divsChild>
            <w:div w:id="1725566102">
              <w:marLeft w:val="0"/>
              <w:marRight w:val="0"/>
              <w:marTop w:val="0"/>
              <w:marBottom w:val="0"/>
              <w:divBdr>
                <w:top w:val="none" w:sz="0" w:space="0" w:color="auto"/>
                <w:left w:val="none" w:sz="0" w:space="0" w:color="auto"/>
                <w:bottom w:val="none" w:sz="0" w:space="0" w:color="auto"/>
                <w:right w:val="none" w:sz="0" w:space="0" w:color="auto"/>
              </w:divBdr>
              <w:divsChild>
                <w:div w:id="1553007555">
                  <w:marLeft w:val="0"/>
                  <w:marRight w:val="0"/>
                  <w:marTop w:val="0"/>
                  <w:marBottom w:val="0"/>
                  <w:divBdr>
                    <w:top w:val="none" w:sz="0" w:space="0" w:color="auto"/>
                    <w:left w:val="none" w:sz="0" w:space="0" w:color="auto"/>
                    <w:bottom w:val="none" w:sz="0" w:space="0" w:color="auto"/>
                    <w:right w:val="none" w:sz="0" w:space="0" w:color="auto"/>
                  </w:divBdr>
                  <w:divsChild>
                    <w:div w:id="3877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89214">
      <w:bodyDiv w:val="1"/>
      <w:marLeft w:val="0"/>
      <w:marRight w:val="0"/>
      <w:marTop w:val="0"/>
      <w:marBottom w:val="0"/>
      <w:divBdr>
        <w:top w:val="none" w:sz="0" w:space="0" w:color="auto"/>
        <w:left w:val="none" w:sz="0" w:space="0" w:color="auto"/>
        <w:bottom w:val="none" w:sz="0" w:space="0" w:color="auto"/>
        <w:right w:val="none" w:sz="0" w:space="0" w:color="auto"/>
      </w:divBdr>
    </w:div>
    <w:div w:id="339623579">
      <w:bodyDiv w:val="1"/>
      <w:marLeft w:val="0"/>
      <w:marRight w:val="0"/>
      <w:marTop w:val="0"/>
      <w:marBottom w:val="0"/>
      <w:divBdr>
        <w:top w:val="none" w:sz="0" w:space="0" w:color="auto"/>
        <w:left w:val="none" w:sz="0" w:space="0" w:color="auto"/>
        <w:bottom w:val="none" w:sz="0" w:space="0" w:color="auto"/>
        <w:right w:val="none" w:sz="0" w:space="0" w:color="auto"/>
      </w:divBdr>
      <w:divsChild>
        <w:div w:id="500781612">
          <w:marLeft w:val="0"/>
          <w:marRight w:val="0"/>
          <w:marTop w:val="0"/>
          <w:marBottom w:val="0"/>
          <w:divBdr>
            <w:top w:val="none" w:sz="0" w:space="0" w:color="auto"/>
            <w:left w:val="none" w:sz="0" w:space="0" w:color="auto"/>
            <w:bottom w:val="none" w:sz="0" w:space="0" w:color="auto"/>
            <w:right w:val="none" w:sz="0" w:space="0" w:color="auto"/>
          </w:divBdr>
          <w:divsChild>
            <w:div w:id="237834088">
              <w:marLeft w:val="0"/>
              <w:marRight w:val="0"/>
              <w:marTop w:val="0"/>
              <w:marBottom w:val="0"/>
              <w:divBdr>
                <w:top w:val="none" w:sz="0" w:space="0" w:color="auto"/>
                <w:left w:val="none" w:sz="0" w:space="0" w:color="auto"/>
                <w:bottom w:val="none" w:sz="0" w:space="0" w:color="auto"/>
                <w:right w:val="none" w:sz="0" w:space="0" w:color="auto"/>
              </w:divBdr>
              <w:divsChild>
                <w:div w:id="1181551780">
                  <w:marLeft w:val="0"/>
                  <w:marRight w:val="0"/>
                  <w:marTop w:val="0"/>
                  <w:marBottom w:val="0"/>
                  <w:divBdr>
                    <w:top w:val="none" w:sz="0" w:space="0" w:color="auto"/>
                    <w:left w:val="none" w:sz="0" w:space="0" w:color="auto"/>
                    <w:bottom w:val="none" w:sz="0" w:space="0" w:color="auto"/>
                    <w:right w:val="none" w:sz="0" w:space="0" w:color="auto"/>
                  </w:divBdr>
                  <w:divsChild>
                    <w:div w:id="16736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03864">
      <w:bodyDiv w:val="1"/>
      <w:marLeft w:val="0"/>
      <w:marRight w:val="0"/>
      <w:marTop w:val="0"/>
      <w:marBottom w:val="0"/>
      <w:divBdr>
        <w:top w:val="none" w:sz="0" w:space="0" w:color="auto"/>
        <w:left w:val="none" w:sz="0" w:space="0" w:color="auto"/>
        <w:bottom w:val="none" w:sz="0" w:space="0" w:color="auto"/>
        <w:right w:val="none" w:sz="0" w:space="0" w:color="auto"/>
      </w:divBdr>
    </w:div>
    <w:div w:id="769818395">
      <w:bodyDiv w:val="1"/>
      <w:marLeft w:val="0"/>
      <w:marRight w:val="0"/>
      <w:marTop w:val="0"/>
      <w:marBottom w:val="0"/>
      <w:divBdr>
        <w:top w:val="none" w:sz="0" w:space="0" w:color="auto"/>
        <w:left w:val="none" w:sz="0" w:space="0" w:color="auto"/>
        <w:bottom w:val="none" w:sz="0" w:space="0" w:color="auto"/>
        <w:right w:val="none" w:sz="0" w:space="0" w:color="auto"/>
      </w:divBdr>
    </w:div>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848064216">
      <w:bodyDiv w:val="1"/>
      <w:marLeft w:val="0"/>
      <w:marRight w:val="0"/>
      <w:marTop w:val="0"/>
      <w:marBottom w:val="0"/>
      <w:divBdr>
        <w:top w:val="none" w:sz="0" w:space="0" w:color="auto"/>
        <w:left w:val="none" w:sz="0" w:space="0" w:color="auto"/>
        <w:bottom w:val="none" w:sz="0" w:space="0" w:color="auto"/>
        <w:right w:val="none" w:sz="0" w:space="0" w:color="auto"/>
      </w:divBdr>
      <w:divsChild>
        <w:div w:id="22707984">
          <w:marLeft w:val="0"/>
          <w:marRight w:val="0"/>
          <w:marTop w:val="0"/>
          <w:marBottom w:val="0"/>
          <w:divBdr>
            <w:top w:val="none" w:sz="0" w:space="0" w:color="auto"/>
            <w:left w:val="none" w:sz="0" w:space="0" w:color="auto"/>
            <w:bottom w:val="none" w:sz="0" w:space="0" w:color="auto"/>
            <w:right w:val="none" w:sz="0" w:space="0" w:color="auto"/>
          </w:divBdr>
          <w:divsChild>
            <w:div w:id="2010865557">
              <w:marLeft w:val="0"/>
              <w:marRight w:val="0"/>
              <w:marTop w:val="0"/>
              <w:marBottom w:val="0"/>
              <w:divBdr>
                <w:top w:val="none" w:sz="0" w:space="0" w:color="auto"/>
                <w:left w:val="none" w:sz="0" w:space="0" w:color="auto"/>
                <w:bottom w:val="none" w:sz="0" w:space="0" w:color="auto"/>
                <w:right w:val="none" w:sz="0" w:space="0" w:color="auto"/>
              </w:divBdr>
              <w:divsChild>
                <w:div w:id="45029891">
                  <w:marLeft w:val="0"/>
                  <w:marRight w:val="0"/>
                  <w:marTop w:val="0"/>
                  <w:marBottom w:val="0"/>
                  <w:divBdr>
                    <w:top w:val="none" w:sz="0" w:space="0" w:color="auto"/>
                    <w:left w:val="none" w:sz="0" w:space="0" w:color="auto"/>
                    <w:bottom w:val="none" w:sz="0" w:space="0" w:color="auto"/>
                    <w:right w:val="none" w:sz="0" w:space="0" w:color="auto"/>
                  </w:divBdr>
                  <w:divsChild>
                    <w:div w:id="14562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2963">
      <w:bodyDiv w:val="1"/>
      <w:marLeft w:val="0"/>
      <w:marRight w:val="0"/>
      <w:marTop w:val="0"/>
      <w:marBottom w:val="0"/>
      <w:divBdr>
        <w:top w:val="none" w:sz="0" w:space="0" w:color="auto"/>
        <w:left w:val="none" w:sz="0" w:space="0" w:color="auto"/>
        <w:bottom w:val="none" w:sz="0" w:space="0" w:color="auto"/>
        <w:right w:val="none" w:sz="0" w:space="0" w:color="auto"/>
      </w:divBdr>
    </w:div>
    <w:div w:id="923879070">
      <w:bodyDiv w:val="1"/>
      <w:marLeft w:val="0"/>
      <w:marRight w:val="0"/>
      <w:marTop w:val="0"/>
      <w:marBottom w:val="0"/>
      <w:divBdr>
        <w:top w:val="none" w:sz="0" w:space="0" w:color="auto"/>
        <w:left w:val="none" w:sz="0" w:space="0" w:color="auto"/>
        <w:bottom w:val="none" w:sz="0" w:space="0" w:color="auto"/>
        <w:right w:val="none" w:sz="0" w:space="0" w:color="auto"/>
      </w:divBdr>
    </w:div>
    <w:div w:id="961689880">
      <w:bodyDiv w:val="1"/>
      <w:marLeft w:val="0"/>
      <w:marRight w:val="0"/>
      <w:marTop w:val="0"/>
      <w:marBottom w:val="0"/>
      <w:divBdr>
        <w:top w:val="none" w:sz="0" w:space="0" w:color="auto"/>
        <w:left w:val="none" w:sz="0" w:space="0" w:color="auto"/>
        <w:bottom w:val="none" w:sz="0" w:space="0" w:color="auto"/>
        <w:right w:val="none" w:sz="0" w:space="0" w:color="auto"/>
      </w:divBdr>
    </w:div>
    <w:div w:id="981813901">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169639405">
      <w:bodyDiv w:val="1"/>
      <w:marLeft w:val="0"/>
      <w:marRight w:val="0"/>
      <w:marTop w:val="0"/>
      <w:marBottom w:val="0"/>
      <w:divBdr>
        <w:top w:val="none" w:sz="0" w:space="0" w:color="auto"/>
        <w:left w:val="none" w:sz="0" w:space="0" w:color="auto"/>
        <w:bottom w:val="none" w:sz="0" w:space="0" w:color="auto"/>
        <w:right w:val="none" w:sz="0" w:space="0" w:color="auto"/>
      </w:divBdr>
    </w:div>
    <w:div w:id="1208642360">
      <w:bodyDiv w:val="1"/>
      <w:marLeft w:val="0"/>
      <w:marRight w:val="0"/>
      <w:marTop w:val="0"/>
      <w:marBottom w:val="0"/>
      <w:divBdr>
        <w:top w:val="none" w:sz="0" w:space="0" w:color="auto"/>
        <w:left w:val="none" w:sz="0" w:space="0" w:color="auto"/>
        <w:bottom w:val="none" w:sz="0" w:space="0" w:color="auto"/>
        <w:right w:val="none" w:sz="0" w:space="0" w:color="auto"/>
      </w:divBdr>
    </w:div>
    <w:div w:id="1259676345">
      <w:bodyDiv w:val="1"/>
      <w:marLeft w:val="0"/>
      <w:marRight w:val="0"/>
      <w:marTop w:val="0"/>
      <w:marBottom w:val="0"/>
      <w:divBdr>
        <w:top w:val="none" w:sz="0" w:space="0" w:color="auto"/>
        <w:left w:val="none" w:sz="0" w:space="0" w:color="auto"/>
        <w:bottom w:val="none" w:sz="0" w:space="0" w:color="auto"/>
        <w:right w:val="none" w:sz="0" w:space="0" w:color="auto"/>
      </w:divBdr>
    </w:div>
    <w:div w:id="1305238029">
      <w:bodyDiv w:val="1"/>
      <w:marLeft w:val="0"/>
      <w:marRight w:val="0"/>
      <w:marTop w:val="0"/>
      <w:marBottom w:val="0"/>
      <w:divBdr>
        <w:top w:val="none" w:sz="0" w:space="0" w:color="auto"/>
        <w:left w:val="none" w:sz="0" w:space="0" w:color="auto"/>
        <w:bottom w:val="none" w:sz="0" w:space="0" w:color="auto"/>
        <w:right w:val="none" w:sz="0" w:space="0" w:color="auto"/>
      </w:divBdr>
    </w:div>
    <w:div w:id="1310015847">
      <w:bodyDiv w:val="1"/>
      <w:marLeft w:val="0"/>
      <w:marRight w:val="0"/>
      <w:marTop w:val="0"/>
      <w:marBottom w:val="0"/>
      <w:divBdr>
        <w:top w:val="none" w:sz="0" w:space="0" w:color="auto"/>
        <w:left w:val="none" w:sz="0" w:space="0" w:color="auto"/>
        <w:bottom w:val="none" w:sz="0" w:space="0" w:color="auto"/>
        <w:right w:val="none" w:sz="0" w:space="0" w:color="auto"/>
      </w:divBdr>
    </w:div>
    <w:div w:id="1337417345">
      <w:bodyDiv w:val="1"/>
      <w:marLeft w:val="0"/>
      <w:marRight w:val="0"/>
      <w:marTop w:val="0"/>
      <w:marBottom w:val="0"/>
      <w:divBdr>
        <w:top w:val="none" w:sz="0" w:space="0" w:color="auto"/>
        <w:left w:val="none" w:sz="0" w:space="0" w:color="auto"/>
        <w:bottom w:val="none" w:sz="0" w:space="0" w:color="auto"/>
        <w:right w:val="none" w:sz="0" w:space="0" w:color="auto"/>
      </w:divBdr>
    </w:div>
    <w:div w:id="1364136358">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606497707">
      <w:bodyDiv w:val="1"/>
      <w:marLeft w:val="0"/>
      <w:marRight w:val="0"/>
      <w:marTop w:val="0"/>
      <w:marBottom w:val="0"/>
      <w:divBdr>
        <w:top w:val="none" w:sz="0" w:space="0" w:color="auto"/>
        <w:left w:val="none" w:sz="0" w:space="0" w:color="auto"/>
        <w:bottom w:val="none" w:sz="0" w:space="0" w:color="auto"/>
        <w:right w:val="none" w:sz="0" w:space="0" w:color="auto"/>
      </w:divBdr>
    </w:div>
    <w:div w:id="1655721980">
      <w:bodyDiv w:val="1"/>
      <w:marLeft w:val="0"/>
      <w:marRight w:val="0"/>
      <w:marTop w:val="0"/>
      <w:marBottom w:val="0"/>
      <w:divBdr>
        <w:top w:val="none" w:sz="0" w:space="0" w:color="auto"/>
        <w:left w:val="none" w:sz="0" w:space="0" w:color="auto"/>
        <w:bottom w:val="none" w:sz="0" w:space="0" w:color="auto"/>
        <w:right w:val="none" w:sz="0" w:space="0" w:color="auto"/>
      </w:divBdr>
      <w:divsChild>
        <w:div w:id="2027362331">
          <w:marLeft w:val="0"/>
          <w:marRight w:val="0"/>
          <w:marTop w:val="0"/>
          <w:marBottom w:val="0"/>
          <w:divBdr>
            <w:top w:val="none" w:sz="0" w:space="0" w:color="auto"/>
            <w:left w:val="none" w:sz="0" w:space="0" w:color="auto"/>
            <w:bottom w:val="none" w:sz="0" w:space="0" w:color="auto"/>
            <w:right w:val="none" w:sz="0" w:space="0" w:color="auto"/>
          </w:divBdr>
          <w:divsChild>
            <w:div w:id="1464229130">
              <w:marLeft w:val="0"/>
              <w:marRight w:val="0"/>
              <w:marTop w:val="0"/>
              <w:marBottom w:val="0"/>
              <w:divBdr>
                <w:top w:val="none" w:sz="0" w:space="0" w:color="auto"/>
                <w:left w:val="none" w:sz="0" w:space="0" w:color="auto"/>
                <w:bottom w:val="none" w:sz="0" w:space="0" w:color="auto"/>
                <w:right w:val="none" w:sz="0" w:space="0" w:color="auto"/>
              </w:divBdr>
              <w:divsChild>
                <w:div w:id="1979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2999">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 w:id="2084333341">
      <w:bodyDiv w:val="1"/>
      <w:marLeft w:val="0"/>
      <w:marRight w:val="0"/>
      <w:marTop w:val="0"/>
      <w:marBottom w:val="0"/>
      <w:divBdr>
        <w:top w:val="none" w:sz="0" w:space="0" w:color="auto"/>
        <w:left w:val="none" w:sz="0" w:space="0" w:color="auto"/>
        <w:bottom w:val="none" w:sz="0" w:space="0" w:color="auto"/>
        <w:right w:val="none" w:sz="0" w:space="0" w:color="auto"/>
      </w:divBdr>
    </w:div>
    <w:div w:id="2096854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12EA0-23FB-9E42-911E-7801E5DB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669</Words>
  <Characters>3819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Harris</dc:creator>
  <cp:keywords/>
  <dc:description/>
  <cp:lastModifiedBy>Akhil Sood</cp:lastModifiedBy>
  <cp:revision>14</cp:revision>
  <dcterms:created xsi:type="dcterms:W3CDTF">2016-02-10T23:51:00Z</dcterms:created>
  <dcterms:modified xsi:type="dcterms:W3CDTF">2016-02-12T03:16:00Z</dcterms:modified>
</cp:coreProperties>
</file>