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08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108"/>
        <w:gridCol w:w="3150"/>
        <w:gridCol w:w="3150"/>
        <w:gridCol w:w="810"/>
        <w:gridCol w:w="108"/>
        <w:gridCol w:w="1242"/>
        <w:gridCol w:w="3240"/>
      </w:tblGrid>
      <w:tr w:rsidR="00C8095F" w:rsidRPr="00D9079F" w14:paraId="3AA29E37" w14:textId="77777777" w:rsidTr="00BA365E">
        <w:trPr>
          <w:gridBefore w:val="1"/>
          <w:wBefore w:w="108" w:type="dxa"/>
          <w:trHeight w:val="80"/>
        </w:trPr>
        <w:tc>
          <w:tcPr>
            <w:tcW w:w="3150" w:type="dxa"/>
            <w:shd w:val="clear" w:color="auto" w:fill="365F91" w:themeFill="accent1" w:themeFillShade="BF"/>
          </w:tcPr>
          <w:p w14:paraId="2E49CA38" w14:textId="26230822" w:rsidR="00C8095F" w:rsidRPr="00D9079F" w:rsidRDefault="00C8095F" w:rsidP="002C784B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Company: </w:t>
            </w:r>
            <w:r w:rsidR="00A04331" w:rsidRPr="00A0433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General Mills, </w:t>
            </w:r>
            <w:proofErr w:type="spellStart"/>
            <w:r w:rsidR="00A04331" w:rsidRPr="00A0433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3150" w:type="dxa"/>
            <w:shd w:val="clear" w:color="auto" w:fill="365F91" w:themeFill="accent1" w:themeFillShade="BF"/>
          </w:tcPr>
          <w:p w14:paraId="5FDF97F0" w14:textId="44461371" w:rsidR="00C8095F" w:rsidRPr="00D9079F" w:rsidRDefault="00C8095F" w:rsidP="002C784B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Ticker: </w:t>
            </w:r>
            <w:r w:rsidR="00A0433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GIS       Current Price: $55.21</w:t>
            </w:r>
          </w:p>
        </w:tc>
        <w:tc>
          <w:tcPr>
            <w:tcW w:w="5400" w:type="dxa"/>
            <w:gridSpan w:val="4"/>
            <w:shd w:val="clear" w:color="auto" w:fill="365F91" w:themeFill="accent1" w:themeFillShade="BF"/>
          </w:tcPr>
          <w:p w14:paraId="417B84CE" w14:textId="5C2582BA" w:rsidR="00C8095F" w:rsidRPr="00D9079F" w:rsidRDefault="00C8095F" w:rsidP="00535328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Industry: </w:t>
            </w:r>
            <w:r w:rsidR="006A07A0" w:rsidRPr="006A07A0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Consumer Staples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         Sub Industry: </w:t>
            </w:r>
            <w:r w:rsidR="00BB0E38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8E4C96" w:rsidRPr="008E4C9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Food Products</w:t>
            </w:r>
          </w:p>
        </w:tc>
      </w:tr>
      <w:tr w:rsidR="006E44B8" w:rsidRPr="00D9079F" w14:paraId="185E94E4" w14:textId="77777777" w:rsidTr="00BA365E">
        <w:trPr>
          <w:gridBefore w:val="1"/>
          <w:wBefore w:w="108" w:type="dxa"/>
          <w:trHeight w:val="512"/>
        </w:trPr>
        <w:tc>
          <w:tcPr>
            <w:tcW w:w="3150" w:type="dxa"/>
          </w:tcPr>
          <w:p w14:paraId="159CAB82" w14:textId="3DDB335D" w:rsidR="00E8555E" w:rsidRPr="00D9079F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291662">
              <w:rPr>
                <w:rFonts w:asciiTheme="majorHAnsi" w:hAnsiTheme="majorHAnsi"/>
                <w:sz w:val="16"/>
                <w:szCs w:val="16"/>
              </w:rPr>
              <w:t>Target Price</w:t>
            </w:r>
            <w:r w:rsidR="00C161B3" w:rsidRPr="00291662">
              <w:rPr>
                <w:rFonts w:asciiTheme="majorHAnsi" w:hAnsiTheme="majorHAnsi"/>
                <w:sz w:val="16"/>
                <w:szCs w:val="16"/>
              </w:rPr>
              <w:t>:</w:t>
            </w:r>
            <w:r w:rsidR="00743904" w:rsidRPr="002916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43904" w:rsidRPr="002212F5">
              <w:rPr>
                <w:rFonts w:asciiTheme="majorHAnsi" w:hAnsiTheme="majorHAnsi"/>
                <w:sz w:val="16"/>
                <w:szCs w:val="16"/>
              </w:rPr>
              <w:t>$</w:t>
            </w:r>
            <w:r w:rsidR="004B53AD" w:rsidRPr="002212F5">
              <w:rPr>
                <w:rFonts w:asciiTheme="majorHAnsi" w:hAnsiTheme="majorHAnsi"/>
                <w:sz w:val="16"/>
                <w:szCs w:val="16"/>
              </w:rPr>
              <w:t>62</w:t>
            </w:r>
          </w:p>
          <w:p w14:paraId="366C508D" w14:textId="7DB4104F" w:rsidR="00E8555E" w:rsidRPr="00D9079F" w:rsidRDefault="00C161B3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>Stop Loss:</w:t>
            </w:r>
            <w:r w:rsidR="00743904" w:rsidRPr="00D9079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43904" w:rsidRPr="002212F5">
              <w:rPr>
                <w:rFonts w:asciiTheme="majorHAnsi" w:hAnsiTheme="majorHAnsi"/>
                <w:sz w:val="16"/>
                <w:szCs w:val="16"/>
              </w:rPr>
              <w:t>$</w:t>
            </w:r>
            <w:r w:rsidR="002212F5" w:rsidRPr="002212F5">
              <w:rPr>
                <w:rFonts w:asciiTheme="majorHAnsi" w:hAnsiTheme="majorHAnsi"/>
                <w:sz w:val="16"/>
                <w:szCs w:val="16"/>
              </w:rPr>
              <w:t>44.1</w:t>
            </w:r>
          </w:p>
          <w:p w14:paraId="7E50A51D" w14:textId="42E9981D" w:rsidR="006E44B8" w:rsidRPr="00D9079F" w:rsidRDefault="00E8555E" w:rsidP="00535328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>52 Week High/ Low:</w:t>
            </w:r>
            <w:r w:rsidR="00743904" w:rsidRPr="00D9079F">
              <w:rPr>
                <w:rFonts w:asciiTheme="majorHAnsi" w:hAnsiTheme="majorHAnsi"/>
                <w:sz w:val="16"/>
                <w:szCs w:val="16"/>
              </w:rPr>
              <w:t xml:space="preserve"> $</w:t>
            </w:r>
            <w:r w:rsidR="00535328">
              <w:rPr>
                <w:rFonts w:asciiTheme="majorHAnsi" w:hAnsiTheme="majorHAnsi"/>
                <w:sz w:val="16"/>
                <w:szCs w:val="16"/>
              </w:rPr>
              <w:t>47</w:t>
            </w:r>
            <w:r w:rsidR="008E4C96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535328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FFFFF"/>
              </w:rPr>
              <w:t>43</w:t>
            </w:r>
            <w:r w:rsidR="00743904" w:rsidRPr="00D9079F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FFFFF"/>
              </w:rPr>
              <w:t>/ $</w:t>
            </w:r>
            <w:r w:rsidR="00535328">
              <w:rPr>
                <w:rFonts w:asciiTheme="majorHAnsi" w:hAnsiTheme="majorHAnsi" w:cs="Arial"/>
                <w:color w:val="000000"/>
                <w:sz w:val="16"/>
                <w:szCs w:val="16"/>
                <w:shd w:val="clear" w:color="auto" w:fill="FFFFFF"/>
              </w:rPr>
              <w:t>59.87</w:t>
            </w:r>
            <w:r w:rsidRPr="00D9079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14:paraId="461A4200" w14:textId="41F5F7C5" w:rsidR="00E8555E" w:rsidRPr="00D9079F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TTM P/E: </w:t>
            </w:r>
            <w:r w:rsidR="00D60345">
              <w:rPr>
                <w:rFonts w:asciiTheme="majorHAnsi" w:hAnsiTheme="majorHAnsi"/>
                <w:sz w:val="16"/>
                <w:szCs w:val="16"/>
              </w:rPr>
              <w:t>23.4</w:t>
            </w:r>
          </w:p>
          <w:p w14:paraId="4BB1D830" w14:textId="30CFB2AC" w:rsidR="00AF471E" w:rsidRDefault="00E8555E" w:rsidP="00AF471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Forward P/E: </w:t>
            </w:r>
            <w:r w:rsidR="00D60345">
              <w:rPr>
                <w:rFonts w:asciiTheme="majorHAnsi" w:hAnsiTheme="majorHAnsi"/>
                <w:sz w:val="16"/>
                <w:szCs w:val="16"/>
              </w:rPr>
              <w:t>17.85</w:t>
            </w:r>
          </w:p>
          <w:p w14:paraId="5AA3FEF7" w14:textId="6070F343" w:rsidR="006E44B8" w:rsidRPr="00D9079F" w:rsidRDefault="00E8555E" w:rsidP="00AF471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EPS: </w:t>
            </w:r>
            <w:r w:rsidR="00E60A49" w:rsidRPr="00D9079F">
              <w:rPr>
                <w:rFonts w:asciiTheme="majorHAnsi" w:hAnsiTheme="majorHAnsi"/>
                <w:sz w:val="16"/>
                <w:szCs w:val="16"/>
              </w:rPr>
              <w:t>$</w:t>
            </w:r>
            <w:r w:rsidR="00EF41DC">
              <w:rPr>
                <w:rFonts w:asciiTheme="majorHAnsi" w:hAnsiTheme="majorHAnsi"/>
                <w:sz w:val="16"/>
                <w:szCs w:val="16"/>
              </w:rPr>
              <w:t>2.02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5238E11" w14:textId="7714BA76" w:rsidR="00E8555E" w:rsidRPr="00B05598" w:rsidRDefault="00923CAB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B05598">
              <w:rPr>
                <w:rFonts w:asciiTheme="majorHAnsi" w:hAnsiTheme="majorHAnsi"/>
                <w:sz w:val="16"/>
                <w:szCs w:val="16"/>
              </w:rPr>
              <w:t xml:space="preserve">Beta: </w:t>
            </w:r>
            <w:r w:rsidR="00B05598">
              <w:rPr>
                <w:rFonts w:asciiTheme="majorHAnsi" w:hAnsiTheme="majorHAnsi"/>
                <w:sz w:val="16"/>
                <w:szCs w:val="16"/>
              </w:rPr>
              <w:t>0.74</w:t>
            </w:r>
          </w:p>
          <w:p w14:paraId="668080B0" w14:textId="696BC7A9" w:rsidR="00E60A49" w:rsidRPr="00B05598" w:rsidRDefault="00E8555E" w:rsidP="00E60A49">
            <w:pPr>
              <w:rPr>
                <w:rFonts w:asciiTheme="majorHAnsi" w:hAnsiTheme="majorHAnsi"/>
                <w:sz w:val="16"/>
                <w:szCs w:val="16"/>
              </w:rPr>
            </w:pPr>
            <w:r w:rsidRPr="00B05598">
              <w:rPr>
                <w:rFonts w:asciiTheme="majorHAnsi" w:hAnsiTheme="majorHAnsi"/>
                <w:sz w:val="16"/>
                <w:szCs w:val="16"/>
              </w:rPr>
              <w:t>Credit Rating:</w:t>
            </w:r>
            <w:r w:rsidR="00743904" w:rsidRPr="00B0559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05598" w:rsidRPr="00B05598">
              <w:rPr>
                <w:rFonts w:asciiTheme="majorHAnsi" w:hAnsiTheme="majorHAnsi"/>
                <w:sz w:val="16"/>
                <w:szCs w:val="16"/>
              </w:rPr>
              <w:t>A3 (Moody)</w:t>
            </w:r>
          </w:p>
          <w:p w14:paraId="5BFE3D7B" w14:textId="66D7924E" w:rsidR="003073EA" w:rsidRPr="00AC6A2C" w:rsidRDefault="003073EA" w:rsidP="008C7FEA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B05598">
              <w:rPr>
                <w:rFonts w:asciiTheme="majorHAnsi" w:hAnsiTheme="majorHAnsi"/>
                <w:sz w:val="16"/>
                <w:szCs w:val="16"/>
              </w:rPr>
              <w:t>Rating Outlook:</w:t>
            </w:r>
            <w:r w:rsidRPr="00AC6A2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05598">
              <w:rPr>
                <w:rFonts w:asciiTheme="majorHAnsi" w:hAnsiTheme="majorHAnsi"/>
                <w:sz w:val="16"/>
                <w:szCs w:val="16"/>
              </w:rPr>
              <w:t xml:space="preserve">Stable </w:t>
            </w:r>
          </w:p>
        </w:tc>
        <w:tc>
          <w:tcPr>
            <w:tcW w:w="3240" w:type="dxa"/>
          </w:tcPr>
          <w:p w14:paraId="438980BC" w14:textId="4089A59C" w:rsidR="006E44B8" w:rsidRPr="00D9079F" w:rsidRDefault="0013332F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Market Cap: </w:t>
            </w:r>
            <w:r w:rsidR="00743904" w:rsidRPr="00D9079F">
              <w:rPr>
                <w:rFonts w:asciiTheme="majorHAnsi" w:hAnsiTheme="majorHAnsi"/>
                <w:sz w:val="16"/>
                <w:szCs w:val="16"/>
              </w:rPr>
              <w:t>$</w:t>
            </w:r>
            <w:r w:rsidR="00E86B85">
              <w:rPr>
                <w:rFonts w:asciiTheme="majorHAnsi" w:hAnsiTheme="majorHAnsi"/>
                <w:sz w:val="16"/>
                <w:szCs w:val="16"/>
              </w:rPr>
              <w:t>33.78 billion</w:t>
            </w:r>
          </w:p>
          <w:p w14:paraId="37B82920" w14:textId="641B2ECC" w:rsidR="00C441B3" w:rsidRPr="00D9079F" w:rsidRDefault="00C441B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>Avg</w:t>
            </w:r>
            <w:proofErr w:type="spellEnd"/>
            <w:r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Vol </w:t>
            </w:r>
            <w:r w:rsidR="00BF2DE5"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>:</w:t>
            </w:r>
            <w:r w:rsidR="00743904"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</w:t>
            </w:r>
            <w:r w:rsidR="00E86B85">
              <w:rPr>
                <w:rFonts w:asciiTheme="majorHAnsi" w:hAnsiTheme="majorHAnsi" w:cs="UniversLTStd-BoldCn"/>
                <w:bCs/>
                <w:sz w:val="16"/>
                <w:szCs w:val="16"/>
              </w:rPr>
              <w:t>3.5 million</w:t>
            </w:r>
          </w:p>
          <w:p w14:paraId="0D1C791A" w14:textId="01DF4133" w:rsidR="00E5675C" w:rsidRPr="00D9079F" w:rsidRDefault="00E5675C" w:rsidP="00852DFB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Dividend Yield: </w:t>
            </w:r>
            <w:r w:rsidR="00E86B85">
              <w:rPr>
                <w:rFonts w:asciiTheme="majorHAnsi" w:hAnsiTheme="majorHAnsi"/>
                <w:sz w:val="16"/>
                <w:szCs w:val="16"/>
              </w:rPr>
              <w:t>3.2%</w:t>
            </w:r>
          </w:p>
        </w:tc>
      </w:tr>
      <w:tr w:rsidR="00DB5A10" w:rsidRPr="00D9079F" w14:paraId="311194DC" w14:textId="77777777" w:rsidTr="00BA365E">
        <w:trPr>
          <w:gridBefore w:val="1"/>
          <w:wBefore w:w="108" w:type="dxa"/>
          <w:trHeight w:val="197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14342F91" w14:textId="66FF1EE6" w:rsidR="00DB5A10" w:rsidRPr="00D9079F" w:rsidRDefault="00852DFB" w:rsidP="00DB5A10">
            <w:pPr>
              <w:tabs>
                <w:tab w:val="left" w:pos="3690"/>
              </w:tabs>
              <w:jc w:val="both"/>
              <w:rPr>
                <w:rFonts w:asciiTheme="majorHAnsi" w:hAnsiTheme="majorHAnsi"/>
                <w:color w:val="FFFFFF" w:themeColor="background1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ab/>
            </w:r>
            <w:r w:rsidR="00DB5A10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Company Background:  </w:t>
            </w:r>
            <w:r w:rsidR="00DB5A10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D9079F" w14:paraId="325C88BE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</w:tcPr>
          <w:p w14:paraId="0A8884D5" w14:textId="47037D7B" w:rsidR="00852DFB" w:rsidRPr="00D9079F" w:rsidRDefault="00A53D7B" w:rsidP="00BF5265">
            <w:pPr>
              <w:jc w:val="both"/>
              <w:rPr>
                <w:rFonts w:asciiTheme="majorHAnsi" w:hAnsiTheme="majorHAnsi"/>
                <w:sz w:val="16"/>
                <w:szCs w:val="18"/>
              </w:rPr>
            </w:pPr>
            <w:r w:rsidRPr="00A53D7B">
              <w:rPr>
                <w:rFonts w:asciiTheme="majorHAnsi" w:hAnsiTheme="majorHAnsi"/>
                <w:sz w:val="16"/>
                <w:szCs w:val="16"/>
              </w:rPr>
              <w:t>General Mills (GIS) is one of the largest U.S. producers of ready-to-eat breakfast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cereals, and a leading producer of other well-known packaged consumer foods. The U.S. Retail segment,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which accounted for 60% of net sales in FY 15 (May) and had 21% operating margins, includes cereals, refrigerated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yogurt, soup, dry dinners, vegetables, dough products, baking products, snacks, and organic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products. The Convenience Stores and Foodservice segment (11%) had operating margins of 17.1% and includes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products sold to distributors, convenience stores, restaurant operators and cafeterias.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In FY 15,</w:t>
            </w:r>
            <w:r w:rsidR="0041691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Wal-Mart Stores, Inc., and affiliates accounted for 21% of GIS's consolidated net sales and 30%</w:t>
            </w:r>
            <w:r w:rsidR="00392C2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of U.S. retail segment sales. The International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segment accounted for 29% of FY 15 net sales and had operating margins of 10.2%. This excludes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sales from unconsolidated joint ventures.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F52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In FY 15, U.S. product categories included snacks (20% of FY 15 sales), cereal (22%), meals (25%), baking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mixes (19%), Yogurt and other (13%). The company had sales of $570 million in FY 15 within the natural and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organic food category. Internationally, the company's largest market was Europe (41% of FY 15 sales), following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by Canada (22%), Asia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D7B">
              <w:rPr>
                <w:rFonts w:asciiTheme="majorHAnsi" w:hAnsiTheme="majorHAnsi"/>
                <w:sz w:val="16"/>
                <w:szCs w:val="16"/>
              </w:rPr>
              <w:t>/Pacific (20%) and Latin America (17%).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274740" w:rsidRPr="00D9079F" w14:paraId="4EB61633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38206B03" w14:textId="7B341966" w:rsidR="00274740" w:rsidRPr="00D9079F" w:rsidRDefault="00274740" w:rsidP="00BB61F8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Industry </w:t>
            </w:r>
            <w:r w:rsidR="00BB3908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Outlook: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274740" w:rsidRPr="00D9079F" w14:paraId="52C52C72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</w:tcPr>
          <w:p w14:paraId="0D7ECD50" w14:textId="17EE094C" w:rsidR="00B75C74" w:rsidRPr="00B75C74" w:rsidRDefault="00B75C74" w:rsidP="005C2FB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utlook for the Packaged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Foods &amp; Meats sub-industry is neutral.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U.S. and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 xml:space="preserve">Western European food markets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are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 xml:space="preserve">relatively mature, but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there are some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opportunities for faster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11B18C67" w14:textId="75337405" w:rsidR="00B75C74" w:rsidRPr="00B75C74" w:rsidRDefault="00B75C74" w:rsidP="005C2FB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onger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term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 xml:space="preserve"> growth from places such as China and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Latin America. However, emerging international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markets can also bring additional risk from factors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such as currency fluctuation and regulation.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Further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improved prospects and the realization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of a large crop harvest in 2015 to support favorable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ingredient costs for most food manufacturers in</w:t>
            </w:r>
          </w:p>
          <w:p w14:paraId="2219CC73" w14:textId="5E78ED10" w:rsidR="00BB0E38" w:rsidRPr="00B75C74" w:rsidRDefault="00B75C74" w:rsidP="007519AD">
            <w:pPr>
              <w:jc w:val="both"/>
              <w:rPr>
                <w:rFonts w:asciiTheme="majorHAnsi" w:hAnsiTheme="majorHAnsi" w:cs="Arial"/>
                <w:color w:val="000000"/>
                <w:sz w:val="16"/>
                <w:szCs w:val="18"/>
                <w:shd w:val="clear" w:color="auto" w:fill="FFFFFF"/>
              </w:rPr>
            </w:pPr>
            <w:r w:rsidRPr="00B75C74">
              <w:rPr>
                <w:rFonts w:asciiTheme="majorHAnsi" w:hAnsiTheme="majorHAnsi"/>
                <w:sz w:val="16"/>
                <w:szCs w:val="16"/>
              </w:rPr>
              <w:t>2016. However, for a number of food products, ingredient costs as a relatively small part of the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overall retail price paid by consumers.</w:t>
            </w:r>
            <w:r w:rsidR="00BF52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 xml:space="preserve">In the past year or two,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there are some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indications of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food industry volume softness in the U.S., which we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at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least partly attributable to a cumulative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impact from price increases and lackluster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economic growth. With less of a negative impact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from higher prices, volumes in the next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six to 12 months to generally look better than they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have in the past year.</w:t>
            </w:r>
            <w:r w:rsidR="00BF52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hanging consumer preferences toward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perishable foods found on the perimeter of food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stores is also resulting in slower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near term sales growth within. However, progress toward both the re-positioning and shifting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of product portfolio's toward faster growing</w:t>
            </w:r>
            <w:r w:rsidR="005C2FB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75C74">
              <w:rPr>
                <w:rFonts w:asciiTheme="majorHAnsi" w:hAnsiTheme="majorHAnsi"/>
                <w:sz w:val="16"/>
                <w:szCs w:val="16"/>
              </w:rPr>
              <w:t>categories to be made in 2016.</w:t>
            </w:r>
          </w:p>
        </w:tc>
      </w:tr>
      <w:tr w:rsidR="00DB5A10" w:rsidRPr="00D9079F" w14:paraId="6A32B295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22F69EB1" w14:textId="5B91B2A3" w:rsidR="00DB5A10" w:rsidRPr="00D9079F" w:rsidRDefault="00DB5A10" w:rsidP="00DB5A10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Investment Thesis: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D9079F" w14:paraId="4F0CBDAD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</w:tcPr>
          <w:p w14:paraId="35F9E681" w14:textId="5E42BDF7" w:rsidR="00BF5265" w:rsidRPr="00BF5265" w:rsidRDefault="00BF5265" w:rsidP="00417F25">
            <w:pPr>
              <w:jc w:val="both"/>
              <w:rPr>
                <w:rFonts w:asciiTheme="majorHAnsi" w:hAnsiTheme="majorHAnsi"/>
                <w:sz w:val="16"/>
                <w:szCs w:val="18"/>
              </w:rPr>
            </w:pPr>
            <w:r w:rsidRPr="00BF5265">
              <w:rPr>
                <w:rFonts w:asciiTheme="majorHAnsi" w:hAnsiTheme="majorHAnsi"/>
                <w:sz w:val="16"/>
                <w:szCs w:val="16"/>
              </w:rPr>
              <w:t>General Mills operates as a leading packaged food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firm with 30% share of the U.S. ready-to-eat cereal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aisle, 70% share of refrigerated baked goods,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and more than 40% share of grain snacks, making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it a valued partner for retailers. It possesses the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resources to launch new products and market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them in front of consumers (spending 6.5% of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sales or $1.1 billion annually in the aggregate 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marketing and R&amp;D) to drive customer traffic, enhancing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the stickiness of its retailer relationships.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So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trusted manufacturers like General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Mills that maintain a mix of products spanning the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store are critical to retailers, which are reluctant to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risk costly out-of-stocks with unproven suppliers.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These solid retail relationships support one aspect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of General Mills' intangible asset moat source.</w:t>
            </w:r>
            <w:r w:rsidR="00417F2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General Mills also has eliminated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unprofitable offerings in its convenience and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food-service segment (11% of sales and 17% of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operating profit). The results--from a profit standpoint--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have been striking; the segment margin</w:t>
            </w:r>
            <w:r w:rsidR="00417F2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gains realized (more than 300 basis points of operating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margin expansion over the past four years, to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nearly 18% in fiscal 2015) indicate to the profit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 xml:space="preserve">potential from scrutinizing the portfolio. </w:t>
            </w: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hese efforts provide the fuel to support the intangible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F5265">
              <w:rPr>
                <w:rFonts w:asciiTheme="majorHAnsi" w:hAnsiTheme="majorHAnsi"/>
                <w:sz w:val="16"/>
                <w:szCs w:val="16"/>
              </w:rPr>
              <w:t>asset resulting from General Mills' retail relationships</w:t>
            </w:r>
            <w:r>
              <w:rPr>
                <w:rFonts w:ascii="UniversLTStd-LightCn" w:hAnsi="UniversLTStd-LightCn" w:cs="UniversLTStd-LightCn"/>
                <w:sz w:val="18"/>
                <w:szCs w:val="18"/>
              </w:rPr>
              <w:t>.</w:t>
            </w:r>
          </w:p>
        </w:tc>
      </w:tr>
      <w:tr w:rsidR="00DB5A10" w:rsidRPr="00D9079F" w14:paraId="3604FAC8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36D57562" w14:textId="69893D12" w:rsidR="00DB5A10" w:rsidRPr="00D9079F" w:rsidRDefault="00DB5A10" w:rsidP="00DB5A10">
            <w:pPr>
              <w:tabs>
                <w:tab w:val="left" w:pos="2235"/>
              </w:tabs>
              <w:rPr>
                <w:rFonts w:asciiTheme="majorHAnsi" w:hAnsiTheme="majorHAnsi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Investment Risks: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D9079F" w14:paraId="7051B972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</w:tcPr>
          <w:p w14:paraId="78159DC0" w14:textId="602B7246" w:rsidR="004F5B56" w:rsidRPr="0041691A" w:rsidRDefault="0041691A" w:rsidP="00BF5265">
            <w:pPr>
              <w:jc w:val="both"/>
              <w:rPr>
                <w:rFonts w:asciiTheme="majorHAnsi" w:hAnsiTheme="majorHAnsi"/>
                <w:sz w:val="16"/>
                <w:szCs w:val="18"/>
              </w:rPr>
            </w:pPr>
            <w:r w:rsidRPr="0041691A">
              <w:rPr>
                <w:rFonts w:asciiTheme="majorHAnsi" w:hAnsiTheme="majorHAnsi"/>
                <w:sz w:val="16"/>
                <w:szCs w:val="16"/>
              </w:rPr>
              <w:t>Despite falling from unprecedented highs, input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costs (such as oats, wheat, corn, soybean, and oil)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have proved volatile. For instance, after incurring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mid-single-digit cost inflation in fiscal 2011 followed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by 10% raw material inflation in fiscal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2012, the company realized 4% higher costs in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fiscal 2014 (propped up by dairy inflation) and 2%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inflation in fiscal 2015--a level it expects to persist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in fiscal 2016. Further, offsetting cost pressures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with higher prices may continue to constrain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sales volume growth, if consumers balk at these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higher prices--particularly in places where unemployment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remains elevated and austerity measures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are constraining discretionary spending. The firm is also facing tough category trends.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For one, cereal consumption remains in decline,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falling at a low- to mid-single-digit rate on average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over the past several years, as consumers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have sought out alternatives like yogurt and snack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bars (which have posted low- to mid-single-digit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category growth rates in the aggregate, far in excess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of the less than 1% growth chalked up by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 xml:space="preserve">center-of-the-store categories overall).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With 30% of its consolidated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sales generated by international operations,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 xml:space="preserve">General Mills is </w:t>
            </w:r>
            <w:r w:rsidR="007519AD">
              <w:rPr>
                <w:rFonts w:asciiTheme="majorHAnsi" w:hAnsiTheme="majorHAnsi"/>
                <w:sz w:val="16"/>
                <w:szCs w:val="16"/>
              </w:rPr>
              <w:t xml:space="preserve">also </w:t>
            </w:r>
            <w:r w:rsidRPr="0041691A">
              <w:rPr>
                <w:rFonts w:asciiTheme="majorHAnsi" w:hAnsiTheme="majorHAnsi"/>
                <w:sz w:val="16"/>
                <w:szCs w:val="16"/>
              </w:rPr>
              <w:t>exposed to currency rate fluctuation</w:t>
            </w:r>
            <w:r>
              <w:rPr>
                <w:rFonts w:ascii="UniversLTStd-LightCn" w:hAnsi="UniversLTStd-LightCn" w:cs="UniversLTStd-LightCn"/>
                <w:sz w:val="18"/>
                <w:szCs w:val="18"/>
              </w:rPr>
              <w:t>.</w:t>
            </w:r>
          </w:p>
        </w:tc>
      </w:tr>
      <w:tr w:rsidR="00DB5A10" w:rsidRPr="00D9079F" w14:paraId="76F577E7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0A443D6F" w14:textId="7FD4B61B" w:rsidR="00DB5A10" w:rsidRPr="00D9079F" w:rsidRDefault="00DB5A10" w:rsidP="00DB5A10">
            <w:pPr>
              <w:ind w:left="72"/>
              <w:jc w:val="both"/>
              <w:rPr>
                <w:rFonts w:asciiTheme="majorHAnsi" w:hAnsiTheme="majorHAnsi"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3-5 take </w:t>
            </w:r>
            <w:r w:rsidR="00274740"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away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 from last quarter investor call transcript: </w:t>
            </w:r>
            <w:r w:rsidR="00581B35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>Q3 2015</w:t>
            </w:r>
          </w:p>
        </w:tc>
      </w:tr>
      <w:tr w:rsidR="00DB5A10" w:rsidRPr="00D9079F" w14:paraId="75D76709" w14:textId="77777777" w:rsidTr="00BA365E">
        <w:trPr>
          <w:gridBefore w:val="1"/>
          <w:wBefore w:w="108" w:type="dxa"/>
          <w:trHeight w:val="70"/>
        </w:trPr>
        <w:tc>
          <w:tcPr>
            <w:tcW w:w="11700" w:type="dxa"/>
            <w:gridSpan w:val="6"/>
          </w:tcPr>
          <w:p w14:paraId="57749544" w14:textId="4101C019" w:rsidR="00925975" w:rsidRPr="004940B9" w:rsidRDefault="00A81CBC" w:rsidP="004940B9">
            <w:pPr>
              <w:pStyle w:val="ListParagraph"/>
              <w:numPr>
                <w:ilvl w:val="0"/>
                <w:numId w:val="7"/>
              </w:numPr>
              <w:ind w:left="162" w:hanging="16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940B9">
              <w:rPr>
                <w:rFonts w:asciiTheme="majorHAnsi" w:hAnsiTheme="majorHAnsi"/>
                <w:sz w:val="16"/>
                <w:szCs w:val="16"/>
              </w:rPr>
              <w:t>N</w:t>
            </w:r>
            <w:r w:rsidRPr="004940B9">
              <w:rPr>
                <w:rFonts w:asciiTheme="majorHAnsi" w:hAnsiTheme="majorHAnsi"/>
                <w:sz w:val="16"/>
                <w:szCs w:val="16"/>
              </w:rPr>
              <w:t xml:space="preserve">ew products </w:t>
            </w:r>
            <w:r w:rsidRPr="004940B9">
              <w:rPr>
                <w:rFonts w:asciiTheme="majorHAnsi" w:hAnsiTheme="majorHAnsi"/>
                <w:sz w:val="16"/>
                <w:szCs w:val="16"/>
              </w:rPr>
              <w:t xml:space="preserve">launch is expected </w:t>
            </w:r>
            <w:r w:rsidRPr="004940B9">
              <w:rPr>
                <w:rFonts w:asciiTheme="majorHAnsi" w:hAnsiTheme="majorHAnsi"/>
                <w:sz w:val="16"/>
                <w:szCs w:val="16"/>
              </w:rPr>
              <w:t xml:space="preserve">in the second half and so based on that there is more promotional event oriented promotional activity and there is also media support. </w:t>
            </w:r>
          </w:p>
          <w:p w14:paraId="37F5841B" w14:textId="77777777" w:rsidR="00A81CBC" w:rsidRPr="000A2C07" w:rsidRDefault="004940B9" w:rsidP="004940B9">
            <w:pPr>
              <w:pStyle w:val="ListParagraph"/>
              <w:numPr>
                <w:ilvl w:val="0"/>
                <w:numId w:val="7"/>
              </w:numPr>
              <w:ind w:left="162" w:hanging="162"/>
              <w:jc w:val="both"/>
              <w:rPr>
                <w:rFonts w:asciiTheme="majorHAnsi" w:hAnsiTheme="majorHAnsi"/>
                <w:sz w:val="16"/>
                <w:szCs w:val="18"/>
              </w:rPr>
            </w:pPr>
            <w:r w:rsidRPr="004940B9">
              <w:rPr>
                <w:rFonts w:asciiTheme="majorHAnsi" w:hAnsiTheme="majorHAnsi"/>
                <w:sz w:val="16"/>
                <w:szCs w:val="16"/>
              </w:rPr>
              <w:t>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argin expansion to continue during second half of year </w:t>
            </w:r>
          </w:p>
          <w:p w14:paraId="4205DC0B" w14:textId="06E03FE1" w:rsidR="000A2C07" w:rsidRPr="00D9079F" w:rsidRDefault="000A2C07" w:rsidP="000A2C07">
            <w:pPr>
              <w:pStyle w:val="ListParagraph"/>
              <w:numPr>
                <w:ilvl w:val="0"/>
                <w:numId w:val="7"/>
              </w:numPr>
              <w:ind w:left="162" w:hanging="162"/>
              <w:jc w:val="both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</w:t>
            </w:r>
            <w:r w:rsidRPr="000A2C07">
              <w:rPr>
                <w:rFonts w:asciiTheme="majorHAnsi" w:hAnsiTheme="majorHAnsi"/>
                <w:sz w:val="16"/>
                <w:szCs w:val="16"/>
              </w:rPr>
              <w:t xml:space="preserve">ocusing 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0A2C07">
              <w:rPr>
                <w:rFonts w:asciiTheme="majorHAnsi" w:hAnsiTheme="majorHAnsi"/>
                <w:sz w:val="16"/>
                <w:szCs w:val="16"/>
              </w:rPr>
              <w:t>fforts on emerging markets first China, Brazil and then EMEA trying to broaden out footprint</w:t>
            </w:r>
          </w:p>
        </w:tc>
      </w:tr>
      <w:tr w:rsidR="00830F06" w:rsidRPr="00D9079F" w14:paraId="730DB2FF" w14:textId="77777777" w:rsidTr="00BA365E">
        <w:tc>
          <w:tcPr>
            <w:tcW w:w="7326" w:type="dxa"/>
            <w:gridSpan w:val="5"/>
            <w:shd w:val="clear" w:color="auto" w:fill="365F91" w:themeFill="accent1" w:themeFillShade="BF"/>
          </w:tcPr>
          <w:p w14:paraId="7CF6246B" w14:textId="38A66325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Financial Performance:</w:t>
            </w:r>
          </w:p>
        </w:tc>
        <w:tc>
          <w:tcPr>
            <w:tcW w:w="4482" w:type="dxa"/>
            <w:gridSpan w:val="2"/>
            <w:shd w:val="clear" w:color="auto" w:fill="365F91" w:themeFill="accent1" w:themeFillShade="BF"/>
          </w:tcPr>
          <w:p w14:paraId="09E00ADF" w14:textId="62365A7B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Discounted Cash Flow </w:t>
            </w:r>
          </w:p>
        </w:tc>
      </w:tr>
      <w:tr w:rsidR="00830F06" w:rsidRPr="00D9079F" w14:paraId="0538015D" w14:textId="77777777" w:rsidTr="00BA365E">
        <w:tc>
          <w:tcPr>
            <w:tcW w:w="7326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885"/>
              <w:gridCol w:w="972"/>
              <w:gridCol w:w="907"/>
              <w:gridCol w:w="907"/>
              <w:gridCol w:w="907"/>
              <w:gridCol w:w="907"/>
            </w:tblGrid>
            <w:tr w:rsidR="00D06D2B" w:rsidRPr="002F062C" w14:paraId="5F76E3F7" w14:textId="77777777" w:rsidTr="002218A9">
              <w:tc>
                <w:tcPr>
                  <w:tcW w:w="1615" w:type="dxa"/>
                  <w:shd w:val="clear" w:color="auto" w:fill="DBE5F1" w:themeFill="accent1" w:themeFillTint="33"/>
                </w:tcPr>
                <w:p w14:paraId="6188C93E" w14:textId="77777777" w:rsidR="00D06D2B" w:rsidRDefault="00D06D2B" w:rsidP="00D06D2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79D4922" w14:textId="0C408413" w:rsidR="00D06D2B" w:rsidRDefault="00D06D2B" w:rsidP="00D06D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972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480B6F9F" w14:textId="789112D5" w:rsidR="00D06D2B" w:rsidRDefault="00D06D2B" w:rsidP="00D06D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79C61188" w14:textId="56BB8FFB" w:rsidR="00D06D2B" w:rsidRDefault="00D06D2B" w:rsidP="00D06D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3E9B8864" w14:textId="70B4653E" w:rsidR="00D06D2B" w:rsidRDefault="00D06D2B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  <w:r w:rsidR="001964F8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-2015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FCC3313" w14:textId="174F5B74" w:rsidR="00D06D2B" w:rsidRDefault="00D06D2B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  <w:r w:rsidR="001964F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-201</w:t>
                  </w:r>
                  <w:r w:rsidR="001964F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7D05C70" w14:textId="73E00317" w:rsidR="00D06D2B" w:rsidRDefault="00D06D2B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  <w:r w:rsidR="001964F8">
                    <w:rPr>
                      <w:sz w:val="16"/>
                      <w:szCs w:val="16"/>
                    </w:rPr>
                    <w:t>2-2016</w:t>
                  </w:r>
                </w:p>
              </w:tc>
            </w:tr>
            <w:tr w:rsidR="001964F8" w:rsidRPr="002F062C" w14:paraId="13050C70" w14:textId="77777777" w:rsidTr="002218A9">
              <w:tc>
                <w:tcPr>
                  <w:tcW w:w="1615" w:type="dxa"/>
                </w:tcPr>
                <w:p w14:paraId="6F146C2B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Revenue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86ADF8" w14:textId="6A6795EE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17,774.1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CD0924" w14:textId="22EFA920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17,909.6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E48244" w14:textId="5F37E60C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17,630.3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6662E4" w14:textId="5AA10821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4,298.8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EC85CB" w14:textId="6EC1C283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4,207.9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D582BB" w14:textId="1A500458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4,424.9</w:t>
                  </w:r>
                </w:p>
              </w:tc>
            </w:tr>
            <w:tr w:rsidR="001964F8" w:rsidRPr="002F062C" w14:paraId="41CB40E0" w14:textId="77777777" w:rsidTr="002218A9">
              <w:tc>
                <w:tcPr>
                  <w:tcW w:w="1615" w:type="dxa"/>
                </w:tcPr>
                <w:p w14:paraId="43BAE99F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Operating Profit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A156CB" w14:textId="7E8147C0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2,851.8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8BA85F" w14:textId="40AA9872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2,957.4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C743D1" w14:textId="6BA72574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2,077.3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8173C8" w14:textId="0AC3550D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423.6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4384BE" w14:textId="02A2863A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683.3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4832A1" w14:textId="300422E2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905.7</w:t>
                  </w:r>
                </w:p>
              </w:tc>
            </w:tr>
            <w:tr w:rsidR="001964F8" w:rsidRPr="002F062C" w14:paraId="44E97E3A" w14:textId="77777777" w:rsidTr="002218A9">
              <w:tc>
                <w:tcPr>
                  <w:tcW w:w="1615" w:type="dxa"/>
                </w:tcPr>
                <w:p w14:paraId="2D84AAEA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Net Income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DAF2B" w14:textId="0654BD65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1,855.2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55EE7F" w14:textId="7BF26EAE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1,824.4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B4ADE" w14:textId="1E8D02BF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1,221.3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63DA20" w14:textId="29BAFA58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186.8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B3CF4D" w14:textId="0522BBF8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426.6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247000" w14:textId="2091BCD6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529.5</w:t>
                  </w:r>
                </w:p>
              </w:tc>
            </w:tr>
            <w:tr w:rsidR="001964F8" w:rsidRPr="002F062C" w14:paraId="05B7B9FB" w14:textId="77777777" w:rsidTr="00FC2B7B">
              <w:tc>
                <w:tcPr>
                  <w:tcW w:w="1615" w:type="dxa"/>
                </w:tcPr>
                <w:p w14:paraId="4C9C42D3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Revenue Growth %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BC64A2" w14:textId="73E3746D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6.70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6D555F" w14:textId="432D5BEE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0.76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70F208" w14:textId="3E2C940D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-1.56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01F28D" w14:textId="4F38815A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0.35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C2D64E" w14:textId="45C7303D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-1.42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A421F5" w14:textId="05926623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-6.10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1964F8" w:rsidRPr="002F062C" w14:paraId="03631669" w14:textId="77777777" w:rsidTr="002218A9">
              <w:tc>
                <w:tcPr>
                  <w:tcW w:w="1615" w:type="dxa"/>
                </w:tcPr>
                <w:p w14:paraId="74667CF7" w14:textId="28217C5B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EBITDA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50512" w14:textId="5B3064CD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3,439.8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04865" w14:textId="6A97F033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3,542.8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6481F" w14:textId="61E6CBA9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2,665.6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19A9CD" w14:textId="7BFA6467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568.2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93DD76" w14:textId="4FEAADD1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827.2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3D65B" w14:textId="791B0210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1,054.3</w:t>
                  </w:r>
                </w:p>
              </w:tc>
            </w:tr>
            <w:tr w:rsidR="001964F8" w:rsidRPr="002F062C" w14:paraId="4461B788" w14:textId="77777777" w:rsidTr="002218A9">
              <w:tc>
                <w:tcPr>
                  <w:tcW w:w="1615" w:type="dxa"/>
                </w:tcPr>
                <w:p w14:paraId="0B5F7A36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Operating Profit %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028B4" w14:textId="27AC7C50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16.04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867F58" w14:textId="1F29C6F5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16.51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D039C6" w14:textId="64D74954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11.78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51C80" w14:textId="20C259D5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9.85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631D7C" w14:textId="5AFCF607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16.24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6F06B9" w14:textId="3577467B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20.47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1964F8" w:rsidRPr="002F062C" w14:paraId="7649D275" w14:textId="77777777" w:rsidTr="00FC2B7B">
              <w:tc>
                <w:tcPr>
                  <w:tcW w:w="1615" w:type="dxa"/>
                </w:tcPr>
                <w:p w14:paraId="73CAAB74" w14:textId="66F0D151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Profit Margin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20732F" w14:textId="3BD7B1A7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10.44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EF973C" w14:textId="5CC72CC2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10.19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9A560" w14:textId="3224F774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6.93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A1FC7" w14:textId="600CE731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4.35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C1EF36" w14:textId="6A0E1F09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10.14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029CE4" w14:textId="3AC98D1D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11.97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1964F8" w:rsidRPr="002F062C" w14:paraId="06A3BEF3" w14:textId="77777777" w:rsidTr="002218A9">
              <w:tc>
                <w:tcPr>
                  <w:tcW w:w="1615" w:type="dxa"/>
                </w:tcPr>
                <w:p w14:paraId="091BC778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D/E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C00EE7" w14:textId="739C9A0C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98.43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087243" w14:textId="59CEB87E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109.97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42C9C" w14:textId="6A88969B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149.46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04653" w14:textId="567EABF4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149.46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695FA" w14:textId="5497A37B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153.68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0457AA" w14:textId="5867787A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147.49</w:t>
                  </w:r>
                </w:p>
              </w:tc>
            </w:tr>
            <w:tr w:rsidR="001964F8" w:rsidRPr="002F062C" w14:paraId="45F45461" w14:textId="77777777" w:rsidTr="002218A9">
              <w:tc>
                <w:tcPr>
                  <w:tcW w:w="1615" w:type="dxa"/>
                </w:tcPr>
                <w:p w14:paraId="52E11301" w14:textId="77777777" w:rsidR="001964F8" w:rsidRPr="00682178" w:rsidRDefault="001964F8" w:rsidP="001964F8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7D27D9">
                    <w:rPr>
                      <w:sz w:val="16"/>
                      <w:szCs w:val="16"/>
                    </w:rPr>
                    <w:t xml:space="preserve">Interest Coverage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301B1" w14:textId="1506BA89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9.27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84A9E2" w14:textId="3E2EE7C5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9.90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620FD" w14:textId="287E4DC7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6.68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DC543D" w14:textId="1485D583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5.25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988931" w14:textId="6D5CB95C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9.29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D3FF42" w14:textId="193FF629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12.33</w:t>
                  </w:r>
                </w:p>
              </w:tc>
            </w:tr>
            <w:tr w:rsidR="001964F8" w:rsidRPr="002F062C" w14:paraId="5719AC2A" w14:textId="77777777" w:rsidTr="002218A9">
              <w:tc>
                <w:tcPr>
                  <w:tcW w:w="1615" w:type="dxa"/>
                </w:tcPr>
                <w:p w14:paraId="4955D911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EPS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75341E" w14:textId="107AA3A3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2.86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5D6607" w14:textId="4BE45D9C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2.90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FC939" w14:textId="12E808C2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776FC5" w14:textId="45D3408F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0.31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0786CB" w14:textId="54609A98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0.71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B1CB9" w14:textId="1917A199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0.88</w:t>
                  </w:r>
                </w:p>
              </w:tc>
            </w:tr>
            <w:tr w:rsidR="001964F8" w:rsidRPr="002F062C" w14:paraId="5574261F" w14:textId="77777777" w:rsidTr="002218A9">
              <w:tc>
                <w:tcPr>
                  <w:tcW w:w="1615" w:type="dxa"/>
                </w:tcPr>
                <w:p w14:paraId="0EEEA1A0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 Ratio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BB2CD9" w14:textId="6AA4C135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17.35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B463BC" w14:textId="4D94FA13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19.71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631A83" w14:textId="674A935A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20.57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FCC6C5" w14:textId="3A9F1F08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20.61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62295D" w14:textId="05765572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19.64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D9BEA8" w14:textId="27B89A3B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19.99</w:t>
                  </w:r>
                </w:p>
              </w:tc>
            </w:tr>
            <w:tr w:rsidR="001964F8" w:rsidRPr="002F062C" w14:paraId="23B4868A" w14:textId="77777777" w:rsidTr="002218A9">
              <w:trPr>
                <w:trHeight w:val="125"/>
              </w:trPr>
              <w:tc>
                <w:tcPr>
                  <w:tcW w:w="1615" w:type="dxa"/>
                </w:tcPr>
                <w:p w14:paraId="63E74D19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Current Ratio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85B01E" w14:textId="3303C57A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0.81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C2484A" w14:textId="32BBB4BC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0.81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5C0D1C" w14:textId="66115AD9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0.77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6FB6EC" w14:textId="70019C87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0.77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C96E13" w14:textId="08DED1BF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0.81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0AFC9" w14:textId="672132AC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0.81</w:t>
                  </w:r>
                </w:p>
              </w:tc>
            </w:tr>
            <w:tr w:rsidR="001964F8" w:rsidRPr="002F062C" w14:paraId="3A509E23" w14:textId="77777777" w:rsidTr="002218A9">
              <w:tc>
                <w:tcPr>
                  <w:tcW w:w="1615" w:type="dxa"/>
                </w:tcPr>
                <w:p w14:paraId="5F9A31C6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ROE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746A5F" w14:textId="42D72CC5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24.89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19880" w14:textId="53DD57A8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24.07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E4461C" w14:textId="6D78BCEB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18.37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627151" w14:textId="7FA1E9B7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18.37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A225C4" w14:textId="01900DA4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20.20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8F94E9" w14:textId="0E67FF4F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24.39</w:t>
                  </w:r>
                </w:p>
              </w:tc>
            </w:tr>
            <w:tr w:rsidR="001964F8" w:rsidRPr="002F062C" w14:paraId="05DA65CD" w14:textId="77777777" w:rsidTr="002218A9">
              <w:tc>
                <w:tcPr>
                  <w:tcW w:w="1615" w:type="dxa"/>
                </w:tcPr>
                <w:p w14:paraId="41CF8958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ROA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4CCA2" w14:textId="4BF46AFF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8.48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BB509F" w14:textId="7AB99A91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7.97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0C193" w14:textId="3D6B9607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5.41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DEE7C2" w14:textId="46BA2C0D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5.41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6E08FD" w14:textId="6F38D675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5.70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5BDA81" w14:textId="72884607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6.49</w:t>
                  </w:r>
                </w:p>
              </w:tc>
            </w:tr>
            <w:tr w:rsidR="001964F8" w:rsidRPr="002F062C" w14:paraId="413A7FE1" w14:textId="77777777" w:rsidTr="0055087D">
              <w:trPr>
                <w:trHeight w:val="70"/>
              </w:trPr>
              <w:tc>
                <w:tcPr>
                  <w:tcW w:w="1615" w:type="dxa"/>
                </w:tcPr>
                <w:p w14:paraId="26802245" w14:textId="77777777" w:rsidR="001964F8" w:rsidRDefault="001964F8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Dividend Per share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AF7EC5" w14:textId="63674D01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1.32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9F0CE8" w14:textId="0D01FDA0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1.55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BEE2BE" w14:textId="206BA9EF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1.67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D7148" w14:textId="70F380BD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BFC455" w14:textId="489EB8CA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DB96F1" w14:textId="0C23E70A" w:rsidR="001964F8" w:rsidRDefault="001964F8" w:rsidP="001964F8">
                  <w:pPr>
                    <w:jc w:val="right"/>
                    <w:rPr>
                      <w:sz w:val="16"/>
                      <w:szCs w:val="16"/>
                    </w:rPr>
                  </w:pPr>
                  <w:r w:rsidRPr="001964F8">
                    <w:rPr>
                      <w:sz w:val="16"/>
                      <w:szCs w:val="16"/>
                    </w:rPr>
                    <w:t>0.44</w:t>
                  </w:r>
                </w:p>
              </w:tc>
            </w:tr>
          </w:tbl>
          <w:p w14:paraId="6973B10F" w14:textId="574270D2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F98E45C" w14:textId="77777777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  <w:gridCol w:w="1123"/>
              <w:gridCol w:w="1074"/>
            </w:tblGrid>
            <w:tr w:rsidR="0060598F" w:rsidRPr="00D9079F" w14:paraId="4C54BF94" w14:textId="77777777" w:rsidTr="00FC0F5A">
              <w:tc>
                <w:tcPr>
                  <w:tcW w:w="1897" w:type="dxa"/>
                  <w:shd w:val="clear" w:color="auto" w:fill="DBE5F1" w:themeFill="accent1" w:themeFillTint="33"/>
                </w:tcPr>
                <w:p w14:paraId="15FA463B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shd w:val="clear" w:color="auto" w:fill="DBE5F1" w:themeFill="accent1" w:themeFillTint="33"/>
                </w:tcPr>
                <w:p w14:paraId="3D650FB0" w14:textId="4826DF0D" w:rsidR="00830F06" w:rsidRPr="00D9079F" w:rsidRDefault="00830F06" w:rsidP="00E42CC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201</w:t>
                  </w:r>
                  <w:r w:rsidR="00E42CC2" w:rsidRPr="00D9079F">
                    <w:rPr>
                      <w:rFonts w:asciiTheme="majorHAnsi" w:hAnsiTheme="majorHAnsi"/>
                      <w:sz w:val="16"/>
                      <w:szCs w:val="16"/>
                    </w:rPr>
                    <w:t>0</w:t>
                  </w:r>
                  <w:r w:rsidR="001A1781" w:rsidRPr="00D9079F">
                    <w:rPr>
                      <w:rFonts w:asciiTheme="majorHAnsi" w:hAnsiTheme="majorHAnsi"/>
                      <w:sz w:val="16"/>
                      <w:szCs w:val="16"/>
                    </w:rPr>
                    <w:t>-15</w:t>
                  </w:r>
                </w:p>
              </w:tc>
              <w:tc>
                <w:tcPr>
                  <w:tcW w:w="1074" w:type="dxa"/>
                  <w:shd w:val="clear" w:color="auto" w:fill="DBE5F1" w:themeFill="accent1" w:themeFillTint="33"/>
                </w:tcPr>
                <w:p w14:paraId="6917AD00" w14:textId="06AD074B" w:rsidR="00830F06" w:rsidRPr="00D9079F" w:rsidRDefault="001A1781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2016-20</w:t>
                  </w:r>
                </w:p>
              </w:tc>
            </w:tr>
            <w:tr w:rsidR="0060598F" w:rsidRPr="00D9079F" w14:paraId="5A9DD5F4" w14:textId="77777777" w:rsidTr="00FC0F5A">
              <w:tc>
                <w:tcPr>
                  <w:tcW w:w="1897" w:type="dxa"/>
                </w:tcPr>
                <w:p w14:paraId="6A465DCA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 Revenue growth </w:t>
                  </w:r>
                </w:p>
              </w:tc>
              <w:tc>
                <w:tcPr>
                  <w:tcW w:w="1123" w:type="dxa"/>
                </w:tcPr>
                <w:p w14:paraId="28890419" w14:textId="2EE054B3" w:rsidR="00830F06" w:rsidRPr="00D9079F" w:rsidRDefault="00C314EE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3.6%</w:t>
                  </w:r>
                </w:p>
              </w:tc>
              <w:tc>
                <w:tcPr>
                  <w:tcW w:w="1074" w:type="dxa"/>
                </w:tcPr>
                <w:p w14:paraId="2B6EF445" w14:textId="6F1E258D" w:rsidR="00830F06" w:rsidRPr="00D9079F" w:rsidRDefault="00C314EE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1.3%</w:t>
                  </w:r>
                </w:p>
              </w:tc>
            </w:tr>
            <w:tr w:rsidR="0060598F" w:rsidRPr="00D9079F" w14:paraId="49A71F37" w14:textId="77777777" w:rsidTr="00FC0F5A">
              <w:tc>
                <w:tcPr>
                  <w:tcW w:w="1897" w:type="dxa"/>
                </w:tcPr>
                <w:p w14:paraId="7425D824" w14:textId="0D2047A2" w:rsidR="00830F06" w:rsidRPr="00D9079F" w:rsidRDefault="00830F06" w:rsidP="0057497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 w:rsidR="0057497F">
                    <w:rPr>
                      <w:rFonts w:asciiTheme="majorHAnsi" w:hAnsiTheme="majorHAnsi"/>
                      <w:sz w:val="16"/>
                      <w:szCs w:val="16"/>
                    </w:rPr>
                    <w:t xml:space="preserve">operating </w:t>
                  </w: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Margin </w:t>
                  </w:r>
                </w:p>
              </w:tc>
              <w:tc>
                <w:tcPr>
                  <w:tcW w:w="1123" w:type="dxa"/>
                </w:tcPr>
                <w:p w14:paraId="6AE1C97F" w14:textId="0D212854" w:rsidR="00830F06" w:rsidRPr="00D9079F" w:rsidRDefault="004D567C" w:rsidP="00FD026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  <w:r w:rsidR="00C314EE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74" w:type="dxa"/>
                </w:tcPr>
                <w:p w14:paraId="72FC070B" w14:textId="55C5EF13" w:rsidR="00830F06" w:rsidRPr="00D9079F" w:rsidRDefault="004D567C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22%</w:t>
                  </w:r>
                </w:p>
              </w:tc>
            </w:tr>
            <w:tr w:rsidR="0060598F" w:rsidRPr="00D9079F" w14:paraId="5B01660D" w14:textId="77777777" w:rsidTr="00FC0F5A">
              <w:tc>
                <w:tcPr>
                  <w:tcW w:w="1897" w:type="dxa"/>
                </w:tcPr>
                <w:p w14:paraId="2B656250" w14:textId="77777777" w:rsidR="00830F06" w:rsidRPr="00230BD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230BD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230BD4">
                    <w:rPr>
                      <w:rFonts w:asciiTheme="majorHAnsi" w:hAnsiTheme="majorHAnsi"/>
                      <w:sz w:val="16"/>
                      <w:szCs w:val="16"/>
                    </w:rPr>
                    <w:t xml:space="preserve">  Net Income Margin </w:t>
                  </w:r>
                </w:p>
              </w:tc>
              <w:tc>
                <w:tcPr>
                  <w:tcW w:w="1123" w:type="dxa"/>
                </w:tcPr>
                <w:p w14:paraId="6B796F07" w14:textId="03423F5F" w:rsidR="00830F06" w:rsidRPr="00D9079F" w:rsidRDefault="00EF0716" w:rsidP="00EF071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11%</w:t>
                  </w:r>
                </w:p>
              </w:tc>
              <w:tc>
                <w:tcPr>
                  <w:tcW w:w="1074" w:type="dxa"/>
                </w:tcPr>
                <w:p w14:paraId="2CA542D3" w14:textId="1F85E13A" w:rsidR="00830F06" w:rsidRPr="00D9079F" w:rsidRDefault="00EF071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12%</w:t>
                  </w:r>
                </w:p>
              </w:tc>
            </w:tr>
            <w:tr w:rsidR="0060598F" w:rsidRPr="00D9079F" w14:paraId="1407D251" w14:textId="77777777" w:rsidTr="00FC0F5A">
              <w:tc>
                <w:tcPr>
                  <w:tcW w:w="1897" w:type="dxa"/>
                </w:tcPr>
                <w:p w14:paraId="5FB4F2E9" w14:textId="77777777" w:rsidR="00830F06" w:rsidRPr="00230BD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230BD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230BD4">
                    <w:rPr>
                      <w:rFonts w:asciiTheme="majorHAnsi" w:hAnsiTheme="majorHAnsi"/>
                      <w:sz w:val="16"/>
                      <w:szCs w:val="16"/>
                    </w:rPr>
                    <w:t xml:space="preserve">  Debt/Equity </w:t>
                  </w:r>
                </w:p>
              </w:tc>
              <w:tc>
                <w:tcPr>
                  <w:tcW w:w="1123" w:type="dxa"/>
                </w:tcPr>
                <w:p w14:paraId="3BD7CDF4" w14:textId="4B55C8B8" w:rsidR="00830F06" w:rsidRPr="003E0ECA" w:rsidRDefault="003E0ECA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E0ECA">
                    <w:rPr>
                      <w:rFonts w:asciiTheme="majorHAnsi" w:hAnsiTheme="majorHAnsi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074" w:type="dxa"/>
                </w:tcPr>
                <w:p w14:paraId="6104E666" w14:textId="350217FB" w:rsidR="00830F06" w:rsidRPr="003E0ECA" w:rsidRDefault="003E0ECA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E0ECA">
                    <w:rPr>
                      <w:rFonts w:asciiTheme="majorHAnsi" w:hAnsiTheme="majorHAnsi"/>
                      <w:sz w:val="16"/>
                      <w:szCs w:val="16"/>
                    </w:rPr>
                    <w:t>120</w:t>
                  </w:r>
                </w:p>
              </w:tc>
            </w:tr>
            <w:tr w:rsidR="0060598F" w:rsidRPr="00D9079F" w14:paraId="261F133B" w14:textId="77777777" w:rsidTr="00FC0F5A">
              <w:tc>
                <w:tcPr>
                  <w:tcW w:w="1897" w:type="dxa"/>
                </w:tcPr>
                <w:p w14:paraId="0B1C1930" w14:textId="5020BC3E" w:rsidR="00830F06" w:rsidRPr="00D9079F" w:rsidRDefault="00830F06" w:rsidP="00FD026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 w:rsidR="00FD0265" w:rsidRPr="00D9079F">
                    <w:rPr>
                      <w:rFonts w:asciiTheme="majorHAnsi" w:hAnsiTheme="majorHAnsi"/>
                      <w:sz w:val="16"/>
                      <w:szCs w:val="16"/>
                    </w:rPr>
                    <w:t>FCF</w:t>
                  </w: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/ </w:t>
                  </w:r>
                  <w:r w:rsidR="00FD0265" w:rsidRPr="00D9079F">
                    <w:rPr>
                      <w:rFonts w:asciiTheme="majorHAnsi" w:hAnsiTheme="majorHAnsi"/>
                      <w:sz w:val="16"/>
                      <w:szCs w:val="16"/>
                    </w:rPr>
                    <w:t>Margin</w:t>
                  </w: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4FFEFCE9" w14:textId="051EBF7C" w:rsidR="00830F06" w:rsidRPr="00D9079F" w:rsidRDefault="003C746F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11%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4395283" w14:textId="07A4B711" w:rsidR="00830F06" w:rsidRPr="00D9079F" w:rsidRDefault="003C746F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13%</w:t>
                  </w:r>
                </w:p>
              </w:tc>
            </w:tr>
            <w:tr w:rsidR="00830F06" w:rsidRPr="00D9079F" w14:paraId="42F79EE5" w14:textId="77777777" w:rsidTr="00FC0F5A">
              <w:tc>
                <w:tcPr>
                  <w:tcW w:w="3020" w:type="dxa"/>
                  <w:gridSpan w:val="2"/>
                </w:tcPr>
                <w:p w14:paraId="11317549" w14:textId="138FEC59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Cost of Debt</w:t>
                  </w:r>
                  <w:r w:rsidR="008114F3">
                    <w:rPr>
                      <w:rFonts w:asciiTheme="majorHAnsi" w:hAnsiTheme="majorHAnsi"/>
                      <w:sz w:val="16"/>
                      <w:szCs w:val="16"/>
                    </w:rPr>
                    <w:t xml:space="preserve"> (After Tax)</w:t>
                  </w:r>
                </w:p>
              </w:tc>
              <w:tc>
                <w:tcPr>
                  <w:tcW w:w="1074" w:type="dxa"/>
                </w:tcPr>
                <w:p w14:paraId="316D237F" w14:textId="69B5FAA9" w:rsidR="00830F06" w:rsidRPr="00D9079F" w:rsidRDefault="008114F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1.5%</w:t>
                  </w:r>
                </w:p>
              </w:tc>
            </w:tr>
            <w:tr w:rsidR="00830F06" w:rsidRPr="00D9079F" w14:paraId="67214880" w14:textId="77777777" w:rsidTr="00FC0F5A">
              <w:tc>
                <w:tcPr>
                  <w:tcW w:w="3020" w:type="dxa"/>
                  <w:gridSpan w:val="2"/>
                </w:tcPr>
                <w:p w14:paraId="30979647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Tax Rate</w:t>
                  </w:r>
                </w:p>
              </w:tc>
              <w:tc>
                <w:tcPr>
                  <w:tcW w:w="1074" w:type="dxa"/>
                </w:tcPr>
                <w:p w14:paraId="426CE887" w14:textId="075D67A8" w:rsidR="00830F06" w:rsidRPr="00D9079F" w:rsidRDefault="00BE5F48" w:rsidP="0092597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32%</w:t>
                  </w:r>
                </w:p>
              </w:tc>
            </w:tr>
            <w:tr w:rsidR="00830F06" w:rsidRPr="00D9079F" w14:paraId="0F9564DE" w14:textId="77777777" w:rsidTr="00FC0F5A">
              <w:tc>
                <w:tcPr>
                  <w:tcW w:w="3020" w:type="dxa"/>
                  <w:gridSpan w:val="2"/>
                </w:tcPr>
                <w:p w14:paraId="02E73EF4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Cost of Equity </w:t>
                  </w:r>
                </w:p>
              </w:tc>
              <w:tc>
                <w:tcPr>
                  <w:tcW w:w="1074" w:type="dxa"/>
                </w:tcPr>
                <w:p w14:paraId="7C66D20E" w14:textId="0A90A27B" w:rsidR="00830F06" w:rsidRPr="00D9079F" w:rsidRDefault="008114F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7.9%</w:t>
                  </w:r>
                </w:p>
              </w:tc>
            </w:tr>
            <w:tr w:rsidR="00830F06" w:rsidRPr="00D9079F" w14:paraId="19A1F6C8" w14:textId="77777777" w:rsidTr="00FC0F5A">
              <w:tc>
                <w:tcPr>
                  <w:tcW w:w="3020" w:type="dxa"/>
                  <w:gridSpan w:val="2"/>
                </w:tcPr>
                <w:p w14:paraId="714B53EA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WACC</w:t>
                  </w:r>
                </w:p>
              </w:tc>
              <w:tc>
                <w:tcPr>
                  <w:tcW w:w="1074" w:type="dxa"/>
                </w:tcPr>
                <w:p w14:paraId="71DF2BD8" w14:textId="672B7E14" w:rsidR="00830F06" w:rsidRPr="00D9079F" w:rsidRDefault="008114F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6.6%</w:t>
                  </w:r>
                </w:p>
              </w:tc>
            </w:tr>
            <w:tr w:rsidR="00830F06" w:rsidRPr="00D9079F" w14:paraId="48232758" w14:textId="77777777" w:rsidTr="00FC0F5A">
              <w:trPr>
                <w:trHeight w:val="197"/>
              </w:trPr>
              <w:tc>
                <w:tcPr>
                  <w:tcW w:w="3020" w:type="dxa"/>
                  <w:gridSpan w:val="2"/>
                </w:tcPr>
                <w:p w14:paraId="75850D20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Perpetuity growth rate </w:t>
                  </w:r>
                </w:p>
              </w:tc>
              <w:tc>
                <w:tcPr>
                  <w:tcW w:w="1074" w:type="dxa"/>
                </w:tcPr>
                <w:p w14:paraId="0C5586DB" w14:textId="4450A569" w:rsidR="00830F06" w:rsidRPr="00D9079F" w:rsidRDefault="00AF29D3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2.4%</w:t>
                  </w:r>
                </w:p>
              </w:tc>
            </w:tr>
          </w:tbl>
          <w:p w14:paraId="4363BD08" w14:textId="77777777" w:rsidR="009F0D12" w:rsidRPr="00D9079F" w:rsidRDefault="009F0D12" w:rsidP="009F0D1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sz w:val="16"/>
                <w:szCs w:val="16"/>
              </w:rPr>
              <w:t xml:space="preserve">Analyst Opinion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077"/>
              <w:gridCol w:w="1407"/>
            </w:tblGrid>
            <w:tr w:rsidR="009F0D12" w:rsidRPr="00D9079F" w14:paraId="2502AA66" w14:textId="77777777" w:rsidTr="00FB4741">
              <w:tc>
                <w:tcPr>
                  <w:tcW w:w="1610" w:type="dxa"/>
                  <w:shd w:val="clear" w:color="auto" w:fill="DBE5F1" w:themeFill="accent1" w:themeFillTint="33"/>
                </w:tcPr>
                <w:p w14:paraId="6457A1D0" w14:textId="1427A01E" w:rsidR="009F0D12" w:rsidRPr="00D9079F" w:rsidRDefault="009F0D12" w:rsidP="00256907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Buy</w:t>
                  </w:r>
                  <w:r w:rsidR="00766C69" w:rsidRPr="00D9079F">
                    <w:rPr>
                      <w:rFonts w:asciiTheme="majorHAnsi" w:hAnsiTheme="majorHAnsi"/>
                      <w:sz w:val="16"/>
                      <w:szCs w:val="16"/>
                    </w:rPr>
                    <w:t>:</w:t>
                  </w:r>
                  <w:r w:rsidR="00445FE9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77" w:type="dxa"/>
                  <w:shd w:val="clear" w:color="auto" w:fill="DBE5F1" w:themeFill="accent1" w:themeFillTint="33"/>
                </w:tcPr>
                <w:p w14:paraId="10E79476" w14:textId="72FA336C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Hold: </w:t>
                  </w:r>
                  <w:r w:rsidR="00445FE9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07" w:type="dxa"/>
                  <w:shd w:val="clear" w:color="auto" w:fill="DBE5F1" w:themeFill="accent1" w:themeFillTint="33"/>
                </w:tcPr>
                <w:p w14:paraId="1F373BED" w14:textId="535AC8FD" w:rsidR="009F0D12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Sell</w:t>
                  </w:r>
                  <w:r w:rsidRPr="008C7FEA">
                    <w:rPr>
                      <w:rFonts w:asciiTheme="majorHAnsi" w:hAnsiTheme="majorHAnsi"/>
                      <w:sz w:val="16"/>
                      <w:szCs w:val="16"/>
                    </w:rPr>
                    <w:t>:</w:t>
                  </w:r>
                  <w:r w:rsidR="00445FE9">
                    <w:rPr>
                      <w:rFonts w:asciiTheme="majorHAnsi" w:hAnsiTheme="majorHAnsi"/>
                      <w:sz w:val="16"/>
                      <w:szCs w:val="16"/>
                    </w:rPr>
                    <w:t xml:space="preserve"> 3</w:t>
                  </w:r>
                </w:p>
              </w:tc>
            </w:tr>
            <w:tr w:rsidR="009F0D12" w:rsidRPr="00D9079F" w14:paraId="0A705346" w14:textId="77777777" w:rsidTr="00FB4741">
              <w:tc>
                <w:tcPr>
                  <w:tcW w:w="1610" w:type="dxa"/>
                  <w:shd w:val="clear" w:color="auto" w:fill="DBE5F1" w:themeFill="accent1" w:themeFillTint="33"/>
                </w:tcPr>
                <w:p w14:paraId="7897F5B6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shd w:val="clear" w:color="auto" w:fill="DBE5F1" w:themeFill="accent1" w:themeFillTint="33"/>
                </w:tcPr>
                <w:p w14:paraId="78BA4ECF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Rating </w:t>
                  </w:r>
                </w:p>
              </w:tc>
              <w:tc>
                <w:tcPr>
                  <w:tcW w:w="1407" w:type="dxa"/>
                  <w:shd w:val="clear" w:color="auto" w:fill="DBE5F1" w:themeFill="accent1" w:themeFillTint="33"/>
                </w:tcPr>
                <w:p w14:paraId="1E6E599B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Target </w:t>
                  </w:r>
                </w:p>
              </w:tc>
            </w:tr>
            <w:tr w:rsidR="009F0D12" w:rsidRPr="00D9079F" w14:paraId="18B2C8FA" w14:textId="77777777" w:rsidTr="00FB4741">
              <w:tc>
                <w:tcPr>
                  <w:tcW w:w="1610" w:type="dxa"/>
                </w:tcPr>
                <w:p w14:paraId="12374E3E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S&amp;P Net Advantage </w:t>
                  </w:r>
                </w:p>
              </w:tc>
              <w:tc>
                <w:tcPr>
                  <w:tcW w:w="1077" w:type="dxa"/>
                </w:tcPr>
                <w:p w14:paraId="6EC161A2" w14:textId="73FE1557" w:rsidR="009F0D12" w:rsidRPr="00D9079F" w:rsidRDefault="005524C3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7" w:type="dxa"/>
                </w:tcPr>
                <w:p w14:paraId="0BCB7E23" w14:textId="758595E6" w:rsidR="009F0D12" w:rsidRPr="00D9079F" w:rsidRDefault="005524C3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$61</w:t>
                  </w:r>
                </w:p>
              </w:tc>
            </w:tr>
            <w:tr w:rsidR="00766C69" w:rsidRPr="00D9079F" w14:paraId="35B4D85C" w14:textId="77777777" w:rsidTr="00FB4741">
              <w:trPr>
                <w:trHeight w:val="215"/>
              </w:trPr>
              <w:tc>
                <w:tcPr>
                  <w:tcW w:w="1610" w:type="dxa"/>
                </w:tcPr>
                <w:p w14:paraId="1DD4E482" w14:textId="4558A51F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Morning Star</w:t>
                  </w:r>
                </w:p>
              </w:tc>
              <w:tc>
                <w:tcPr>
                  <w:tcW w:w="1077" w:type="dxa"/>
                </w:tcPr>
                <w:p w14:paraId="0B4EFFDC" w14:textId="34323462" w:rsidR="00766C69" w:rsidRPr="00D9079F" w:rsidRDefault="00167D4D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7" w:type="dxa"/>
                </w:tcPr>
                <w:p w14:paraId="70BA49F9" w14:textId="05107589" w:rsidR="00766C69" w:rsidRPr="00D9079F" w:rsidRDefault="00167D4D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$57</w:t>
                  </w:r>
                </w:p>
              </w:tc>
            </w:tr>
            <w:tr w:rsidR="00766C69" w:rsidRPr="00D9079F" w14:paraId="0BBF9B66" w14:textId="77777777" w:rsidTr="00FB4741">
              <w:trPr>
                <w:trHeight w:val="215"/>
              </w:trPr>
              <w:tc>
                <w:tcPr>
                  <w:tcW w:w="1610" w:type="dxa"/>
                </w:tcPr>
                <w:p w14:paraId="0E7E15E7" w14:textId="50B93F2B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Value Line </w:t>
                  </w:r>
                </w:p>
              </w:tc>
              <w:tc>
                <w:tcPr>
                  <w:tcW w:w="1077" w:type="dxa"/>
                </w:tcPr>
                <w:p w14:paraId="161AF23F" w14:textId="20D49CF5" w:rsidR="00766C69" w:rsidRPr="00D9079F" w:rsidRDefault="005524C3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S:1, T:3</w:t>
                  </w:r>
                </w:p>
              </w:tc>
              <w:tc>
                <w:tcPr>
                  <w:tcW w:w="1407" w:type="dxa"/>
                </w:tcPr>
                <w:p w14:paraId="22CC1EA0" w14:textId="553A329B" w:rsidR="00766C69" w:rsidRPr="00D9079F" w:rsidRDefault="00891716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577D83D9" w14:textId="77777777" w:rsidR="002D3CFC" w:rsidRPr="00D9079F" w:rsidRDefault="002D3CFC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66C69" w:rsidRPr="00D9079F" w14:paraId="660DEC2C" w14:textId="77777777" w:rsidTr="00BA365E">
        <w:tc>
          <w:tcPr>
            <w:tcW w:w="7218" w:type="dxa"/>
            <w:gridSpan w:val="4"/>
            <w:shd w:val="clear" w:color="auto" w:fill="365F91" w:themeFill="accent1" w:themeFillShade="BF"/>
          </w:tcPr>
          <w:p w14:paraId="1BAF6900" w14:textId="27A2E398" w:rsidR="00766C69" w:rsidRPr="00D9079F" w:rsidRDefault="00766C69" w:rsidP="004F2EAA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Relative Valuation</w:t>
            </w:r>
          </w:p>
        </w:tc>
        <w:tc>
          <w:tcPr>
            <w:tcW w:w="4590" w:type="dxa"/>
            <w:gridSpan w:val="3"/>
            <w:shd w:val="clear" w:color="auto" w:fill="365F91" w:themeFill="accent1" w:themeFillShade="BF"/>
          </w:tcPr>
          <w:p w14:paraId="335BDBD9" w14:textId="109523C3" w:rsidR="00766C69" w:rsidRPr="00D9079F" w:rsidRDefault="00766C69" w:rsidP="000F7E2C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Total Return</w:t>
            </w:r>
          </w:p>
        </w:tc>
      </w:tr>
      <w:tr w:rsidR="00766C69" w:rsidRPr="00D9079F" w14:paraId="2AA141CB" w14:textId="77777777" w:rsidTr="00BA365E">
        <w:tc>
          <w:tcPr>
            <w:tcW w:w="7218" w:type="dxa"/>
            <w:gridSpan w:val="4"/>
          </w:tcPr>
          <w:tbl>
            <w:tblPr>
              <w:tblStyle w:val="TableGrid"/>
              <w:tblW w:w="6205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170"/>
              <w:gridCol w:w="900"/>
              <w:gridCol w:w="990"/>
              <w:gridCol w:w="810"/>
              <w:gridCol w:w="810"/>
            </w:tblGrid>
            <w:tr w:rsidR="004E79D3" w:rsidRPr="00D9079F" w14:paraId="03A7F5D8" w14:textId="6321FE3E" w:rsidTr="00EA7368">
              <w:tc>
                <w:tcPr>
                  <w:tcW w:w="1525" w:type="dxa"/>
                  <w:shd w:val="clear" w:color="auto" w:fill="DBE5F1" w:themeFill="accent1" w:themeFillTint="33"/>
                  <w:vAlign w:val="bottom"/>
                </w:tcPr>
                <w:p w14:paraId="18F981FE" w14:textId="34E0A35A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  <w:vAlign w:val="bottom"/>
                </w:tcPr>
                <w:p w14:paraId="533159FD" w14:textId="5BDE65A8" w:rsidR="004E79D3" w:rsidRPr="004E79D3" w:rsidRDefault="00723495" w:rsidP="007234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KRAFT/</w:t>
                  </w:r>
                  <w:r w:rsidR="00DF7FA4">
                    <w:rPr>
                      <w:sz w:val="16"/>
                      <w:szCs w:val="16"/>
                    </w:rPr>
                    <w:t>HEIN</w:t>
                  </w:r>
                </w:p>
              </w:tc>
              <w:tc>
                <w:tcPr>
                  <w:tcW w:w="900" w:type="dxa"/>
                  <w:shd w:val="clear" w:color="auto" w:fill="DBE5F1" w:themeFill="accent1" w:themeFillTint="33"/>
                  <w:vAlign w:val="bottom"/>
                </w:tcPr>
                <w:p w14:paraId="488ED66B" w14:textId="5F78CE6E" w:rsidR="004E79D3" w:rsidRPr="004E79D3" w:rsidRDefault="00723495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GIS</w:t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bottom"/>
                </w:tcPr>
                <w:p w14:paraId="36FCBD39" w14:textId="2BAE179D" w:rsidR="004E79D3" w:rsidRPr="004E79D3" w:rsidRDefault="00723495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KELLOGG 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  <w:vAlign w:val="bottom"/>
                </w:tcPr>
                <w:p w14:paraId="18F40648" w14:textId="49F1191B" w:rsidR="004E79D3" w:rsidRPr="004E79D3" w:rsidRDefault="00DF7FA4" w:rsidP="007234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HORME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  <w:vAlign w:val="bottom"/>
                </w:tcPr>
                <w:p w14:paraId="2A237860" w14:textId="5B8EEE50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Average</w:t>
                  </w:r>
                </w:p>
              </w:tc>
            </w:tr>
            <w:tr w:rsidR="004E79D3" w:rsidRPr="00D9079F" w14:paraId="5DA42BF7" w14:textId="2DCDCB46" w:rsidTr="00EA7368">
              <w:tc>
                <w:tcPr>
                  <w:tcW w:w="1525" w:type="dxa"/>
                  <w:vAlign w:val="bottom"/>
                </w:tcPr>
                <w:p w14:paraId="5D8F0BAD" w14:textId="42BB1650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Mkt Cap (USD</w:t>
                  </w:r>
                  <w:r w:rsidR="002643DA">
                    <w:rPr>
                      <w:sz w:val="16"/>
                      <w:szCs w:val="16"/>
                    </w:rPr>
                    <w:t xml:space="preserve"> bi</w:t>
                  </w:r>
                  <w:r w:rsidRPr="004E79D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70" w:type="dxa"/>
                  <w:vAlign w:val="bottom"/>
                </w:tcPr>
                <w:p w14:paraId="2D8D2916" w14:textId="7B4E9AEC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88.6</w:t>
                  </w:r>
                </w:p>
              </w:tc>
              <w:tc>
                <w:tcPr>
                  <w:tcW w:w="900" w:type="dxa"/>
                  <w:vAlign w:val="bottom"/>
                </w:tcPr>
                <w:p w14:paraId="574D15A5" w14:textId="119A58A2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32.6</w:t>
                  </w:r>
                </w:p>
              </w:tc>
              <w:tc>
                <w:tcPr>
                  <w:tcW w:w="990" w:type="dxa"/>
                  <w:vAlign w:val="bottom"/>
                </w:tcPr>
                <w:p w14:paraId="53BFCC21" w14:textId="6946ECEE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23.5</w:t>
                  </w:r>
                </w:p>
              </w:tc>
              <w:tc>
                <w:tcPr>
                  <w:tcW w:w="810" w:type="dxa"/>
                  <w:vAlign w:val="bottom"/>
                </w:tcPr>
                <w:p w14:paraId="0006F77E" w14:textId="60FC5B7F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20.8</w:t>
                  </w:r>
                </w:p>
              </w:tc>
              <w:tc>
                <w:tcPr>
                  <w:tcW w:w="810" w:type="dxa"/>
                  <w:vAlign w:val="bottom"/>
                </w:tcPr>
                <w:p w14:paraId="4AFC1272" w14:textId="4C4F0CB3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13.7</w:t>
                  </w:r>
                </w:p>
              </w:tc>
            </w:tr>
            <w:tr w:rsidR="004E79D3" w:rsidRPr="00D9079F" w14:paraId="3CF28431" w14:textId="435C8D56" w:rsidTr="00EA7368">
              <w:tc>
                <w:tcPr>
                  <w:tcW w:w="1525" w:type="dxa"/>
                  <w:vAlign w:val="bottom"/>
                </w:tcPr>
                <w:p w14:paraId="7E3790DF" w14:textId="16035EB6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P/E</w:t>
                  </w:r>
                </w:p>
              </w:tc>
              <w:tc>
                <w:tcPr>
                  <w:tcW w:w="1170" w:type="dxa"/>
                  <w:vAlign w:val="bottom"/>
                </w:tcPr>
                <w:p w14:paraId="660D1149" w14:textId="1A552B82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46.0</w:t>
                  </w:r>
                </w:p>
              </w:tc>
              <w:tc>
                <w:tcPr>
                  <w:tcW w:w="900" w:type="dxa"/>
                  <w:vAlign w:val="bottom"/>
                </w:tcPr>
                <w:p w14:paraId="2E4744B0" w14:textId="10551C84" w:rsidR="004E79D3" w:rsidRPr="004E79D3" w:rsidRDefault="002643DA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17.85</w:t>
                  </w:r>
                </w:p>
              </w:tc>
              <w:tc>
                <w:tcPr>
                  <w:tcW w:w="990" w:type="dxa"/>
                  <w:vAlign w:val="bottom"/>
                </w:tcPr>
                <w:p w14:paraId="34BDBBAA" w14:textId="632157D5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19.6</w:t>
                  </w:r>
                </w:p>
              </w:tc>
              <w:tc>
                <w:tcPr>
                  <w:tcW w:w="810" w:type="dxa"/>
                  <w:vAlign w:val="bottom"/>
                </w:tcPr>
                <w:p w14:paraId="6DD53DF3" w14:textId="113369D0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29.4</w:t>
                  </w:r>
                </w:p>
              </w:tc>
              <w:tc>
                <w:tcPr>
                  <w:tcW w:w="810" w:type="dxa"/>
                  <w:vAlign w:val="bottom"/>
                </w:tcPr>
                <w:p w14:paraId="50A6E1A0" w14:textId="7C6F0575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22.7</w:t>
                  </w:r>
                </w:p>
              </w:tc>
            </w:tr>
            <w:tr w:rsidR="004E79D3" w:rsidRPr="00D9079F" w14:paraId="0617F604" w14:textId="2D2A989C" w:rsidTr="00EA7368">
              <w:tc>
                <w:tcPr>
                  <w:tcW w:w="1525" w:type="dxa"/>
                  <w:vAlign w:val="bottom"/>
                </w:tcPr>
                <w:p w14:paraId="3EC6238B" w14:textId="63A9F6B9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P/B</w:t>
                  </w:r>
                </w:p>
              </w:tc>
              <w:tc>
                <w:tcPr>
                  <w:tcW w:w="1170" w:type="dxa"/>
                  <w:vAlign w:val="bottom"/>
                </w:tcPr>
                <w:p w14:paraId="7050AD2B" w14:textId="0A6AF386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900" w:type="dxa"/>
                  <w:vAlign w:val="bottom"/>
                </w:tcPr>
                <w:p w14:paraId="769364CB" w14:textId="440D06C3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5.8</w:t>
                  </w:r>
                </w:p>
              </w:tc>
              <w:tc>
                <w:tcPr>
                  <w:tcW w:w="990" w:type="dxa"/>
                  <w:vAlign w:val="bottom"/>
                </w:tcPr>
                <w:p w14:paraId="524E59DF" w14:textId="42C951B0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9.5</w:t>
                  </w:r>
                </w:p>
              </w:tc>
              <w:tc>
                <w:tcPr>
                  <w:tcW w:w="810" w:type="dxa"/>
                  <w:vAlign w:val="bottom"/>
                </w:tcPr>
                <w:p w14:paraId="22DA99B4" w14:textId="404FA787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810" w:type="dxa"/>
                  <w:vAlign w:val="bottom"/>
                </w:tcPr>
                <w:p w14:paraId="562D5836" w14:textId="4ADAB0AC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4.2</w:t>
                  </w:r>
                </w:p>
              </w:tc>
            </w:tr>
            <w:tr w:rsidR="004E79D3" w:rsidRPr="00D9079F" w14:paraId="4505851E" w14:textId="249DEAA8" w:rsidTr="00EA7368">
              <w:tc>
                <w:tcPr>
                  <w:tcW w:w="1525" w:type="dxa"/>
                  <w:vAlign w:val="bottom"/>
                </w:tcPr>
                <w:p w14:paraId="6045AE39" w14:textId="29AAB38C" w:rsidR="004E79D3" w:rsidRPr="004E79D3" w:rsidRDefault="00E42648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Dividend Yield </w:t>
                  </w:r>
                </w:p>
              </w:tc>
              <w:tc>
                <w:tcPr>
                  <w:tcW w:w="1170" w:type="dxa"/>
                  <w:vAlign w:val="bottom"/>
                </w:tcPr>
                <w:p w14:paraId="23A38E8A" w14:textId="541DF1DA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0.8</w:t>
                  </w:r>
                </w:p>
              </w:tc>
              <w:tc>
                <w:tcPr>
                  <w:tcW w:w="900" w:type="dxa"/>
                  <w:vAlign w:val="bottom"/>
                </w:tcPr>
                <w:p w14:paraId="72D999D9" w14:textId="6CCA51A9" w:rsidR="004E79D3" w:rsidRPr="004E79D3" w:rsidRDefault="007359C2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990" w:type="dxa"/>
                  <w:vAlign w:val="bottom"/>
                </w:tcPr>
                <w:p w14:paraId="6C39B871" w14:textId="334E833A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810" w:type="dxa"/>
                  <w:vAlign w:val="bottom"/>
                </w:tcPr>
                <w:p w14:paraId="7D65AAED" w14:textId="660D05F6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810" w:type="dxa"/>
                  <w:vAlign w:val="bottom"/>
                </w:tcPr>
                <w:p w14:paraId="593FFD1B" w14:textId="1CAA898F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1.4</w:t>
                  </w:r>
                </w:p>
              </w:tc>
            </w:tr>
            <w:tr w:rsidR="004E79D3" w:rsidRPr="00D9079F" w14:paraId="06FF3325" w14:textId="06DDD8FE" w:rsidTr="00EA7368">
              <w:tc>
                <w:tcPr>
                  <w:tcW w:w="1525" w:type="dxa"/>
                  <w:vAlign w:val="bottom"/>
                </w:tcPr>
                <w:p w14:paraId="7FD0AD7B" w14:textId="27C71185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PEG Ratio</w:t>
                  </w:r>
                </w:p>
              </w:tc>
              <w:tc>
                <w:tcPr>
                  <w:tcW w:w="1170" w:type="dxa"/>
                  <w:vAlign w:val="bottom"/>
                </w:tcPr>
                <w:p w14:paraId="1BB96181" w14:textId="1AF7F04A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900" w:type="dxa"/>
                  <w:vAlign w:val="bottom"/>
                </w:tcPr>
                <w:p w14:paraId="3568C580" w14:textId="34C9F99C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990" w:type="dxa"/>
                  <w:vAlign w:val="bottom"/>
                </w:tcPr>
                <w:p w14:paraId="039C42DF" w14:textId="4379AE63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810" w:type="dxa"/>
                  <w:vAlign w:val="bottom"/>
                </w:tcPr>
                <w:p w14:paraId="1CBE09CE" w14:textId="2E23E834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810" w:type="dxa"/>
                  <w:vAlign w:val="bottom"/>
                </w:tcPr>
                <w:p w14:paraId="07DA3622" w14:textId="328FDD5F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2.6</w:t>
                  </w:r>
                </w:p>
              </w:tc>
            </w:tr>
            <w:tr w:rsidR="004E79D3" w:rsidRPr="00D9079F" w14:paraId="777301C1" w14:textId="595B701F" w:rsidTr="00EA7368">
              <w:tc>
                <w:tcPr>
                  <w:tcW w:w="1525" w:type="dxa"/>
                  <w:vAlign w:val="bottom"/>
                </w:tcPr>
                <w:p w14:paraId="0759BE0E" w14:textId="42BDAF1D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 xml:space="preserve">Trailing 12M EPS </w:t>
                  </w:r>
                </w:p>
              </w:tc>
              <w:tc>
                <w:tcPr>
                  <w:tcW w:w="1170" w:type="dxa"/>
                  <w:vAlign w:val="bottom"/>
                </w:tcPr>
                <w:p w14:paraId="3A612663" w14:textId="01F3B9B1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900" w:type="dxa"/>
                  <w:vAlign w:val="bottom"/>
                </w:tcPr>
                <w:p w14:paraId="76CC3C60" w14:textId="7E2759B8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990" w:type="dxa"/>
                  <w:vAlign w:val="bottom"/>
                </w:tcPr>
                <w:p w14:paraId="18DCC7A0" w14:textId="46A9DE4F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810" w:type="dxa"/>
                  <w:vAlign w:val="bottom"/>
                </w:tcPr>
                <w:p w14:paraId="68E302DD" w14:textId="7DC24DD8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810" w:type="dxa"/>
                  <w:vAlign w:val="bottom"/>
                </w:tcPr>
                <w:p w14:paraId="23E930D3" w14:textId="22314CCF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2.3</w:t>
                  </w:r>
                </w:p>
              </w:tc>
            </w:tr>
            <w:tr w:rsidR="004E79D3" w:rsidRPr="00D9079F" w14:paraId="616F0554" w14:textId="4402E725" w:rsidTr="00EA7368">
              <w:tc>
                <w:tcPr>
                  <w:tcW w:w="1525" w:type="dxa"/>
                  <w:vAlign w:val="bottom"/>
                </w:tcPr>
                <w:p w14:paraId="12174486" w14:textId="6BC42483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4E79D3">
                    <w:rPr>
                      <w:sz w:val="16"/>
                      <w:szCs w:val="16"/>
                    </w:rPr>
                    <w:t>yr-Revn</w:t>
                  </w:r>
                  <w:proofErr w:type="spellEnd"/>
                  <w:r w:rsidRPr="004E79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E79D3">
                    <w:rPr>
                      <w:sz w:val="16"/>
                      <w:szCs w:val="16"/>
                    </w:rPr>
                    <w:t>Grth</w:t>
                  </w:r>
                  <w:proofErr w:type="spellEnd"/>
                  <w:r w:rsidRPr="004E79D3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70" w:type="dxa"/>
                  <w:vAlign w:val="bottom"/>
                </w:tcPr>
                <w:p w14:paraId="76BD59B5" w14:textId="3F929DA4" w:rsidR="004E79D3" w:rsidRPr="004E79D3" w:rsidRDefault="0006576D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0" w:type="dxa"/>
                  <w:vAlign w:val="bottom"/>
                </w:tcPr>
                <w:p w14:paraId="552B5D28" w14:textId="5EB9B857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990" w:type="dxa"/>
                  <w:vAlign w:val="bottom"/>
                </w:tcPr>
                <w:p w14:paraId="21AC8274" w14:textId="15E1BA19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810" w:type="dxa"/>
                  <w:vAlign w:val="bottom"/>
                </w:tcPr>
                <w:p w14:paraId="72155156" w14:textId="0FAD186B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810" w:type="dxa"/>
                  <w:vAlign w:val="bottom"/>
                </w:tcPr>
                <w:p w14:paraId="3E6A3DC6" w14:textId="7E8E7159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6.5</w:t>
                  </w:r>
                </w:p>
              </w:tc>
            </w:tr>
            <w:tr w:rsidR="004E79D3" w:rsidRPr="00D9079F" w14:paraId="339AECB6" w14:textId="0CD0ABC6" w:rsidTr="00EA7368">
              <w:tc>
                <w:tcPr>
                  <w:tcW w:w="1525" w:type="dxa"/>
                  <w:vAlign w:val="bottom"/>
                </w:tcPr>
                <w:p w14:paraId="7B2C49BE" w14:textId="3D7DF037" w:rsidR="004E79D3" w:rsidRPr="004E79D3" w:rsidRDefault="007359C2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Profit Margin</w:t>
                  </w:r>
                </w:p>
              </w:tc>
              <w:tc>
                <w:tcPr>
                  <w:tcW w:w="1170" w:type="dxa"/>
                  <w:vAlign w:val="bottom"/>
                </w:tcPr>
                <w:p w14:paraId="583A9E22" w14:textId="28ABA1A7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-2.0</w:t>
                  </w:r>
                  <w:r w:rsidR="007359C2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0" w:type="dxa"/>
                  <w:vAlign w:val="bottom"/>
                </w:tcPr>
                <w:p w14:paraId="0259AF75" w14:textId="09AFC954" w:rsidR="004E79D3" w:rsidRPr="004E79D3" w:rsidRDefault="0055087D" w:rsidP="004E79D3">
                  <w:pPr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6.93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90" w:type="dxa"/>
                  <w:vAlign w:val="bottom"/>
                </w:tcPr>
                <w:p w14:paraId="6D16033E" w14:textId="2C2A1C7C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6.2</w:t>
                  </w:r>
                  <w:r w:rsidR="007359C2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10" w:type="dxa"/>
                  <w:vAlign w:val="bottom"/>
                </w:tcPr>
                <w:p w14:paraId="0087603B" w14:textId="669389A6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7.8</w:t>
                  </w:r>
                  <w:r w:rsidR="007359C2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10" w:type="dxa"/>
                  <w:vAlign w:val="bottom"/>
                </w:tcPr>
                <w:p w14:paraId="3C5A9269" w14:textId="4514A5E2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5.6</w:t>
                  </w:r>
                  <w:r w:rsidR="007359C2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4E79D3" w:rsidRPr="00D9079F" w14:paraId="064AA80D" w14:textId="79AFAAEB" w:rsidTr="00EA7368">
              <w:tc>
                <w:tcPr>
                  <w:tcW w:w="1525" w:type="dxa"/>
                  <w:vAlign w:val="bottom"/>
                </w:tcPr>
                <w:p w14:paraId="5977E240" w14:textId="0900B91F" w:rsidR="004E79D3" w:rsidRPr="004E79D3" w:rsidRDefault="007359C2" w:rsidP="004E79D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Operat</w:t>
                  </w:r>
                  <w:proofErr w:type="spellEnd"/>
                  <w:r>
                    <w:rPr>
                      <w:sz w:val="16"/>
                      <w:szCs w:val="16"/>
                    </w:rPr>
                    <w:t>. Profit M</w:t>
                  </w:r>
                </w:p>
              </w:tc>
              <w:tc>
                <w:tcPr>
                  <w:tcW w:w="1170" w:type="dxa"/>
                  <w:vAlign w:val="bottom"/>
                </w:tcPr>
                <w:p w14:paraId="0C02A104" w14:textId="7E998B65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6.5</w:t>
                  </w:r>
                  <w:r w:rsidR="007359C2">
                    <w:rPr>
                      <w:sz w:val="16"/>
                      <w:szCs w:val="16"/>
                    </w:rPr>
                    <w:t xml:space="preserve"> </w:t>
                  </w:r>
                  <w:r w:rsidR="007359C2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0" w:type="dxa"/>
                  <w:vAlign w:val="bottom"/>
                </w:tcPr>
                <w:p w14:paraId="0EE123A4" w14:textId="364A8B85" w:rsidR="004E79D3" w:rsidRPr="004E79D3" w:rsidRDefault="0055087D" w:rsidP="004E79D3">
                  <w:pPr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11.78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90" w:type="dxa"/>
                  <w:vAlign w:val="bottom"/>
                </w:tcPr>
                <w:p w14:paraId="672F8CCF" w14:textId="172AF0C1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10.0</w:t>
                  </w:r>
                  <w:r w:rsidR="007359C2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10" w:type="dxa"/>
                  <w:vAlign w:val="bottom"/>
                </w:tcPr>
                <w:p w14:paraId="2639E00E" w14:textId="6562D4C2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12.2</w:t>
                  </w:r>
                  <w:r w:rsidR="007359C2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10" w:type="dxa"/>
                  <w:vAlign w:val="bottom"/>
                </w:tcPr>
                <w:p w14:paraId="633D0556" w14:textId="1B88FC9B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10.5</w:t>
                  </w:r>
                  <w:r w:rsidR="007359C2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4E79D3" w:rsidRPr="00D9079F" w14:paraId="36B329ED" w14:textId="370299C5" w:rsidTr="00EA7368">
              <w:tc>
                <w:tcPr>
                  <w:tcW w:w="1525" w:type="dxa"/>
                  <w:vAlign w:val="bottom"/>
                </w:tcPr>
                <w:p w14:paraId="791DB0D1" w14:textId="395AC937" w:rsidR="004E79D3" w:rsidRPr="004E79D3" w:rsidRDefault="007359C2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Debt/Equity </w:t>
                  </w:r>
                </w:p>
              </w:tc>
              <w:tc>
                <w:tcPr>
                  <w:tcW w:w="1170" w:type="dxa"/>
                  <w:vAlign w:val="bottom"/>
                </w:tcPr>
                <w:p w14:paraId="665FDF73" w14:textId="5D709BC9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37.6</w:t>
                  </w:r>
                </w:p>
              </w:tc>
              <w:tc>
                <w:tcPr>
                  <w:tcW w:w="900" w:type="dxa"/>
                  <w:vAlign w:val="bottom"/>
                </w:tcPr>
                <w:p w14:paraId="03A2468C" w14:textId="3C709102" w:rsidR="004E79D3" w:rsidRPr="004E79D3" w:rsidRDefault="00E52219" w:rsidP="004E79D3">
                  <w:pPr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149.46</w:t>
                  </w:r>
                </w:p>
              </w:tc>
              <w:tc>
                <w:tcPr>
                  <w:tcW w:w="990" w:type="dxa"/>
                  <w:vAlign w:val="bottom"/>
                </w:tcPr>
                <w:p w14:paraId="031547AD" w14:textId="0315EAB2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297.4</w:t>
                  </w:r>
                </w:p>
              </w:tc>
              <w:tc>
                <w:tcPr>
                  <w:tcW w:w="810" w:type="dxa"/>
                  <w:vAlign w:val="bottom"/>
                </w:tcPr>
                <w:p w14:paraId="626B742A" w14:textId="7AD9692E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10.9</w:t>
                  </w:r>
                </w:p>
              </w:tc>
              <w:tc>
                <w:tcPr>
                  <w:tcW w:w="810" w:type="dxa"/>
                  <w:vAlign w:val="bottom"/>
                </w:tcPr>
                <w:p w14:paraId="79D1F91F" w14:textId="01A5049A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124.8</w:t>
                  </w:r>
                </w:p>
              </w:tc>
            </w:tr>
            <w:tr w:rsidR="004E79D3" w:rsidRPr="00D9079F" w14:paraId="2803AFFF" w14:textId="074F234F" w:rsidTr="00EA7368">
              <w:tc>
                <w:tcPr>
                  <w:tcW w:w="1525" w:type="dxa"/>
                  <w:shd w:val="clear" w:color="auto" w:fill="auto"/>
                  <w:vAlign w:val="bottom"/>
                </w:tcPr>
                <w:p w14:paraId="125C35C1" w14:textId="5E3F1188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Net Sales T12M</w:t>
                  </w:r>
                </w:p>
              </w:tc>
              <w:tc>
                <w:tcPr>
                  <w:tcW w:w="1170" w:type="dxa"/>
                  <w:vAlign w:val="bottom"/>
                </w:tcPr>
                <w:p w14:paraId="79802FE2" w14:textId="3490709A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27576.0</w:t>
                  </w:r>
                </w:p>
              </w:tc>
              <w:tc>
                <w:tcPr>
                  <w:tcW w:w="900" w:type="dxa"/>
                  <w:vAlign w:val="bottom"/>
                </w:tcPr>
                <w:p w14:paraId="5566C1C3" w14:textId="53095433" w:rsidR="004E79D3" w:rsidRPr="004E79D3" w:rsidRDefault="0055087D" w:rsidP="004E79D3">
                  <w:pPr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17,630.3</w:t>
                  </w:r>
                </w:p>
              </w:tc>
              <w:tc>
                <w:tcPr>
                  <w:tcW w:w="990" w:type="dxa"/>
                  <w:vAlign w:val="bottom"/>
                </w:tcPr>
                <w:p w14:paraId="7686D99E" w14:textId="41DA7815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13905.0</w:t>
                  </w:r>
                </w:p>
              </w:tc>
              <w:tc>
                <w:tcPr>
                  <w:tcW w:w="810" w:type="dxa"/>
                  <w:vAlign w:val="bottom"/>
                </w:tcPr>
                <w:p w14:paraId="2E577E8E" w14:textId="753DA062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9263.9</w:t>
                  </w:r>
                </w:p>
              </w:tc>
              <w:tc>
                <w:tcPr>
                  <w:tcW w:w="810" w:type="dxa"/>
                  <w:vAlign w:val="bottom"/>
                </w:tcPr>
                <w:p w14:paraId="020A49B9" w14:textId="583EB8E0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7131.4</w:t>
                  </w:r>
                </w:p>
              </w:tc>
            </w:tr>
            <w:tr w:rsidR="004E79D3" w:rsidRPr="00925975" w14:paraId="2874C7E1" w14:textId="5FBADE46" w:rsidTr="00EA7368">
              <w:tc>
                <w:tcPr>
                  <w:tcW w:w="1525" w:type="dxa"/>
                  <w:shd w:val="clear" w:color="auto" w:fill="auto"/>
                  <w:vAlign w:val="bottom"/>
                </w:tcPr>
                <w:p w14:paraId="4E9FD878" w14:textId="22F770FE" w:rsidR="004E79D3" w:rsidRPr="004E79D3" w:rsidRDefault="007359C2" w:rsidP="004E79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Net Income </w:t>
                  </w:r>
                </w:p>
              </w:tc>
              <w:tc>
                <w:tcPr>
                  <w:tcW w:w="1170" w:type="dxa"/>
                  <w:vAlign w:val="bottom"/>
                </w:tcPr>
                <w:p w14:paraId="06321421" w14:textId="0D98C679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3724.1</w:t>
                  </w:r>
                </w:p>
              </w:tc>
              <w:tc>
                <w:tcPr>
                  <w:tcW w:w="900" w:type="dxa"/>
                  <w:vAlign w:val="bottom"/>
                </w:tcPr>
                <w:p w14:paraId="22D865C7" w14:textId="1C2BD977" w:rsidR="004E79D3" w:rsidRPr="004E79D3" w:rsidRDefault="0055087D" w:rsidP="004E79D3">
                  <w:pPr>
                    <w:rPr>
                      <w:sz w:val="16"/>
                      <w:szCs w:val="16"/>
                    </w:rPr>
                  </w:pPr>
                  <w:r w:rsidRPr="0055087D">
                    <w:rPr>
                      <w:sz w:val="16"/>
                      <w:szCs w:val="16"/>
                    </w:rPr>
                    <w:t>1,221.3</w:t>
                  </w:r>
                </w:p>
              </w:tc>
              <w:tc>
                <w:tcPr>
                  <w:tcW w:w="990" w:type="dxa"/>
                  <w:vAlign w:val="bottom"/>
                </w:tcPr>
                <w:p w14:paraId="654053BA" w14:textId="38867CB7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1287.0</w:t>
                  </w:r>
                </w:p>
              </w:tc>
              <w:tc>
                <w:tcPr>
                  <w:tcW w:w="810" w:type="dxa"/>
                  <w:vAlign w:val="bottom"/>
                </w:tcPr>
                <w:p w14:paraId="6FD8E221" w14:textId="1A6B4702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803.5</w:t>
                  </w:r>
                </w:p>
              </w:tc>
              <w:tc>
                <w:tcPr>
                  <w:tcW w:w="810" w:type="dxa"/>
                  <w:vAlign w:val="bottom"/>
                </w:tcPr>
                <w:p w14:paraId="1EEE19BF" w14:textId="208FD8FE" w:rsidR="004E79D3" w:rsidRPr="004E79D3" w:rsidRDefault="004E79D3" w:rsidP="004E79D3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813.4</w:t>
                  </w:r>
                </w:p>
              </w:tc>
            </w:tr>
          </w:tbl>
          <w:p w14:paraId="67108435" w14:textId="457936FB" w:rsidR="00766C69" w:rsidRPr="00934A2F" w:rsidRDefault="00766C69" w:rsidP="00666BEF">
            <w:pPr>
              <w:pStyle w:val="ListParagraph"/>
              <w:ind w:left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90" w:type="dxa"/>
            <w:gridSpan w:val="3"/>
          </w:tcPr>
          <w:tbl>
            <w:tblPr>
              <w:tblStyle w:val="TableGrid"/>
              <w:tblW w:w="4207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900"/>
              <w:gridCol w:w="905"/>
              <w:gridCol w:w="1075"/>
            </w:tblGrid>
            <w:tr w:rsidR="00766C69" w:rsidRPr="00D9079F" w14:paraId="39927E41" w14:textId="77777777" w:rsidTr="00925975">
              <w:trPr>
                <w:trHeight w:val="152"/>
              </w:trPr>
              <w:tc>
                <w:tcPr>
                  <w:tcW w:w="1327" w:type="dxa"/>
                  <w:shd w:val="clear" w:color="auto" w:fill="DBE5F1" w:themeFill="accent1" w:themeFillTint="33"/>
                </w:tcPr>
                <w:p w14:paraId="405B542F" w14:textId="06E80B37" w:rsidR="00766C69" w:rsidRPr="00D9079F" w:rsidRDefault="00766C69" w:rsidP="00766C69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0AB96B2A" w14:textId="57CF98F6" w:rsidR="00766C69" w:rsidRPr="00D9079F" w:rsidRDefault="00542940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GIS</w:t>
                  </w:r>
                </w:p>
              </w:tc>
              <w:tc>
                <w:tcPr>
                  <w:tcW w:w="905" w:type="dxa"/>
                  <w:shd w:val="clear" w:color="auto" w:fill="DBE5F1" w:themeFill="accent1" w:themeFillTint="33"/>
                </w:tcPr>
                <w:p w14:paraId="0650E6CE" w14:textId="16978B44" w:rsidR="00766C69" w:rsidRPr="00D9079F" w:rsidRDefault="004D2D8B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Industry</w:t>
                  </w:r>
                </w:p>
              </w:tc>
              <w:tc>
                <w:tcPr>
                  <w:tcW w:w="1075" w:type="dxa"/>
                  <w:shd w:val="clear" w:color="auto" w:fill="DBE5F1" w:themeFill="accent1" w:themeFillTint="33"/>
                </w:tcPr>
                <w:p w14:paraId="68B31751" w14:textId="77777777" w:rsidR="00766C69" w:rsidRPr="00D9079F" w:rsidRDefault="00766C69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S&amp;P 500</w:t>
                  </w:r>
                </w:p>
              </w:tc>
            </w:tr>
            <w:tr w:rsidR="00785559" w:rsidRPr="00D9079F" w14:paraId="47681D86" w14:textId="77777777" w:rsidTr="00925975">
              <w:tc>
                <w:tcPr>
                  <w:tcW w:w="1327" w:type="dxa"/>
                </w:tcPr>
                <w:p w14:paraId="440258CF" w14:textId="77777777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YTD</w:t>
                  </w:r>
                </w:p>
              </w:tc>
              <w:tc>
                <w:tcPr>
                  <w:tcW w:w="900" w:type="dxa"/>
                </w:tcPr>
                <w:p w14:paraId="2915C4D5" w14:textId="3DEAFA03" w:rsidR="00785559" w:rsidRPr="00D9079F" w:rsidRDefault="00785559" w:rsidP="00EF0A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  <w:r w:rsidR="00EF0A21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 w:rsidR="00EF0A21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5" w:type="dxa"/>
                </w:tcPr>
                <w:p w14:paraId="432CEBBB" w14:textId="7EF455BA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1.25%</w:t>
                  </w:r>
                </w:p>
              </w:tc>
              <w:tc>
                <w:tcPr>
                  <w:tcW w:w="1075" w:type="dxa"/>
                </w:tcPr>
                <w:p w14:paraId="2D5C424C" w14:textId="6E7999CB" w:rsidR="00785559" w:rsidRPr="00D9079F" w:rsidRDefault="00EF0A21" w:rsidP="00EF0A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-6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44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785559" w:rsidRPr="00D9079F" w14:paraId="0CAB3804" w14:textId="77777777" w:rsidTr="00925975">
              <w:tc>
                <w:tcPr>
                  <w:tcW w:w="1327" w:type="dxa"/>
                </w:tcPr>
                <w:p w14:paraId="00417533" w14:textId="7A742031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 year</w:t>
                  </w:r>
                </w:p>
              </w:tc>
              <w:tc>
                <w:tcPr>
                  <w:tcW w:w="900" w:type="dxa"/>
                </w:tcPr>
                <w:p w14:paraId="6A39DEFF" w14:textId="46B9A6A9" w:rsidR="00785559" w:rsidRPr="00D9079F" w:rsidRDefault="00EF0A21" w:rsidP="00EF0A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3.89%</w:t>
                  </w:r>
                </w:p>
              </w:tc>
              <w:tc>
                <w:tcPr>
                  <w:tcW w:w="905" w:type="dxa"/>
                </w:tcPr>
                <w:p w14:paraId="492CC2B1" w14:textId="7E89CC3C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6.91%</w:t>
                  </w:r>
                </w:p>
              </w:tc>
              <w:tc>
                <w:tcPr>
                  <w:tcW w:w="1075" w:type="dxa"/>
                </w:tcPr>
                <w:p w14:paraId="5535D14C" w14:textId="14234F01" w:rsidR="00785559" w:rsidRPr="00D9079F" w:rsidRDefault="00785559" w:rsidP="00EF0A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  <w:r w:rsidR="00EF0A21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 w:rsidR="00EF0A21">
                    <w:rPr>
                      <w:rFonts w:asciiTheme="majorHAnsi" w:hAnsiTheme="majorHAnsi"/>
                      <w:sz w:val="16"/>
                      <w:szCs w:val="16"/>
                    </w:rPr>
                    <w:t>32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785559" w:rsidRPr="00D9079F" w14:paraId="0876038A" w14:textId="77777777" w:rsidTr="00925975">
              <w:tc>
                <w:tcPr>
                  <w:tcW w:w="1327" w:type="dxa"/>
                </w:tcPr>
                <w:p w14:paraId="1F90980B" w14:textId="77777777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Last 3 Years </w:t>
                  </w:r>
                </w:p>
              </w:tc>
              <w:tc>
                <w:tcPr>
                  <w:tcW w:w="900" w:type="dxa"/>
                </w:tcPr>
                <w:p w14:paraId="0925A661" w14:textId="1B90C25D" w:rsidR="00785559" w:rsidRPr="00D9079F" w:rsidRDefault="00397BDA" w:rsidP="00397BD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00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5" w:type="dxa"/>
                </w:tcPr>
                <w:p w14:paraId="046C9C8D" w14:textId="076D09D2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14.83%</w:t>
                  </w:r>
                </w:p>
              </w:tc>
              <w:tc>
                <w:tcPr>
                  <w:tcW w:w="1075" w:type="dxa"/>
                </w:tcPr>
                <w:p w14:paraId="55BE815F" w14:textId="1D775541" w:rsidR="00785559" w:rsidRPr="00D9079F" w:rsidRDefault="00397BDA" w:rsidP="00397BD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82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  <w:tr w:rsidR="00785559" w:rsidRPr="00D9079F" w14:paraId="28B8CB1E" w14:textId="77777777" w:rsidTr="00925975">
              <w:tc>
                <w:tcPr>
                  <w:tcW w:w="1327" w:type="dxa"/>
                </w:tcPr>
                <w:p w14:paraId="3272796F" w14:textId="77777777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Last 5 Years </w:t>
                  </w:r>
                </w:p>
              </w:tc>
              <w:tc>
                <w:tcPr>
                  <w:tcW w:w="900" w:type="dxa"/>
                </w:tcPr>
                <w:p w14:paraId="6CA968EB" w14:textId="34EE1141" w:rsidR="00785559" w:rsidRPr="00D9079F" w:rsidRDefault="00F229B1" w:rsidP="00F229B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55</w:t>
                  </w:r>
                  <w:r w:rsidR="00397BDA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53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5" w:type="dxa"/>
                </w:tcPr>
                <w:p w14:paraId="3A2AF828" w14:textId="7D1E5FAE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14.62%</w:t>
                  </w:r>
                </w:p>
              </w:tc>
              <w:tc>
                <w:tcPr>
                  <w:tcW w:w="1075" w:type="dxa"/>
                </w:tcPr>
                <w:p w14:paraId="1D7EE8E1" w14:textId="52049915" w:rsidR="00785559" w:rsidRPr="00D9079F" w:rsidRDefault="00F229B1" w:rsidP="00F229B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45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89</w:t>
                  </w:r>
                  <w:r w:rsidR="00785559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</w:tr>
          </w:tbl>
          <w:p w14:paraId="221910A7" w14:textId="368D2A1A" w:rsidR="00766C69" w:rsidRPr="00D9079F" w:rsidRDefault="00766C69" w:rsidP="00FC0F5A">
            <w:pPr>
              <w:ind w:right="278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sz w:val="16"/>
                <w:szCs w:val="16"/>
              </w:rPr>
              <w:t>CSR Characteristics</w:t>
            </w:r>
          </w:p>
          <w:tbl>
            <w:tblPr>
              <w:tblStyle w:val="TableGrid"/>
              <w:tblW w:w="4207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720"/>
              <w:gridCol w:w="900"/>
            </w:tblGrid>
            <w:tr w:rsidR="00766C69" w:rsidRPr="00D9079F" w14:paraId="45EE1C47" w14:textId="77777777" w:rsidTr="00925975">
              <w:tc>
                <w:tcPr>
                  <w:tcW w:w="2587" w:type="dxa"/>
                  <w:shd w:val="clear" w:color="auto" w:fill="DBE5F1" w:themeFill="accent1" w:themeFillTint="33"/>
                </w:tcPr>
                <w:p w14:paraId="48F472B3" w14:textId="77777777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DBE5F1" w:themeFill="accent1" w:themeFillTint="33"/>
                </w:tcPr>
                <w:p w14:paraId="64E10A6D" w14:textId="06C9A783" w:rsidR="00766C69" w:rsidRPr="00D9079F" w:rsidRDefault="00736568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GIS</w:t>
                  </w: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2859E9CA" w14:textId="46E55C19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Industry  </w:t>
                  </w:r>
                </w:p>
              </w:tc>
            </w:tr>
            <w:tr w:rsidR="00766C69" w:rsidRPr="00D9079F" w14:paraId="2137A167" w14:textId="77777777" w:rsidTr="00925975">
              <w:tc>
                <w:tcPr>
                  <w:tcW w:w="2587" w:type="dxa"/>
                  <w:shd w:val="clear" w:color="auto" w:fill="auto"/>
                </w:tcPr>
                <w:p w14:paraId="651DB827" w14:textId="18F286D9" w:rsidR="00766C69" w:rsidRPr="00D9079F" w:rsidRDefault="00766C69" w:rsidP="00803484">
                  <w:pPr>
                    <w:tabs>
                      <w:tab w:val="right" w:pos="1741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Governance Disclosure Score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2EAEDF" w14:textId="4EB44BDF" w:rsidR="00766C69" w:rsidRPr="00D9079F" w:rsidRDefault="009F68B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57.14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9F780C5" w14:textId="75CF9109" w:rsidR="00766C69" w:rsidRPr="00D9079F" w:rsidRDefault="009F68B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50.71</w:t>
                  </w:r>
                </w:p>
              </w:tc>
            </w:tr>
            <w:tr w:rsidR="00766C69" w:rsidRPr="00D9079F" w14:paraId="7789B7FE" w14:textId="77777777" w:rsidTr="00925975">
              <w:tc>
                <w:tcPr>
                  <w:tcW w:w="2587" w:type="dxa"/>
                  <w:shd w:val="clear" w:color="auto" w:fill="auto"/>
                </w:tcPr>
                <w:p w14:paraId="6E37B1E0" w14:textId="110DD1E4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ESG Disclosure: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9AFC6D3" w14:textId="0D724268" w:rsidR="00766C69" w:rsidRPr="00D9079F" w:rsidRDefault="009F68B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42.15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76B6E96" w14:textId="736A43B4" w:rsidR="00766C69" w:rsidRPr="00D9079F" w:rsidRDefault="009F68B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23.45</w:t>
                  </w:r>
                </w:p>
              </w:tc>
            </w:tr>
            <w:tr w:rsidR="00766C69" w:rsidRPr="00D9079F" w14:paraId="7043D553" w14:textId="77777777" w:rsidTr="00925975">
              <w:tc>
                <w:tcPr>
                  <w:tcW w:w="2587" w:type="dxa"/>
                  <w:shd w:val="clear" w:color="auto" w:fill="auto"/>
                </w:tcPr>
                <w:p w14:paraId="796481F5" w14:textId="7E540616" w:rsidR="00766C69" w:rsidRPr="00D9079F" w:rsidRDefault="00766C69" w:rsidP="00803484">
                  <w:pPr>
                    <w:tabs>
                      <w:tab w:val="right" w:pos="1741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Social Disclosure Score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FDA896B" w14:textId="36FBFD1B" w:rsidR="00766C69" w:rsidRPr="00D9079F" w:rsidRDefault="009F68B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33.33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DD699A0" w14:textId="7C29D1F1" w:rsidR="00766C69" w:rsidRPr="00D9079F" w:rsidRDefault="009F68B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29.61</w:t>
                  </w:r>
                </w:p>
              </w:tc>
            </w:tr>
            <w:tr w:rsidR="00766C69" w:rsidRPr="00D9079F" w14:paraId="2AED786D" w14:textId="77777777" w:rsidTr="00925975">
              <w:tc>
                <w:tcPr>
                  <w:tcW w:w="2587" w:type="dxa"/>
                </w:tcPr>
                <w:p w14:paraId="1512DF1C" w14:textId="7331C975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Environmental Disclosure Score</w:t>
                  </w:r>
                </w:p>
              </w:tc>
              <w:tc>
                <w:tcPr>
                  <w:tcW w:w="720" w:type="dxa"/>
                </w:tcPr>
                <w:p w14:paraId="1005E3B5" w14:textId="6B680249" w:rsidR="00766C69" w:rsidRPr="00D9079F" w:rsidRDefault="009F68B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39.53</w:t>
                  </w:r>
                </w:p>
              </w:tc>
              <w:tc>
                <w:tcPr>
                  <w:tcW w:w="900" w:type="dxa"/>
                </w:tcPr>
                <w:p w14:paraId="4CFD4283" w14:textId="102C8E8D" w:rsidR="00766C69" w:rsidRPr="00D9079F" w:rsidRDefault="009F68B7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23.51</w:t>
                  </w:r>
                </w:p>
              </w:tc>
            </w:tr>
          </w:tbl>
          <w:p w14:paraId="62EFF545" w14:textId="46EFAB30" w:rsidR="00766C69" w:rsidRPr="003B46E6" w:rsidRDefault="00BF5265" w:rsidP="00666BEF">
            <w:pPr>
              <w:ind w:hanging="18"/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8"/>
              </w:rPr>
              <w:t>Prepared by:</w:t>
            </w:r>
            <w:r w:rsidR="00C6371E">
              <w:rPr>
                <w:rFonts w:asciiTheme="majorHAnsi" w:hAnsiTheme="majorHAnsi"/>
                <w:b/>
                <w:sz w:val="14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4"/>
                <w:szCs w:val="18"/>
              </w:rPr>
              <w:t>Akhilesh Kumar</w:t>
            </w:r>
            <w:r w:rsidR="002B1DA1" w:rsidRPr="003B46E6">
              <w:rPr>
                <w:rFonts w:asciiTheme="majorHAnsi" w:hAnsiTheme="majorHAnsi"/>
                <w:b/>
                <w:sz w:val="14"/>
                <w:szCs w:val="18"/>
              </w:rPr>
              <w:t xml:space="preserve"> (</w:t>
            </w:r>
            <w:r w:rsidR="00666BEF">
              <w:rPr>
                <w:rFonts w:asciiTheme="majorHAnsi" w:hAnsiTheme="majorHAnsi"/>
                <w:b/>
                <w:sz w:val="14"/>
                <w:szCs w:val="18"/>
              </w:rPr>
              <w:t>Feb 2</w:t>
            </w:r>
            <w:r w:rsidR="002B1DA1" w:rsidRPr="003B46E6">
              <w:rPr>
                <w:rFonts w:asciiTheme="majorHAnsi" w:hAnsiTheme="majorHAnsi"/>
                <w:b/>
                <w:sz w:val="14"/>
                <w:szCs w:val="18"/>
              </w:rPr>
              <w:t>, 201</w:t>
            </w:r>
            <w:r w:rsidR="00666BEF">
              <w:rPr>
                <w:rFonts w:asciiTheme="majorHAnsi" w:hAnsiTheme="majorHAnsi"/>
                <w:b/>
                <w:sz w:val="14"/>
                <w:szCs w:val="18"/>
              </w:rPr>
              <w:t>6</w:t>
            </w:r>
            <w:r w:rsidR="002B1DA1" w:rsidRPr="003B46E6">
              <w:rPr>
                <w:rFonts w:asciiTheme="majorHAnsi" w:hAnsiTheme="majorHAnsi"/>
                <w:b/>
                <w:sz w:val="14"/>
                <w:szCs w:val="18"/>
              </w:rPr>
              <w:t>) using Bloomberg, Value Line, S&amp;P Net Advantage, Morning Star, Yahoo Finance</w:t>
            </w:r>
          </w:p>
        </w:tc>
      </w:tr>
    </w:tbl>
    <w:p w14:paraId="5C1E381E" w14:textId="6DBC318F" w:rsidR="00830F06" w:rsidRPr="00960020" w:rsidRDefault="00830F06" w:rsidP="002B1DA1">
      <w:pPr>
        <w:ind w:hanging="1440"/>
        <w:rPr>
          <w:rFonts w:asciiTheme="majorHAnsi" w:hAnsiTheme="majorHAnsi"/>
          <w:sz w:val="14"/>
          <w:szCs w:val="16"/>
        </w:rPr>
      </w:pPr>
    </w:p>
    <w:sectPr w:rsidR="00830F06" w:rsidRPr="00960020" w:rsidSect="00BF5265">
      <w:pgSz w:w="12240" w:h="15840"/>
      <w:pgMar w:top="1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BEE"/>
    <w:multiLevelType w:val="hybridMultilevel"/>
    <w:tmpl w:val="EC26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20D3B"/>
    <w:multiLevelType w:val="multilevel"/>
    <w:tmpl w:val="95A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68127F"/>
    <w:multiLevelType w:val="hybridMultilevel"/>
    <w:tmpl w:val="7320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7A60"/>
    <w:multiLevelType w:val="hybridMultilevel"/>
    <w:tmpl w:val="EBF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3153C"/>
    <w:multiLevelType w:val="hybridMultilevel"/>
    <w:tmpl w:val="9ECEB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D4605"/>
    <w:multiLevelType w:val="hybridMultilevel"/>
    <w:tmpl w:val="12D00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94DD4"/>
    <w:multiLevelType w:val="hybridMultilevel"/>
    <w:tmpl w:val="758C0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E1D61"/>
    <w:multiLevelType w:val="hybridMultilevel"/>
    <w:tmpl w:val="7D6A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8"/>
    <w:rsid w:val="000145A7"/>
    <w:rsid w:val="00022508"/>
    <w:rsid w:val="00026F5E"/>
    <w:rsid w:val="00034A52"/>
    <w:rsid w:val="00035C99"/>
    <w:rsid w:val="00035F03"/>
    <w:rsid w:val="00056CE9"/>
    <w:rsid w:val="0006576D"/>
    <w:rsid w:val="00066CC4"/>
    <w:rsid w:val="00071AC8"/>
    <w:rsid w:val="00071F4F"/>
    <w:rsid w:val="0009103D"/>
    <w:rsid w:val="00096901"/>
    <w:rsid w:val="0009757B"/>
    <w:rsid w:val="000A2C07"/>
    <w:rsid w:val="000B7D53"/>
    <w:rsid w:val="000E0407"/>
    <w:rsid w:val="000E0C3A"/>
    <w:rsid w:val="000E67FA"/>
    <w:rsid w:val="0013332F"/>
    <w:rsid w:val="001366A3"/>
    <w:rsid w:val="0014778C"/>
    <w:rsid w:val="00167D4D"/>
    <w:rsid w:val="0018202B"/>
    <w:rsid w:val="00192B6F"/>
    <w:rsid w:val="001964F8"/>
    <w:rsid w:val="00197A37"/>
    <w:rsid w:val="001A0951"/>
    <w:rsid w:val="001A1781"/>
    <w:rsid w:val="001A3C84"/>
    <w:rsid w:val="001A4CD7"/>
    <w:rsid w:val="001A54DB"/>
    <w:rsid w:val="001C5C89"/>
    <w:rsid w:val="001E6896"/>
    <w:rsid w:val="001F411C"/>
    <w:rsid w:val="001F4C8C"/>
    <w:rsid w:val="002212F5"/>
    <w:rsid w:val="002218A9"/>
    <w:rsid w:val="002231A8"/>
    <w:rsid w:val="00230BD4"/>
    <w:rsid w:val="00231ED5"/>
    <w:rsid w:val="00245DD4"/>
    <w:rsid w:val="002535D2"/>
    <w:rsid w:val="00254456"/>
    <w:rsid w:val="00256907"/>
    <w:rsid w:val="002643DA"/>
    <w:rsid w:val="00274740"/>
    <w:rsid w:val="00284A3E"/>
    <w:rsid w:val="00291662"/>
    <w:rsid w:val="0029559F"/>
    <w:rsid w:val="002B04FE"/>
    <w:rsid w:val="002B1DA1"/>
    <w:rsid w:val="002C75DD"/>
    <w:rsid w:val="002C784B"/>
    <w:rsid w:val="002D3CFC"/>
    <w:rsid w:val="002D78A1"/>
    <w:rsid w:val="003073EA"/>
    <w:rsid w:val="003173DA"/>
    <w:rsid w:val="0033512A"/>
    <w:rsid w:val="00336AB4"/>
    <w:rsid w:val="00371C05"/>
    <w:rsid w:val="00375DB5"/>
    <w:rsid w:val="00384388"/>
    <w:rsid w:val="00392411"/>
    <w:rsid w:val="00392719"/>
    <w:rsid w:val="00392C27"/>
    <w:rsid w:val="00397BDA"/>
    <w:rsid w:val="003B3070"/>
    <w:rsid w:val="003B46E6"/>
    <w:rsid w:val="003C03A5"/>
    <w:rsid w:val="003C746F"/>
    <w:rsid w:val="003D721D"/>
    <w:rsid w:val="003E0ECA"/>
    <w:rsid w:val="003E5DB4"/>
    <w:rsid w:val="003E7CA1"/>
    <w:rsid w:val="00401063"/>
    <w:rsid w:val="00413761"/>
    <w:rsid w:val="0041691A"/>
    <w:rsid w:val="00417F25"/>
    <w:rsid w:val="0042162B"/>
    <w:rsid w:val="004436C7"/>
    <w:rsid w:val="00443ED9"/>
    <w:rsid w:val="00445FE9"/>
    <w:rsid w:val="00455F5A"/>
    <w:rsid w:val="00462682"/>
    <w:rsid w:val="00491B06"/>
    <w:rsid w:val="004940B9"/>
    <w:rsid w:val="004A62E8"/>
    <w:rsid w:val="004B53AD"/>
    <w:rsid w:val="004D2D8B"/>
    <w:rsid w:val="004D3729"/>
    <w:rsid w:val="004D567C"/>
    <w:rsid w:val="004E6DB4"/>
    <w:rsid w:val="004E79D3"/>
    <w:rsid w:val="004F0571"/>
    <w:rsid w:val="004F2EAA"/>
    <w:rsid w:val="004F5B56"/>
    <w:rsid w:val="0050052A"/>
    <w:rsid w:val="0051170E"/>
    <w:rsid w:val="00535328"/>
    <w:rsid w:val="00542940"/>
    <w:rsid w:val="00547B13"/>
    <w:rsid w:val="0055087D"/>
    <w:rsid w:val="005524C3"/>
    <w:rsid w:val="0056019E"/>
    <w:rsid w:val="0057497F"/>
    <w:rsid w:val="00575123"/>
    <w:rsid w:val="00581B35"/>
    <w:rsid w:val="00585C89"/>
    <w:rsid w:val="005C2FB5"/>
    <w:rsid w:val="005E114B"/>
    <w:rsid w:val="0060598F"/>
    <w:rsid w:val="00664D64"/>
    <w:rsid w:val="00666BEF"/>
    <w:rsid w:val="006704F5"/>
    <w:rsid w:val="00674795"/>
    <w:rsid w:val="00676C67"/>
    <w:rsid w:val="00690115"/>
    <w:rsid w:val="006953F0"/>
    <w:rsid w:val="006A07A0"/>
    <w:rsid w:val="006A37B5"/>
    <w:rsid w:val="006A61A4"/>
    <w:rsid w:val="006C1408"/>
    <w:rsid w:val="006E2939"/>
    <w:rsid w:val="006E44B8"/>
    <w:rsid w:val="006E5EA1"/>
    <w:rsid w:val="00706035"/>
    <w:rsid w:val="00723495"/>
    <w:rsid w:val="007359C2"/>
    <w:rsid w:val="00736568"/>
    <w:rsid w:val="00743904"/>
    <w:rsid w:val="007519AD"/>
    <w:rsid w:val="0076327C"/>
    <w:rsid w:val="00766C69"/>
    <w:rsid w:val="00767EA9"/>
    <w:rsid w:val="00770F8B"/>
    <w:rsid w:val="00772B0A"/>
    <w:rsid w:val="00785559"/>
    <w:rsid w:val="00796063"/>
    <w:rsid w:val="007A040E"/>
    <w:rsid w:val="007A0C66"/>
    <w:rsid w:val="007B1B21"/>
    <w:rsid w:val="007B2A6D"/>
    <w:rsid w:val="007B6409"/>
    <w:rsid w:val="007C5299"/>
    <w:rsid w:val="007E1D8C"/>
    <w:rsid w:val="007F4659"/>
    <w:rsid w:val="00803484"/>
    <w:rsid w:val="00804E00"/>
    <w:rsid w:val="008114F3"/>
    <w:rsid w:val="00815FF3"/>
    <w:rsid w:val="00830F06"/>
    <w:rsid w:val="008318A9"/>
    <w:rsid w:val="00832142"/>
    <w:rsid w:val="00835134"/>
    <w:rsid w:val="00846714"/>
    <w:rsid w:val="00852DFB"/>
    <w:rsid w:val="00857BC1"/>
    <w:rsid w:val="00874223"/>
    <w:rsid w:val="00875430"/>
    <w:rsid w:val="00876232"/>
    <w:rsid w:val="00891716"/>
    <w:rsid w:val="008B72AE"/>
    <w:rsid w:val="008C630B"/>
    <w:rsid w:val="008C7FEA"/>
    <w:rsid w:val="008D49EF"/>
    <w:rsid w:val="008E4C96"/>
    <w:rsid w:val="00900789"/>
    <w:rsid w:val="009007A6"/>
    <w:rsid w:val="00911AF8"/>
    <w:rsid w:val="00915605"/>
    <w:rsid w:val="00920D13"/>
    <w:rsid w:val="00923CAB"/>
    <w:rsid w:val="00925975"/>
    <w:rsid w:val="00934A2F"/>
    <w:rsid w:val="00951D7A"/>
    <w:rsid w:val="00960020"/>
    <w:rsid w:val="00993565"/>
    <w:rsid w:val="009B1413"/>
    <w:rsid w:val="009B48B9"/>
    <w:rsid w:val="009C2716"/>
    <w:rsid w:val="009C57C6"/>
    <w:rsid w:val="009D5A45"/>
    <w:rsid w:val="009D7A72"/>
    <w:rsid w:val="009F0D12"/>
    <w:rsid w:val="009F2E51"/>
    <w:rsid w:val="009F68B7"/>
    <w:rsid w:val="00A04331"/>
    <w:rsid w:val="00A21885"/>
    <w:rsid w:val="00A30926"/>
    <w:rsid w:val="00A31663"/>
    <w:rsid w:val="00A53D7B"/>
    <w:rsid w:val="00A5442D"/>
    <w:rsid w:val="00A56542"/>
    <w:rsid w:val="00A603A6"/>
    <w:rsid w:val="00A63E9D"/>
    <w:rsid w:val="00A81CBC"/>
    <w:rsid w:val="00A8460D"/>
    <w:rsid w:val="00A85575"/>
    <w:rsid w:val="00AA0C48"/>
    <w:rsid w:val="00AA468B"/>
    <w:rsid w:val="00AA5ED5"/>
    <w:rsid w:val="00AB003F"/>
    <w:rsid w:val="00AC6A2C"/>
    <w:rsid w:val="00AF29D3"/>
    <w:rsid w:val="00AF471E"/>
    <w:rsid w:val="00B05598"/>
    <w:rsid w:val="00B14721"/>
    <w:rsid w:val="00B22327"/>
    <w:rsid w:val="00B234F8"/>
    <w:rsid w:val="00B502EC"/>
    <w:rsid w:val="00B75C74"/>
    <w:rsid w:val="00B7642F"/>
    <w:rsid w:val="00B94DBA"/>
    <w:rsid w:val="00BA365E"/>
    <w:rsid w:val="00BA6F89"/>
    <w:rsid w:val="00BB0C4E"/>
    <w:rsid w:val="00BB0E38"/>
    <w:rsid w:val="00BB3908"/>
    <w:rsid w:val="00BB543E"/>
    <w:rsid w:val="00BB61F8"/>
    <w:rsid w:val="00BC5E50"/>
    <w:rsid w:val="00BE5F48"/>
    <w:rsid w:val="00BE6512"/>
    <w:rsid w:val="00BF2DE5"/>
    <w:rsid w:val="00BF5265"/>
    <w:rsid w:val="00C15E83"/>
    <w:rsid w:val="00C161B3"/>
    <w:rsid w:val="00C171A8"/>
    <w:rsid w:val="00C2195E"/>
    <w:rsid w:val="00C314EE"/>
    <w:rsid w:val="00C352F3"/>
    <w:rsid w:val="00C37AB2"/>
    <w:rsid w:val="00C42ECB"/>
    <w:rsid w:val="00C441B3"/>
    <w:rsid w:val="00C51D36"/>
    <w:rsid w:val="00C6010C"/>
    <w:rsid w:val="00C6371E"/>
    <w:rsid w:val="00C8095F"/>
    <w:rsid w:val="00C8649B"/>
    <w:rsid w:val="00C9117C"/>
    <w:rsid w:val="00CB1AD8"/>
    <w:rsid w:val="00CC03B8"/>
    <w:rsid w:val="00CC5418"/>
    <w:rsid w:val="00CE09D2"/>
    <w:rsid w:val="00CE4435"/>
    <w:rsid w:val="00CE6C01"/>
    <w:rsid w:val="00CF27D4"/>
    <w:rsid w:val="00CF2F28"/>
    <w:rsid w:val="00D06D2B"/>
    <w:rsid w:val="00D16B81"/>
    <w:rsid w:val="00D363A8"/>
    <w:rsid w:val="00D50F9B"/>
    <w:rsid w:val="00D570FE"/>
    <w:rsid w:val="00D60345"/>
    <w:rsid w:val="00D636EF"/>
    <w:rsid w:val="00D9079F"/>
    <w:rsid w:val="00D92C96"/>
    <w:rsid w:val="00DA56AC"/>
    <w:rsid w:val="00DB5A10"/>
    <w:rsid w:val="00DF7FA4"/>
    <w:rsid w:val="00E14AC6"/>
    <w:rsid w:val="00E20C55"/>
    <w:rsid w:val="00E349B1"/>
    <w:rsid w:val="00E3542E"/>
    <w:rsid w:val="00E42648"/>
    <w:rsid w:val="00E42CC2"/>
    <w:rsid w:val="00E51FAC"/>
    <w:rsid w:val="00E52219"/>
    <w:rsid w:val="00E5675C"/>
    <w:rsid w:val="00E60A49"/>
    <w:rsid w:val="00E8555E"/>
    <w:rsid w:val="00E86B85"/>
    <w:rsid w:val="00E90970"/>
    <w:rsid w:val="00E916A2"/>
    <w:rsid w:val="00E96739"/>
    <w:rsid w:val="00EA31B0"/>
    <w:rsid w:val="00EA5213"/>
    <w:rsid w:val="00EC2755"/>
    <w:rsid w:val="00EC75B4"/>
    <w:rsid w:val="00ED6EC7"/>
    <w:rsid w:val="00EF0716"/>
    <w:rsid w:val="00EF0A21"/>
    <w:rsid w:val="00EF41DC"/>
    <w:rsid w:val="00F008CC"/>
    <w:rsid w:val="00F04E1E"/>
    <w:rsid w:val="00F130CB"/>
    <w:rsid w:val="00F224A9"/>
    <w:rsid w:val="00F229B1"/>
    <w:rsid w:val="00F56067"/>
    <w:rsid w:val="00F65A7F"/>
    <w:rsid w:val="00F77D0C"/>
    <w:rsid w:val="00F856C9"/>
    <w:rsid w:val="00F911B5"/>
    <w:rsid w:val="00F92EDE"/>
    <w:rsid w:val="00F96F5E"/>
    <w:rsid w:val="00FB4741"/>
    <w:rsid w:val="00FC0F5A"/>
    <w:rsid w:val="00FC20D0"/>
    <w:rsid w:val="00FC33EF"/>
    <w:rsid w:val="00FC4084"/>
    <w:rsid w:val="00FD0265"/>
    <w:rsid w:val="00FF2C2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890F"/>
  <w14:defaultImageDpi w14:val="300"/>
  <w15:docId w15:val="{3E593893-EFEB-4B76-B666-64128FE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3904"/>
  </w:style>
  <w:style w:type="character" w:styleId="Emphasis">
    <w:name w:val="Emphasis"/>
    <w:basedOn w:val="DefaultParagraphFont"/>
    <w:uiPriority w:val="20"/>
    <w:qFormat/>
    <w:rsid w:val="000B7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799D1-AD9B-464C-ACEE-87CEA937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KBRA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Akhilesh Kumar</cp:lastModifiedBy>
  <cp:revision>91</cp:revision>
  <cp:lastPrinted>2016-02-03T00:26:00Z</cp:lastPrinted>
  <dcterms:created xsi:type="dcterms:W3CDTF">2016-02-02T20:36:00Z</dcterms:created>
  <dcterms:modified xsi:type="dcterms:W3CDTF">2016-02-04T18:16:00Z</dcterms:modified>
</cp:coreProperties>
</file>