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30" w:type="dxa"/>
        <w:tblInd w:w="-1332" w:type="dxa"/>
        <w:tblLayout w:type="fixed"/>
        <w:tblLook w:val="04A0" w:firstRow="1" w:lastRow="0" w:firstColumn="1" w:lastColumn="0" w:noHBand="0" w:noVBand="1"/>
      </w:tblPr>
      <w:tblGrid>
        <w:gridCol w:w="3005"/>
        <w:gridCol w:w="3385"/>
        <w:gridCol w:w="1800"/>
        <w:gridCol w:w="3240"/>
      </w:tblGrid>
      <w:tr w:rsidR="006E44B8" w:rsidRPr="00E5675C" w14:paraId="185E94E4" w14:textId="77777777" w:rsidTr="00026F5E">
        <w:tc>
          <w:tcPr>
            <w:tcW w:w="3005" w:type="dxa"/>
          </w:tcPr>
          <w:p w14:paraId="220EEAA7" w14:textId="77777777" w:rsidR="006A37B5" w:rsidRDefault="006A37B5">
            <w:pPr>
              <w:rPr>
                <w:sz w:val="16"/>
                <w:szCs w:val="16"/>
              </w:rPr>
            </w:pPr>
            <w:r w:rsidRPr="00C2195E">
              <w:rPr>
                <w:sz w:val="16"/>
                <w:szCs w:val="16"/>
              </w:rPr>
              <w:t xml:space="preserve">Gilead Sciences </w:t>
            </w:r>
          </w:p>
          <w:p w14:paraId="304CFD1C" w14:textId="601DF529" w:rsidR="006E44B8" w:rsidRPr="00E5675C" w:rsidRDefault="006E44B8">
            <w:pPr>
              <w:rPr>
                <w:sz w:val="16"/>
                <w:szCs w:val="16"/>
              </w:rPr>
            </w:pPr>
            <w:r w:rsidRPr="00E5675C">
              <w:rPr>
                <w:sz w:val="16"/>
                <w:szCs w:val="16"/>
              </w:rPr>
              <w:t xml:space="preserve">Ticker: </w:t>
            </w:r>
            <w:r w:rsidR="006A37B5">
              <w:rPr>
                <w:sz w:val="16"/>
                <w:szCs w:val="16"/>
              </w:rPr>
              <w:t>GILD</w:t>
            </w:r>
          </w:p>
          <w:p w14:paraId="1496F563" w14:textId="5A45ABBE" w:rsidR="006E44B8" w:rsidRPr="00E5675C" w:rsidRDefault="006E44B8">
            <w:pPr>
              <w:rPr>
                <w:sz w:val="16"/>
                <w:szCs w:val="16"/>
              </w:rPr>
            </w:pPr>
            <w:r w:rsidRPr="00E5675C">
              <w:rPr>
                <w:sz w:val="16"/>
                <w:szCs w:val="16"/>
              </w:rPr>
              <w:t xml:space="preserve">Sector: </w:t>
            </w:r>
            <w:r w:rsidR="0013332F">
              <w:rPr>
                <w:sz w:val="16"/>
                <w:szCs w:val="16"/>
              </w:rPr>
              <w:t>Health Care</w:t>
            </w:r>
          </w:p>
          <w:p w14:paraId="7E50A51D" w14:textId="07C5EB49" w:rsidR="006E44B8" w:rsidRPr="00E5675C" w:rsidRDefault="006E44B8">
            <w:pPr>
              <w:rPr>
                <w:sz w:val="16"/>
                <w:szCs w:val="16"/>
              </w:rPr>
            </w:pPr>
            <w:r w:rsidRPr="00E5675C">
              <w:rPr>
                <w:sz w:val="16"/>
                <w:szCs w:val="16"/>
              </w:rPr>
              <w:t xml:space="preserve">Industry: </w:t>
            </w:r>
            <w:r w:rsidR="0013332F" w:rsidRPr="0013332F">
              <w:rPr>
                <w:sz w:val="16"/>
                <w:szCs w:val="16"/>
              </w:rPr>
              <w:t>Biotechnology</w:t>
            </w:r>
          </w:p>
        </w:tc>
        <w:tc>
          <w:tcPr>
            <w:tcW w:w="3385" w:type="dxa"/>
          </w:tcPr>
          <w:p w14:paraId="76DB34AE" w14:textId="4D8F3658" w:rsidR="006E44B8" w:rsidRPr="00E5675C" w:rsidRDefault="001A0951">
            <w:pPr>
              <w:rPr>
                <w:sz w:val="16"/>
                <w:szCs w:val="16"/>
              </w:rPr>
            </w:pPr>
            <w:r>
              <w:rPr>
                <w:sz w:val="16"/>
                <w:szCs w:val="16"/>
              </w:rPr>
              <w:t>Intrinsic Value: $129.86</w:t>
            </w:r>
          </w:p>
          <w:p w14:paraId="5280EDD2" w14:textId="03D6F731" w:rsidR="006E44B8" w:rsidRPr="00E5675C" w:rsidRDefault="00832142">
            <w:pPr>
              <w:rPr>
                <w:sz w:val="16"/>
                <w:szCs w:val="16"/>
              </w:rPr>
            </w:pPr>
            <w:r>
              <w:rPr>
                <w:sz w:val="16"/>
                <w:szCs w:val="16"/>
              </w:rPr>
              <w:t xml:space="preserve">Current Price: </w:t>
            </w:r>
            <w:r w:rsidRPr="00B00BDA">
              <w:rPr>
                <w:sz w:val="16"/>
                <w:szCs w:val="16"/>
              </w:rPr>
              <w:t>$</w:t>
            </w:r>
            <w:r w:rsidR="0013332F" w:rsidRPr="00B00BDA">
              <w:rPr>
                <w:sz w:val="16"/>
                <w:szCs w:val="16"/>
              </w:rPr>
              <w:t>101.73</w:t>
            </w:r>
          </w:p>
          <w:p w14:paraId="37307FCF" w14:textId="35BC768D" w:rsidR="006E44B8" w:rsidRPr="00E5675C" w:rsidRDefault="006E44B8">
            <w:pPr>
              <w:rPr>
                <w:sz w:val="16"/>
                <w:szCs w:val="16"/>
              </w:rPr>
            </w:pPr>
            <w:r w:rsidRPr="00E5675C">
              <w:rPr>
                <w:sz w:val="16"/>
                <w:szCs w:val="16"/>
              </w:rPr>
              <w:t xml:space="preserve">Stop Loss: </w:t>
            </w:r>
            <w:r w:rsidRPr="00B00BDA">
              <w:rPr>
                <w:sz w:val="16"/>
                <w:szCs w:val="16"/>
              </w:rPr>
              <w:t>$</w:t>
            </w:r>
            <w:r w:rsidR="00B00BDA">
              <w:rPr>
                <w:sz w:val="16"/>
                <w:szCs w:val="16"/>
              </w:rPr>
              <w:t>86.0</w:t>
            </w:r>
          </w:p>
          <w:p w14:paraId="5AA3FEF7" w14:textId="58BA093C" w:rsidR="006E44B8" w:rsidRPr="00E5675C" w:rsidRDefault="006E44B8" w:rsidP="007B2A6D">
            <w:pPr>
              <w:rPr>
                <w:sz w:val="16"/>
                <w:szCs w:val="16"/>
              </w:rPr>
            </w:pPr>
            <w:r w:rsidRPr="00E5675C">
              <w:rPr>
                <w:sz w:val="16"/>
                <w:szCs w:val="16"/>
              </w:rPr>
              <w:t xml:space="preserve">Upside Review: </w:t>
            </w:r>
            <w:r w:rsidR="007B2A6D" w:rsidRPr="007B2A6D">
              <w:rPr>
                <w:sz w:val="16"/>
                <w:szCs w:val="16"/>
              </w:rPr>
              <w:t>$148</w:t>
            </w:r>
          </w:p>
        </w:tc>
        <w:tc>
          <w:tcPr>
            <w:tcW w:w="1800" w:type="dxa"/>
          </w:tcPr>
          <w:p w14:paraId="35299D5C" w14:textId="77777777" w:rsidR="0013332F" w:rsidRDefault="00E5675C">
            <w:pPr>
              <w:rPr>
                <w:sz w:val="16"/>
                <w:szCs w:val="16"/>
              </w:rPr>
            </w:pPr>
            <w:r>
              <w:rPr>
                <w:sz w:val="16"/>
                <w:szCs w:val="16"/>
              </w:rPr>
              <w:t xml:space="preserve">TTM P/E: </w:t>
            </w:r>
            <w:r w:rsidR="0013332F">
              <w:rPr>
                <w:sz w:val="16"/>
                <w:szCs w:val="16"/>
              </w:rPr>
              <w:t xml:space="preserve">10.9 </w:t>
            </w:r>
          </w:p>
          <w:p w14:paraId="244A9336" w14:textId="0AEB8D2F" w:rsidR="00E5675C" w:rsidRPr="00FC20D0" w:rsidRDefault="00E5675C">
            <w:pPr>
              <w:rPr>
                <w:sz w:val="16"/>
                <w:szCs w:val="16"/>
                <w:highlight w:val="yellow"/>
              </w:rPr>
            </w:pPr>
            <w:r>
              <w:rPr>
                <w:sz w:val="16"/>
                <w:szCs w:val="16"/>
              </w:rPr>
              <w:t xml:space="preserve">Forward P/E: </w:t>
            </w:r>
            <w:r w:rsidR="006A61A4" w:rsidRPr="006A61A4">
              <w:rPr>
                <w:sz w:val="16"/>
                <w:szCs w:val="16"/>
              </w:rPr>
              <w:t>8.83</w:t>
            </w:r>
          </w:p>
          <w:p w14:paraId="5BFE3D7B" w14:textId="589EAEEE" w:rsidR="00E5675C" w:rsidRPr="00E5675C" w:rsidRDefault="00C15E83">
            <w:pPr>
              <w:rPr>
                <w:sz w:val="16"/>
                <w:szCs w:val="16"/>
              </w:rPr>
            </w:pPr>
            <w:r>
              <w:rPr>
                <w:sz w:val="16"/>
                <w:szCs w:val="16"/>
              </w:rPr>
              <w:t>Beta: 1.12</w:t>
            </w:r>
          </w:p>
        </w:tc>
        <w:tc>
          <w:tcPr>
            <w:tcW w:w="3240" w:type="dxa"/>
          </w:tcPr>
          <w:p w14:paraId="438980BC" w14:textId="0A2EAD91" w:rsidR="006E44B8" w:rsidRDefault="0013332F">
            <w:pPr>
              <w:rPr>
                <w:sz w:val="16"/>
                <w:szCs w:val="16"/>
              </w:rPr>
            </w:pPr>
            <w:r>
              <w:rPr>
                <w:sz w:val="16"/>
                <w:szCs w:val="16"/>
              </w:rPr>
              <w:t>Market Cap: $153.15</w:t>
            </w:r>
            <w:r w:rsidR="00E5675C">
              <w:rPr>
                <w:sz w:val="16"/>
                <w:szCs w:val="16"/>
              </w:rPr>
              <w:t xml:space="preserve"> </w:t>
            </w:r>
            <w:proofErr w:type="spellStart"/>
            <w:r w:rsidR="00E5675C">
              <w:rPr>
                <w:sz w:val="16"/>
                <w:szCs w:val="16"/>
              </w:rPr>
              <w:t>Bn</w:t>
            </w:r>
            <w:proofErr w:type="spellEnd"/>
          </w:p>
          <w:p w14:paraId="0D1C791A" w14:textId="4CA3C2FE" w:rsidR="00E5675C" w:rsidRPr="00E5675C" w:rsidRDefault="00E5675C" w:rsidP="00FC20D0">
            <w:pPr>
              <w:rPr>
                <w:sz w:val="16"/>
                <w:szCs w:val="16"/>
              </w:rPr>
            </w:pPr>
            <w:r>
              <w:rPr>
                <w:sz w:val="16"/>
                <w:szCs w:val="16"/>
              </w:rPr>
              <w:t>Dividend Yield: $</w:t>
            </w:r>
            <w:r w:rsidR="00FC20D0">
              <w:rPr>
                <w:sz w:val="16"/>
                <w:szCs w:val="16"/>
              </w:rPr>
              <w:t>1.8%</w:t>
            </w:r>
          </w:p>
        </w:tc>
      </w:tr>
      <w:tr w:rsidR="001A54DB" w:rsidRPr="00E5675C" w14:paraId="77FDFA21" w14:textId="77777777" w:rsidTr="00026F5E">
        <w:trPr>
          <w:trHeight w:val="5543"/>
        </w:trPr>
        <w:tc>
          <w:tcPr>
            <w:tcW w:w="6390" w:type="dxa"/>
            <w:gridSpan w:val="2"/>
          </w:tcPr>
          <w:p w14:paraId="7F82BC60" w14:textId="327B4BCD" w:rsidR="001A54DB" w:rsidRDefault="001A54DB" w:rsidP="00C2195E">
            <w:pPr>
              <w:jc w:val="both"/>
              <w:rPr>
                <w:sz w:val="16"/>
                <w:szCs w:val="16"/>
              </w:rPr>
            </w:pPr>
            <w:r w:rsidRPr="00F65A7F">
              <w:rPr>
                <w:b/>
                <w:sz w:val="16"/>
                <w:szCs w:val="16"/>
              </w:rPr>
              <w:t>Business Summary:</w:t>
            </w:r>
            <w:r>
              <w:rPr>
                <w:sz w:val="16"/>
                <w:szCs w:val="16"/>
              </w:rPr>
              <w:t xml:space="preserve"> </w:t>
            </w:r>
            <w:r w:rsidR="00C2195E" w:rsidRPr="00C2195E">
              <w:rPr>
                <w:sz w:val="16"/>
                <w:szCs w:val="16"/>
              </w:rPr>
              <w:t>Gilead Sciences (GILD) primary areas of focus include human immunodeficiency</w:t>
            </w:r>
            <w:r w:rsidR="00C2195E">
              <w:rPr>
                <w:sz w:val="16"/>
                <w:szCs w:val="16"/>
              </w:rPr>
              <w:t xml:space="preserve"> </w:t>
            </w:r>
            <w:r w:rsidR="00C2195E" w:rsidRPr="00C2195E">
              <w:rPr>
                <w:sz w:val="16"/>
                <w:szCs w:val="16"/>
              </w:rPr>
              <w:t>virus (HIV); liver diseases, such as chronic hepatitis C virus (HCV) infection and chronic hepatitis B virus</w:t>
            </w:r>
            <w:r w:rsidR="00C2195E">
              <w:rPr>
                <w:sz w:val="16"/>
                <w:szCs w:val="16"/>
              </w:rPr>
              <w:t xml:space="preserve"> </w:t>
            </w:r>
            <w:r w:rsidR="00C2195E" w:rsidRPr="00C2195E">
              <w:rPr>
                <w:sz w:val="16"/>
                <w:szCs w:val="16"/>
              </w:rPr>
              <w:t>(HBV) infection; oncology and inflammation; and serious cardiovascular and respiratory conditions. It has</w:t>
            </w:r>
            <w:r w:rsidR="00C2195E">
              <w:rPr>
                <w:sz w:val="16"/>
                <w:szCs w:val="16"/>
              </w:rPr>
              <w:t xml:space="preserve"> </w:t>
            </w:r>
            <w:r w:rsidR="00C2195E" w:rsidRPr="00C2195E">
              <w:rPr>
                <w:sz w:val="16"/>
                <w:szCs w:val="16"/>
              </w:rPr>
              <w:t>operations in approximately 30 countries worldwide.</w:t>
            </w:r>
          </w:p>
          <w:p w14:paraId="052CE28C" w14:textId="77777777" w:rsidR="00C2195E" w:rsidRDefault="00C2195E" w:rsidP="00C2195E">
            <w:pPr>
              <w:jc w:val="both"/>
              <w:rPr>
                <w:sz w:val="16"/>
                <w:szCs w:val="16"/>
              </w:rPr>
            </w:pPr>
          </w:p>
          <w:p w14:paraId="5A98C99C" w14:textId="334EEE05" w:rsidR="00C2195E" w:rsidRDefault="001A54DB" w:rsidP="00C2195E">
            <w:pPr>
              <w:jc w:val="both"/>
              <w:rPr>
                <w:sz w:val="16"/>
                <w:szCs w:val="16"/>
              </w:rPr>
            </w:pPr>
            <w:r w:rsidRPr="00F65A7F">
              <w:rPr>
                <w:b/>
                <w:sz w:val="16"/>
                <w:szCs w:val="16"/>
              </w:rPr>
              <w:t>Industry Trends:</w:t>
            </w:r>
            <w:r w:rsidR="0056019E">
              <w:rPr>
                <w:b/>
                <w:sz w:val="16"/>
                <w:szCs w:val="16"/>
              </w:rPr>
              <w:t xml:space="preserve"> </w:t>
            </w:r>
            <w:r w:rsidR="00C2195E">
              <w:rPr>
                <w:b/>
                <w:sz w:val="16"/>
                <w:szCs w:val="16"/>
              </w:rPr>
              <w:t>F</w:t>
            </w:r>
            <w:r w:rsidR="00C2195E" w:rsidRPr="00C2195E">
              <w:rPr>
                <w:sz w:val="16"/>
                <w:szCs w:val="16"/>
              </w:rPr>
              <w:t>undamental outlook for the</w:t>
            </w:r>
            <w:r w:rsidR="00C2195E">
              <w:rPr>
                <w:sz w:val="16"/>
                <w:szCs w:val="16"/>
              </w:rPr>
              <w:t xml:space="preserve"> </w:t>
            </w:r>
            <w:r w:rsidR="00C2195E" w:rsidRPr="00C2195E">
              <w:rPr>
                <w:sz w:val="16"/>
                <w:szCs w:val="16"/>
              </w:rPr>
              <w:t>biotechnology sub-industry for the next 12 months</w:t>
            </w:r>
            <w:r w:rsidR="00C2195E">
              <w:rPr>
                <w:sz w:val="16"/>
                <w:szCs w:val="16"/>
              </w:rPr>
              <w:t xml:space="preserve"> </w:t>
            </w:r>
            <w:r w:rsidR="00C2195E" w:rsidRPr="00C2195E">
              <w:rPr>
                <w:sz w:val="16"/>
                <w:szCs w:val="16"/>
              </w:rPr>
              <w:t>reflects favorable prospects for new and novel</w:t>
            </w:r>
            <w:r w:rsidR="00C2195E">
              <w:rPr>
                <w:sz w:val="16"/>
                <w:szCs w:val="16"/>
              </w:rPr>
              <w:t xml:space="preserve"> </w:t>
            </w:r>
            <w:r w:rsidR="00C2195E" w:rsidRPr="00C2195E">
              <w:rPr>
                <w:sz w:val="16"/>
                <w:szCs w:val="16"/>
              </w:rPr>
              <w:t xml:space="preserve">therapies to reach commercialization. </w:t>
            </w:r>
            <w:r w:rsidR="00C2195E">
              <w:rPr>
                <w:sz w:val="16"/>
                <w:szCs w:val="16"/>
              </w:rPr>
              <w:t xml:space="preserve">The current period is seen as </w:t>
            </w:r>
            <w:r w:rsidR="00C2195E" w:rsidRPr="00C2195E">
              <w:rPr>
                <w:sz w:val="16"/>
                <w:szCs w:val="16"/>
              </w:rPr>
              <w:t>a strong period for</w:t>
            </w:r>
            <w:r w:rsidR="00C2195E">
              <w:rPr>
                <w:sz w:val="16"/>
                <w:szCs w:val="16"/>
              </w:rPr>
              <w:t xml:space="preserve"> </w:t>
            </w:r>
            <w:r w:rsidR="00C2195E" w:rsidRPr="00C2195E">
              <w:rPr>
                <w:sz w:val="16"/>
                <w:szCs w:val="16"/>
              </w:rPr>
              <w:t>the reporting of late-stage clinical results, and a</w:t>
            </w:r>
            <w:r w:rsidR="00C2195E">
              <w:rPr>
                <w:sz w:val="16"/>
                <w:szCs w:val="16"/>
              </w:rPr>
              <w:t xml:space="preserve"> </w:t>
            </w:r>
            <w:r w:rsidR="00C2195E" w:rsidRPr="00C2195E">
              <w:rPr>
                <w:sz w:val="16"/>
                <w:szCs w:val="16"/>
              </w:rPr>
              <w:t>more accommodating U.S. FDA for approvals. In</w:t>
            </w:r>
            <w:r w:rsidR="00C2195E">
              <w:rPr>
                <w:sz w:val="16"/>
                <w:szCs w:val="16"/>
              </w:rPr>
              <w:t xml:space="preserve"> </w:t>
            </w:r>
            <w:r w:rsidR="00C2195E" w:rsidRPr="00C2195E">
              <w:rPr>
                <w:sz w:val="16"/>
                <w:szCs w:val="16"/>
              </w:rPr>
              <w:t>2014, the FDA approved 41 new therapies, up from</w:t>
            </w:r>
            <w:r w:rsidR="00C2195E">
              <w:rPr>
                <w:sz w:val="16"/>
                <w:szCs w:val="16"/>
              </w:rPr>
              <w:t xml:space="preserve"> </w:t>
            </w:r>
            <w:r w:rsidR="00C2195E" w:rsidRPr="00C2195E">
              <w:rPr>
                <w:sz w:val="16"/>
                <w:szCs w:val="16"/>
              </w:rPr>
              <w:t>27 in 2013, the most since a record 53 were</w:t>
            </w:r>
            <w:r w:rsidR="00C2195E">
              <w:rPr>
                <w:sz w:val="16"/>
                <w:szCs w:val="16"/>
              </w:rPr>
              <w:t xml:space="preserve"> </w:t>
            </w:r>
            <w:r w:rsidR="00C2195E" w:rsidRPr="00C2195E">
              <w:rPr>
                <w:sz w:val="16"/>
                <w:szCs w:val="16"/>
              </w:rPr>
              <w:t xml:space="preserve">approved in 1996. </w:t>
            </w:r>
            <w:r w:rsidR="00C2195E">
              <w:rPr>
                <w:sz w:val="16"/>
                <w:szCs w:val="16"/>
              </w:rPr>
              <w:t>T</w:t>
            </w:r>
            <w:r w:rsidR="00C2195E" w:rsidRPr="00C2195E">
              <w:rPr>
                <w:sz w:val="16"/>
                <w:szCs w:val="16"/>
              </w:rPr>
              <w:t>hese newly</w:t>
            </w:r>
            <w:r w:rsidR="00C2195E">
              <w:rPr>
                <w:sz w:val="16"/>
                <w:szCs w:val="16"/>
              </w:rPr>
              <w:t xml:space="preserve"> </w:t>
            </w:r>
            <w:r w:rsidR="00C2195E" w:rsidRPr="00C2195E">
              <w:rPr>
                <w:sz w:val="16"/>
                <w:szCs w:val="16"/>
              </w:rPr>
              <w:t>approved drugs have significant commercial</w:t>
            </w:r>
            <w:r w:rsidR="00C2195E">
              <w:rPr>
                <w:sz w:val="16"/>
                <w:szCs w:val="16"/>
              </w:rPr>
              <w:t xml:space="preserve"> </w:t>
            </w:r>
            <w:r w:rsidR="00C2195E" w:rsidRPr="00C2195E">
              <w:rPr>
                <w:sz w:val="16"/>
                <w:szCs w:val="16"/>
              </w:rPr>
              <w:t>prospects and represent major advances in</w:t>
            </w:r>
            <w:r w:rsidR="00C2195E">
              <w:rPr>
                <w:sz w:val="16"/>
                <w:szCs w:val="16"/>
              </w:rPr>
              <w:t xml:space="preserve"> </w:t>
            </w:r>
            <w:r w:rsidR="00C2195E" w:rsidRPr="00C2195E">
              <w:rPr>
                <w:sz w:val="16"/>
                <w:szCs w:val="16"/>
              </w:rPr>
              <w:t>therapeutic areas such as hepatitis C, multiple</w:t>
            </w:r>
            <w:r w:rsidR="00C2195E">
              <w:rPr>
                <w:sz w:val="16"/>
                <w:szCs w:val="16"/>
              </w:rPr>
              <w:t xml:space="preserve"> </w:t>
            </w:r>
            <w:r w:rsidR="00C2195E" w:rsidRPr="00C2195E">
              <w:rPr>
                <w:sz w:val="16"/>
                <w:szCs w:val="16"/>
              </w:rPr>
              <w:t xml:space="preserve">sclerosis and cancer. </w:t>
            </w:r>
            <w:r w:rsidR="00C2195E">
              <w:rPr>
                <w:sz w:val="16"/>
                <w:szCs w:val="16"/>
              </w:rPr>
              <w:t>A</w:t>
            </w:r>
            <w:r w:rsidR="00C2195E" w:rsidRPr="00C2195E">
              <w:rPr>
                <w:sz w:val="16"/>
                <w:szCs w:val="16"/>
              </w:rPr>
              <w:t xml:space="preserve"> favorable mergers and acquisitions</w:t>
            </w:r>
            <w:r w:rsidR="00C2195E">
              <w:rPr>
                <w:sz w:val="16"/>
                <w:szCs w:val="16"/>
              </w:rPr>
              <w:t xml:space="preserve"> </w:t>
            </w:r>
            <w:r w:rsidR="00C2195E" w:rsidRPr="00C2195E">
              <w:rPr>
                <w:sz w:val="16"/>
                <w:szCs w:val="16"/>
              </w:rPr>
              <w:t>(M&amp;A) climate, as large pharmaceutical firms move</w:t>
            </w:r>
            <w:r w:rsidR="00C2195E">
              <w:rPr>
                <w:sz w:val="16"/>
                <w:szCs w:val="16"/>
              </w:rPr>
              <w:t xml:space="preserve"> </w:t>
            </w:r>
            <w:r w:rsidR="00C2195E" w:rsidRPr="00C2195E">
              <w:rPr>
                <w:sz w:val="16"/>
                <w:szCs w:val="16"/>
              </w:rPr>
              <w:t>to offset lost revenues from expiring drug patents</w:t>
            </w:r>
            <w:r w:rsidR="00C2195E">
              <w:rPr>
                <w:sz w:val="16"/>
                <w:szCs w:val="16"/>
              </w:rPr>
              <w:t xml:space="preserve"> </w:t>
            </w:r>
            <w:r w:rsidR="00C2195E" w:rsidRPr="00C2195E">
              <w:rPr>
                <w:sz w:val="16"/>
                <w:szCs w:val="16"/>
              </w:rPr>
              <w:t xml:space="preserve">and large </w:t>
            </w:r>
            <w:proofErr w:type="spellStart"/>
            <w:r w:rsidR="00C2195E" w:rsidRPr="00C2195E">
              <w:rPr>
                <w:sz w:val="16"/>
                <w:szCs w:val="16"/>
              </w:rPr>
              <w:t>biotechs</w:t>
            </w:r>
            <w:proofErr w:type="spellEnd"/>
            <w:r w:rsidR="00C2195E" w:rsidRPr="00C2195E">
              <w:rPr>
                <w:sz w:val="16"/>
                <w:szCs w:val="16"/>
              </w:rPr>
              <w:t xml:space="preserve"> bolster their drug pipelines amid</w:t>
            </w:r>
            <w:r w:rsidR="00C2195E">
              <w:rPr>
                <w:sz w:val="16"/>
                <w:szCs w:val="16"/>
              </w:rPr>
              <w:t xml:space="preserve"> maturing products. </w:t>
            </w:r>
          </w:p>
          <w:p w14:paraId="3F17C10D" w14:textId="5C395992" w:rsidR="00C2195E" w:rsidRDefault="00C2195E" w:rsidP="00C2195E">
            <w:pPr>
              <w:jc w:val="both"/>
              <w:rPr>
                <w:sz w:val="16"/>
                <w:szCs w:val="16"/>
              </w:rPr>
            </w:pPr>
            <w:r w:rsidRPr="00C2195E">
              <w:rPr>
                <w:sz w:val="16"/>
                <w:szCs w:val="16"/>
              </w:rPr>
              <w:t>The pharma and biotech sectors have recently</w:t>
            </w:r>
            <w:r>
              <w:rPr>
                <w:sz w:val="16"/>
                <w:szCs w:val="16"/>
              </w:rPr>
              <w:t xml:space="preserve"> </w:t>
            </w:r>
            <w:r w:rsidRPr="00C2195E">
              <w:rPr>
                <w:sz w:val="16"/>
                <w:szCs w:val="16"/>
              </w:rPr>
              <w:t>faced significant market weakness, largely because</w:t>
            </w:r>
            <w:r>
              <w:rPr>
                <w:sz w:val="16"/>
                <w:szCs w:val="16"/>
              </w:rPr>
              <w:t xml:space="preserve"> </w:t>
            </w:r>
            <w:r w:rsidRPr="00C2195E">
              <w:rPr>
                <w:sz w:val="16"/>
                <w:szCs w:val="16"/>
              </w:rPr>
              <w:t>of recent headlines about price-gouging,</w:t>
            </w:r>
            <w:r>
              <w:rPr>
                <w:sz w:val="16"/>
                <w:szCs w:val="16"/>
              </w:rPr>
              <w:t xml:space="preserve"> </w:t>
            </w:r>
            <w:r w:rsidRPr="00C2195E">
              <w:rPr>
                <w:sz w:val="16"/>
                <w:szCs w:val="16"/>
              </w:rPr>
              <w:t>strong policy positions from presidential candidates,</w:t>
            </w:r>
            <w:r>
              <w:rPr>
                <w:sz w:val="16"/>
                <w:szCs w:val="16"/>
              </w:rPr>
              <w:t xml:space="preserve"> </w:t>
            </w:r>
            <w:r w:rsidRPr="00C2195E">
              <w:rPr>
                <w:sz w:val="16"/>
                <w:szCs w:val="16"/>
              </w:rPr>
              <w:t>notably Hillary Clinton, and congressional investigations</w:t>
            </w:r>
            <w:r>
              <w:rPr>
                <w:sz w:val="16"/>
                <w:szCs w:val="16"/>
              </w:rPr>
              <w:t xml:space="preserve"> </w:t>
            </w:r>
            <w:r w:rsidRPr="00C2195E">
              <w:rPr>
                <w:sz w:val="16"/>
                <w:szCs w:val="16"/>
              </w:rPr>
              <w:t xml:space="preserve">into drug pricing. </w:t>
            </w:r>
          </w:p>
          <w:p w14:paraId="4F2A42C9" w14:textId="77777777" w:rsidR="00A56542" w:rsidRDefault="00A56542" w:rsidP="00C2195E">
            <w:pPr>
              <w:jc w:val="both"/>
              <w:rPr>
                <w:sz w:val="16"/>
                <w:szCs w:val="16"/>
              </w:rPr>
            </w:pPr>
          </w:p>
          <w:p w14:paraId="6B238437" w14:textId="43D280AC" w:rsidR="001A54DB" w:rsidRPr="00E5675C" w:rsidRDefault="001A54DB" w:rsidP="00C2195E">
            <w:pPr>
              <w:jc w:val="both"/>
              <w:rPr>
                <w:sz w:val="16"/>
                <w:szCs w:val="16"/>
              </w:rPr>
            </w:pPr>
            <w:r w:rsidRPr="006E2939">
              <w:rPr>
                <w:b/>
                <w:sz w:val="16"/>
                <w:szCs w:val="16"/>
              </w:rPr>
              <w:t>Investment Thesis</w:t>
            </w:r>
            <w:r w:rsidR="006E2939">
              <w:rPr>
                <w:b/>
                <w:sz w:val="16"/>
                <w:szCs w:val="16"/>
              </w:rPr>
              <w:t xml:space="preserve">: </w:t>
            </w:r>
            <w:r w:rsidR="00392719" w:rsidRPr="00392719">
              <w:rPr>
                <w:sz w:val="16"/>
                <w:szCs w:val="16"/>
              </w:rPr>
              <w:t xml:space="preserve">Gilead's focus on infectious disease has paid off in. With a small salesforce, inexpensive manufacturing, and selective research and development, it generates stellar profit margins, and the firm's pipeline is extending its reach into other high-margin markets like hepatitis C and hematological oncology. With the approval of hepatitis C drug </w:t>
            </w:r>
            <w:proofErr w:type="spellStart"/>
            <w:r w:rsidR="00392719" w:rsidRPr="00392719">
              <w:rPr>
                <w:sz w:val="16"/>
                <w:szCs w:val="16"/>
              </w:rPr>
              <w:t>Sovaldi</w:t>
            </w:r>
            <w:proofErr w:type="spellEnd"/>
            <w:r w:rsidR="00392719" w:rsidRPr="00392719">
              <w:rPr>
                <w:sz w:val="16"/>
                <w:szCs w:val="16"/>
              </w:rPr>
              <w:t xml:space="preserve"> in late 2013, Gilead's competitive advantages have strengthened, moving it into wide-moat territory. Gilead will see new competitive threats in HIV; Glaxo could introduce a </w:t>
            </w:r>
            <w:proofErr w:type="spellStart"/>
            <w:r w:rsidR="00392719" w:rsidRPr="00392719">
              <w:rPr>
                <w:sz w:val="16"/>
                <w:szCs w:val="16"/>
              </w:rPr>
              <w:t>Truvada</w:t>
            </w:r>
            <w:proofErr w:type="spellEnd"/>
            <w:r w:rsidR="00392719" w:rsidRPr="00392719">
              <w:rPr>
                <w:sz w:val="16"/>
                <w:szCs w:val="16"/>
              </w:rPr>
              <w:t>/</w:t>
            </w:r>
            <w:proofErr w:type="spellStart"/>
            <w:r w:rsidR="00392719" w:rsidRPr="00392719">
              <w:rPr>
                <w:sz w:val="16"/>
                <w:szCs w:val="16"/>
              </w:rPr>
              <w:t>Tivicay</w:t>
            </w:r>
            <w:proofErr w:type="spellEnd"/>
            <w:r w:rsidR="00392719" w:rsidRPr="00392719">
              <w:rPr>
                <w:sz w:val="16"/>
                <w:szCs w:val="16"/>
              </w:rPr>
              <w:t xml:space="preserve"> single tablet regimen once </w:t>
            </w:r>
            <w:proofErr w:type="spellStart"/>
            <w:r w:rsidR="00392719" w:rsidRPr="00392719">
              <w:rPr>
                <w:sz w:val="16"/>
                <w:szCs w:val="16"/>
              </w:rPr>
              <w:t>Truvada</w:t>
            </w:r>
            <w:proofErr w:type="spellEnd"/>
            <w:r w:rsidR="00392719" w:rsidRPr="00392719">
              <w:rPr>
                <w:sz w:val="16"/>
                <w:szCs w:val="16"/>
              </w:rPr>
              <w:t xml:space="preserve"> patents begin to expire in 2018, and generic versions of </w:t>
            </w:r>
            <w:proofErr w:type="spellStart"/>
            <w:r w:rsidR="00392719" w:rsidRPr="00392719">
              <w:rPr>
                <w:sz w:val="16"/>
                <w:szCs w:val="16"/>
              </w:rPr>
              <w:t>Atripla</w:t>
            </w:r>
            <w:proofErr w:type="spellEnd"/>
            <w:r w:rsidR="00392719" w:rsidRPr="00392719">
              <w:rPr>
                <w:sz w:val="16"/>
                <w:szCs w:val="16"/>
              </w:rPr>
              <w:t xml:space="preserve"> should be available beyond 2021. However, we think </w:t>
            </w:r>
            <w:proofErr w:type="spellStart"/>
            <w:r w:rsidR="00392719" w:rsidRPr="00392719">
              <w:rPr>
                <w:sz w:val="16"/>
                <w:szCs w:val="16"/>
              </w:rPr>
              <w:t>Complera</w:t>
            </w:r>
            <w:proofErr w:type="spellEnd"/>
            <w:r w:rsidR="00392719" w:rsidRPr="00392719">
              <w:rPr>
                <w:sz w:val="16"/>
                <w:szCs w:val="16"/>
              </w:rPr>
              <w:t xml:space="preserve"> and </w:t>
            </w:r>
            <w:proofErr w:type="spellStart"/>
            <w:r w:rsidR="00392719" w:rsidRPr="00392719">
              <w:rPr>
                <w:sz w:val="16"/>
                <w:szCs w:val="16"/>
              </w:rPr>
              <w:t>Stribild</w:t>
            </w:r>
            <w:proofErr w:type="spellEnd"/>
            <w:r w:rsidR="00392719" w:rsidRPr="00392719">
              <w:rPr>
                <w:sz w:val="16"/>
                <w:szCs w:val="16"/>
              </w:rPr>
              <w:t xml:space="preserve"> will have a strong grasp on the market by this time, resetting the firm's HIV patent cliff into the 2020s.</w:t>
            </w:r>
          </w:p>
        </w:tc>
        <w:tc>
          <w:tcPr>
            <w:tcW w:w="5040" w:type="dxa"/>
            <w:gridSpan w:val="2"/>
          </w:tcPr>
          <w:p w14:paraId="1E84D793" w14:textId="150A7564" w:rsidR="00026F5E" w:rsidRPr="00026F5E" w:rsidRDefault="001A54DB" w:rsidP="00026F5E">
            <w:pPr>
              <w:jc w:val="both"/>
              <w:rPr>
                <w:sz w:val="16"/>
                <w:szCs w:val="16"/>
              </w:rPr>
            </w:pPr>
            <w:r w:rsidRPr="00C352F3">
              <w:rPr>
                <w:b/>
                <w:sz w:val="16"/>
                <w:szCs w:val="16"/>
              </w:rPr>
              <w:t>Competitive Analysis</w:t>
            </w:r>
            <w:r>
              <w:rPr>
                <w:sz w:val="16"/>
                <w:szCs w:val="16"/>
              </w:rPr>
              <w:t>:</w:t>
            </w:r>
            <w:r w:rsidR="00026F5E">
              <w:rPr>
                <w:sz w:val="16"/>
                <w:szCs w:val="16"/>
              </w:rPr>
              <w:t xml:space="preserve"> </w:t>
            </w:r>
            <w:r w:rsidR="00026F5E">
              <w:rPr>
                <w:rFonts w:ascii="UniversLTStd-LightCn" w:hAnsi="UniversLTStd-LightCn" w:cs="UniversLTStd-LightCn"/>
                <w:sz w:val="18"/>
                <w:szCs w:val="18"/>
              </w:rPr>
              <w:t>I</w:t>
            </w:r>
            <w:r w:rsidR="00026F5E" w:rsidRPr="00026F5E">
              <w:rPr>
                <w:sz w:val="16"/>
                <w:szCs w:val="16"/>
              </w:rPr>
              <w:t>ncreasing competition and pricing pressures in the HIV and hepatitis C markets are risks for Gilead. If</w:t>
            </w:r>
            <w:r w:rsidR="00026F5E">
              <w:rPr>
                <w:sz w:val="16"/>
                <w:szCs w:val="16"/>
              </w:rPr>
              <w:t xml:space="preserve"> </w:t>
            </w:r>
            <w:r w:rsidR="00026F5E" w:rsidRPr="00026F5E">
              <w:rPr>
                <w:sz w:val="16"/>
                <w:szCs w:val="16"/>
              </w:rPr>
              <w:t xml:space="preserve">Gilead's HIV franchise does not maintain its superior efficacy and safety status, a large portion of its sales foundation could be at risk. Key patents on Gilead's top marketed HIV products will expire by 2021, and the firm will need to see significant switching to newer products </w:t>
            </w:r>
            <w:proofErr w:type="spellStart"/>
            <w:r w:rsidR="00026F5E" w:rsidRPr="00026F5E">
              <w:rPr>
                <w:sz w:val="16"/>
                <w:szCs w:val="16"/>
              </w:rPr>
              <w:t>Complera</w:t>
            </w:r>
            <w:proofErr w:type="spellEnd"/>
            <w:r w:rsidR="00026F5E" w:rsidRPr="00026F5E">
              <w:rPr>
                <w:sz w:val="16"/>
                <w:szCs w:val="16"/>
              </w:rPr>
              <w:t xml:space="preserve"> and </w:t>
            </w:r>
            <w:proofErr w:type="spellStart"/>
            <w:r w:rsidR="00026F5E" w:rsidRPr="00026F5E">
              <w:rPr>
                <w:sz w:val="16"/>
                <w:szCs w:val="16"/>
              </w:rPr>
              <w:t>Stribild</w:t>
            </w:r>
            <w:proofErr w:type="spellEnd"/>
            <w:r w:rsidR="00026F5E" w:rsidRPr="00026F5E">
              <w:rPr>
                <w:sz w:val="16"/>
                <w:szCs w:val="16"/>
              </w:rPr>
              <w:t xml:space="preserve"> to counter the negative impact from generic competitors. </w:t>
            </w:r>
          </w:p>
          <w:p w14:paraId="4C941D6D" w14:textId="27FA9C16" w:rsidR="001A54DB" w:rsidRDefault="001A54DB" w:rsidP="00026F5E">
            <w:pPr>
              <w:jc w:val="both"/>
              <w:rPr>
                <w:sz w:val="16"/>
                <w:szCs w:val="16"/>
              </w:rPr>
            </w:pPr>
          </w:p>
          <w:p w14:paraId="6939CAB8" w14:textId="025A3AAD" w:rsidR="001A54DB" w:rsidRDefault="001A54DB" w:rsidP="00026F5E">
            <w:pPr>
              <w:jc w:val="both"/>
              <w:rPr>
                <w:sz w:val="16"/>
                <w:szCs w:val="16"/>
              </w:rPr>
            </w:pPr>
            <w:r w:rsidRPr="00C352F3">
              <w:rPr>
                <w:b/>
                <w:sz w:val="16"/>
                <w:szCs w:val="16"/>
              </w:rPr>
              <w:t>Pro</w:t>
            </w:r>
            <w:r w:rsidR="00B94DBA" w:rsidRPr="00C352F3">
              <w:rPr>
                <w:b/>
                <w:sz w:val="16"/>
                <w:szCs w:val="16"/>
              </w:rPr>
              <w:t>s</w:t>
            </w:r>
            <w:r>
              <w:rPr>
                <w:sz w:val="16"/>
                <w:szCs w:val="16"/>
              </w:rPr>
              <w:t>:</w:t>
            </w:r>
            <w:r w:rsidR="00547B13">
              <w:rPr>
                <w:sz w:val="16"/>
                <w:szCs w:val="16"/>
              </w:rPr>
              <w:t xml:space="preserve"> </w:t>
            </w:r>
            <w:r w:rsidR="00F96F5E">
              <w:rPr>
                <w:sz w:val="16"/>
                <w:szCs w:val="16"/>
              </w:rPr>
              <w:t>Very strong gross margin (87.2%) and operating margin (54.8). further the margin has been continuously increasing over past years. Strong cash position. Company beat industry benchmark on most of the financial factors (Rev Growth, Net Income Growth, Operating</w:t>
            </w:r>
            <w:r w:rsidR="009D5A45">
              <w:rPr>
                <w:sz w:val="16"/>
                <w:szCs w:val="16"/>
              </w:rPr>
              <w:t xml:space="preserve"> Margin, ROA, ROE, </w:t>
            </w:r>
            <w:proofErr w:type="gramStart"/>
            <w:r w:rsidR="009D5A45">
              <w:rPr>
                <w:sz w:val="16"/>
                <w:szCs w:val="16"/>
              </w:rPr>
              <w:t>Debt</w:t>
            </w:r>
            <w:proofErr w:type="gramEnd"/>
            <w:r w:rsidR="009D5A45">
              <w:rPr>
                <w:sz w:val="16"/>
                <w:szCs w:val="16"/>
              </w:rPr>
              <w:t xml:space="preserve">/Equity). </w:t>
            </w:r>
          </w:p>
          <w:p w14:paraId="7498D876" w14:textId="77777777" w:rsidR="009D5A45" w:rsidRDefault="009D5A45" w:rsidP="00026F5E">
            <w:pPr>
              <w:jc w:val="both"/>
              <w:rPr>
                <w:sz w:val="16"/>
                <w:szCs w:val="16"/>
              </w:rPr>
            </w:pPr>
          </w:p>
          <w:p w14:paraId="26B50F18" w14:textId="70DE8509" w:rsidR="009D5A45" w:rsidRDefault="009D5A45" w:rsidP="00026F5E">
            <w:pPr>
              <w:jc w:val="both"/>
              <w:rPr>
                <w:sz w:val="16"/>
                <w:szCs w:val="16"/>
              </w:rPr>
            </w:pPr>
            <w:r w:rsidRPr="009D5A45">
              <w:rPr>
                <w:sz w:val="16"/>
                <w:szCs w:val="16"/>
              </w:rPr>
              <w:t xml:space="preserve">Management is diversifying with </w:t>
            </w:r>
            <w:proofErr w:type="gramStart"/>
            <w:r w:rsidRPr="009D5A45">
              <w:rPr>
                <w:sz w:val="16"/>
                <w:szCs w:val="16"/>
              </w:rPr>
              <w:t>acquisitions,</w:t>
            </w:r>
            <w:proofErr w:type="gramEnd"/>
            <w:r w:rsidRPr="009D5A45">
              <w:rPr>
                <w:sz w:val="16"/>
                <w:szCs w:val="16"/>
              </w:rPr>
              <w:t xml:space="preserve"> including the $11 billion </w:t>
            </w:r>
            <w:proofErr w:type="spellStart"/>
            <w:r w:rsidRPr="009D5A45">
              <w:rPr>
                <w:sz w:val="16"/>
                <w:szCs w:val="16"/>
              </w:rPr>
              <w:t>Pharmasset</w:t>
            </w:r>
            <w:proofErr w:type="spellEnd"/>
            <w:r w:rsidRPr="009D5A45">
              <w:rPr>
                <w:sz w:val="16"/>
                <w:szCs w:val="16"/>
              </w:rPr>
              <w:t xml:space="preserve"> deal and key hepatitis C drug </w:t>
            </w:r>
            <w:proofErr w:type="spellStart"/>
            <w:r w:rsidRPr="009D5A45">
              <w:rPr>
                <w:sz w:val="16"/>
                <w:szCs w:val="16"/>
              </w:rPr>
              <w:t>Sovaldi</w:t>
            </w:r>
            <w:proofErr w:type="spellEnd"/>
            <w:r w:rsidRPr="009D5A45">
              <w:rPr>
                <w:sz w:val="16"/>
                <w:szCs w:val="16"/>
              </w:rPr>
              <w:t xml:space="preserve">. While AbbVie launched its all-oral regimen in late 2014 and Merck is set to launch a competitive regimen in early 2016, Gilead's regimens set a high bar. </w:t>
            </w:r>
            <w:proofErr w:type="spellStart"/>
            <w:r w:rsidRPr="009D5A45">
              <w:rPr>
                <w:sz w:val="16"/>
                <w:szCs w:val="16"/>
              </w:rPr>
              <w:t>Sovaldi</w:t>
            </w:r>
            <w:proofErr w:type="spellEnd"/>
            <w:r w:rsidRPr="009D5A45">
              <w:rPr>
                <w:sz w:val="16"/>
                <w:szCs w:val="16"/>
              </w:rPr>
              <w:t xml:space="preserve"> and </w:t>
            </w:r>
            <w:proofErr w:type="spellStart"/>
            <w:r w:rsidRPr="009D5A45">
              <w:rPr>
                <w:sz w:val="16"/>
                <w:szCs w:val="16"/>
              </w:rPr>
              <w:t>Harvoni</w:t>
            </w:r>
            <w:proofErr w:type="spellEnd"/>
            <w:r w:rsidRPr="009D5A45">
              <w:rPr>
                <w:sz w:val="16"/>
                <w:szCs w:val="16"/>
              </w:rPr>
              <w:t xml:space="preserve"> saw </w:t>
            </w:r>
            <w:r w:rsidR="006953F0">
              <w:rPr>
                <w:sz w:val="16"/>
                <w:szCs w:val="16"/>
              </w:rPr>
              <w:t xml:space="preserve">$12.4 billion in sales in 2014 further </w:t>
            </w:r>
            <w:r w:rsidRPr="009D5A45">
              <w:rPr>
                <w:sz w:val="16"/>
                <w:szCs w:val="16"/>
              </w:rPr>
              <w:t xml:space="preserve">Gilead will </w:t>
            </w:r>
            <w:r w:rsidR="00384388">
              <w:rPr>
                <w:sz w:val="16"/>
                <w:szCs w:val="16"/>
              </w:rPr>
              <w:t xml:space="preserve">is expected to see </w:t>
            </w:r>
            <w:r w:rsidRPr="009D5A45">
              <w:rPr>
                <w:sz w:val="16"/>
                <w:szCs w:val="16"/>
              </w:rPr>
              <w:t xml:space="preserve"> nearly $19 billion in hepatitis C sales in 2015, or 80% of the global market</w:t>
            </w:r>
          </w:p>
          <w:p w14:paraId="7347E9BF" w14:textId="77777777" w:rsidR="000E0C3A" w:rsidRDefault="000E0C3A" w:rsidP="00026F5E">
            <w:pPr>
              <w:jc w:val="both"/>
              <w:rPr>
                <w:b/>
                <w:sz w:val="16"/>
                <w:szCs w:val="16"/>
              </w:rPr>
            </w:pPr>
          </w:p>
          <w:p w14:paraId="6922D2CD" w14:textId="5FC4CA19" w:rsidR="001A54DB" w:rsidRPr="00E5675C" w:rsidRDefault="001A54DB" w:rsidP="00026F5E">
            <w:pPr>
              <w:jc w:val="both"/>
              <w:rPr>
                <w:sz w:val="16"/>
                <w:szCs w:val="16"/>
              </w:rPr>
            </w:pPr>
            <w:r w:rsidRPr="00C352F3">
              <w:rPr>
                <w:b/>
                <w:sz w:val="16"/>
                <w:szCs w:val="16"/>
              </w:rPr>
              <w:t>Risk Facto</w:t>
            </w:r>
            <w:r w:rsidR="00C352F3">
              <w:rPr>
                <w:b/>
                <w:sz w:val="16"/>
                <w:szCs w:val="16"/>
              </w:rPr>
              <w:t>rs</w:t>
            </w:r>
            <w:r w:rsidR="00E51FAC">
              <w:rPr>
                <w:b/>
                <w:sz w:val="16"/>
                <w:szCs w:val="16"/>
              </w:rPr>
              <w:t>: 1) A</w:t>
            </w:r>
            <w:r w:rsidR="00E51FAC" w:rsidRPr="00E51FAC">
              <w:rPr>
                <w:sz w:val="16"/>
                <w:szCs w:val="16"/>
              </w:rPr>
              <w:t xml:space="preserve"> l</w:t>
            </w:r>
            <w:r w:rsidR="00E51FAC">
              <w:rPr>
                <w:sz w:val="16"/>
                <w:szCs w:val="16"/>
              </w:rPr>
              <w:t xml:space="preserve">arge slowdown in </w:t>
            </w:r>
            <w:proofErr w:type="spellStart"/>
            <w:r w:rsidR="00E51FAC">
              <w:rPr>
                <w:sz w:val="16"/>
                <w:szCs w:val="16"/>
              </w:rPr>
              <w:t>Harvoni</w:t>
            </w:r>
            <w:proofErr w:type="spellEnd"/>
            <w:r w:rsidR="00E51FAC">
              <w:rPr>
                <w:sz w:val="16"/>
                <w:szCs w:val="16"/>
              </w:rPr>
              <w:t xml:space="preserve"> sales due to competition.  2) </w:t>
            </w:r>
            <w:r w:rsidR="00E51FAC" w:rsidRPr="00E51FAC">
              <w:rPr>
                <w:sz w:val="16"/>
                <w:szCs w:val="16"/>
              </w:rPr>
              <w:t>More than 60% of Gilead's U.S</w:t>
            </w:r>
            <w:proofErr w:type="gramStart"/>
            <w:r w:rsidR="00E51FAC" w:rsidRPr="00E51FAC">
              <w:rPr>
                <w:sz w:val="16"/>
                <w:szCs w:val="16"/>
              </w:rPr>
              <w:t>.-</w:t>
            </w:r>
            <w:proofErr w:type="gramEnd"/>
            <w:r w:rsidR="00E51FAC">
              <w:rPr>
                <w:sz w:val="16"/>
                <w:szCs w:val="16"/>
              </w:rPr>
              <w:t xml:space="preserve"> </w:t>
            </w:r>
            <w:r w:rsidR="00E51FAC" w:rsidRPr="00E51FAC">
              <w:rPr>
                <w:sz w:val="16"/>
                <w:szCs w:val="16"/>
              </w:rPr>
              <w:t>based HIV sales volume represents government</w:t>
            </w:r>
            <w:r w:rsidR="00E51FAC">
              <w:rPr>
                <w:sz w:val="16"/>
                <w:szCs w:val="16"/>
              </w:rPr>
              <w:t xml:space="preserve"> </w:t>
            </w:r>
            <w:r w:rsidR="00E51FAC" w:rsidRPr="00E51FAC">
              <w:rPr>
                <w:sz w:val="16"/>
                <w:szCs w:val="16"/>
              </w:rPr>
              <w:t>purchases, and higher rebates on some of these</w:t>
            </w:r>
            <w:r w:rsidR="00E51FAC">
              <w:rPr>
                <w:sz w:val="16"/>
                <w:szCs w:val="16"/>
              </w:rPr>
              <w:t xml:space="preserve"> </w:t>
            </w:r>
            <w:r w:rsidR="00E51FAC" w:rsidRPr="00E51FAC">
              <w:rPr>
                <w:sz w:val="16"/>
                <w:szCs w:val="16"/>
              </w:rPr>
              <w:t>sales were implemented in 2010. Austerity measures</w:t>
            </w:r>
            <w:r w:rsidR="00E51FAC">
              <w:rPr>
                <w:sz w:val="16"/>
                <w:szCs w:val="16"/>
              </w:rPr>
              <w:t xml:space="preserve"> </w:t>
            </w:r>
            <w:r w:rsidR="00E51FAC" w:rsidRPr="00E51FAC">
              <w:rPr>
                <w:sz w:val="16"/>
                <w:szCs w:val="16"/>
              </w:rPr>
              <w:t>also had a higher-than-average impact on</w:t>
            </w:r>
            <w:r w:rsidR="00E51FAC">
              <w:rPr>
                <w:sz w:val="16"/>
                <w:szCs w:val="16"/>
              </w:rPr>
              <w:t xml:space="preserve"> </w:t>
            </w:r>
            <w:r w:rsidR="00E51FAC" w:rsidRPr="00E51FAC">
              <w:rPr>
                <w:sz w:val="16"/>
                <w:szCs w:val="16"/>
              </w:rPr>
              <w:t>prices in Europe in 2010, and escalating overall</w:t>
            </w:r>
            <w:r w:rsidR="00E51FAC">
              <w:rPr>
                <w:sz w:val="16"/>
                <w:szCs w:val="16"/>
              </w:rPr>
              <w:t xml:space="preserve"> </w:t>
            </w:r>
            <w:r w:rsidR="00E51FAC" w:rsidRPr="00E51FAC">
              <w:rPr>
                <w:sz w:val="16"/>
                <w:szCs w:val="16"/>
              </w:rPr>
              <w:t>health-care costs and tight budgets</w:t>
            </w:r>
            <w:r w:rsidR="00E51FAC">
              <w:rPr>
                <w:sz w:val="16"/>
                <w:szCs w:val="16"/>
              </w:rPr>
              <w:t xml:space="preserve">. </w:t>
            </w:r>
            <w:r w:rsidR="009C57C6">
              <w:rPr>
                <w:sz w:val="16"/>
                <w:szCs w:val="16"/>
              </w:rPr>
              <w:t xml:space="preserve">3) Possible government regulations </w:t>
            </w:r>
            <w:r w:rsidR="005E114B">
              <w:rPr>
                <w:sz w:val="16"/>
                <w:szCs w:val="16"/>
              </w:rPr>
              <w:t>putting pricing</w:t>
            </w:r>
            <w:r w:rsidR="009C57C6">
              <w:rPr>
                <w:sz w:val="16"/>
                <w:szCs w:val="16"/>
              </w:rPr>
              <w:t xml:space="preserve"> pressure on the company.</w:t>
            </w:r>
          </w:p>
        </w:tc>
      </w:tr>
      <w:tr w:rsidR="001A54DB" w:rsidRPr="00E5675C" w14:paraId="0E08D53C" w14:textId="77777777" w:rsidTr="00026F5E">
        <w:trPr>
          <w:trHeight w:val="3149"/>
        </w:trPr>
        <w:tc>
          <w:tcPr>
            <w:tcW w:w="6390" w:type="dxa"/>
            <w:gridSpan w:val="2"/>
          </w:tcPr>
          <w:p w14:paraId="70BE8068" w14:textId="3F2881FB" w:rsidR="00E349B1" w:rsidRDefault="001A54DB">
            <w:pPr>
              <w:rPr>
                <w:sz w:val="16"/>
                <w:szCs w:val="16"/>
              </w:rPr>
            </w:pPr>
            <w:r>
              <w:rPr>
                <w:sz w:val="16"/>
                <w:szCs w:val="16"/>
              </w:rPr>
              <w:t>5 Year Stock Performance:</w:t>
            </w:r>
          </w:p>
          <w:p w14:paraId="6CB825A6" w14:textId="67F0FD8D" w:rsidR="00E349B1" w:rsidRDefault="00E349B1">
            <w:pPr>
              <w:rPr>
                <w:sz w:val="16"/>
                <w:szCs w:val="16"/>
              </w:rPr>
            </w:pPr>
            <w:r w:rsidRPr="00E349B1">
              <w:rPr>
                <w:noProof/>
                <w:sz w:val="16"/>
                <w:szCs w:val="16"/>
              </w:rPr>
              <w:drawing>
                <wp:inline distT="0" distB="0" distL="0" distR="0" wp14:anchorId="015FEABD" wp14:editId="57F67F8A">
                  <wp:extent cx="3457575" cy="1857375"/>
                  <wp:effectExtent l="0" t="0" r="9525" b="9525"/>
                  <wp:docPr id="4" name="Picture 4" descr="C:\Users\sbtrader\Desktop\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trader\Desktop\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1857375"/>
                          </a:xfrm>
                          <a:prstGeom prst="rect">
                            <a:avLst/>
                          </a:prstGeom>
                          <a:noFill/>
                          <a:ln>
                            <a:noFill/>
                          </a:ln>
                        </pic:spPr>
                      </pic:pic>
                    </a:graphicData>
                  </a:graphic>
                </wp:inline>
              </w:drawing>
            </w:r>
          </w:p>
          <w:p w14:paraId="78D5B9DC" w14:textId="77777777" w:rsidR="00FF2C25" w:rsidRPr="00E5675C" w:rsidRDefault="00FF2C25">
            <w:pPr>
              <w:rPr>
                <w:sz w:val="16"/>
                <w:szCs w:val="16"/>
              </w:rPr>
            </w:pPr>
          </w:p>
        </w:tc>
        <w:tc>
          <w:tcPr>
            <w:tcW w:w="5040" w:type="dxa"/>
            <w:gridSpan w:val="2"/>
            <w:vMerge w:val="restart"/>
          </w:tcPr>
          <w:p w14:paraId="3EBC1D50" w14:textId="77777777" w:rsidR="00071F4F" w:rsidRDefault="00071F4F" w:rsidP="001A54DB">
            <w:pPr>
              <w:rPr>
                <w:b/>
                <w:sz w:val="16"/>
                <w:szCs w:val="16"/>
              </w:rPr>
            </w:pPr>
          </w:p>
          <w:p w14:paraId="51BD6572" w14:textId="77777777" w:rsidR="00071F4F" w:rsidRDefault="00071F4F" w:rsidP="001A54DB">
            <w:pPr>
              <w:rPr>
                <w:b/>
                <w:sz w:val="16"/>
                <w:szCs w:val="16"/>
              </w:rPr>
            </w:pPr>
          </w:p>
          <w:p w14:paraId="21653142" w14:textId="77777777" w:rsidR="001A54DB" w:rsidRPr="001F411C" w:rsidRDefault="001A54DB" w:rsidP="001A54DB">
            <w:pPr>
              <w:rPr>
                <w:b/>
                <w:sz w:val="16"/>
                <w:szCs w:val="16"/>
              </w:rPr>
            </w:pPr>
            <w:r w:rsidRPr="001F411C">
              <w:rPr>
                <w:b/>
                <w:sz w:val="16"/>
                <w:szCs w:val="16"/>
              </w:rPr>
              <w:t>Key Valuation Assumption</w:t>
            </w:r>
          </w:p>
          <w:p w14:paraId="421F667A" w14:textId="2430A6A0" w:rsidR="001A54DB" w:rsidRDefault="001F411C" w:rsidP="001A54DB">
            <w:pPr>
              <w:rPr>
                <w:sz w:val="16"/>
                <w:szCs w:val="16"/>
              </w:rPr>
            </w:pPr>
            <w:r>
              <w:rPr>
                <w:sz w:val="16"/>
                <w:szCs w:val="16"/>
              </w:rPr>
              <w:t>Est Revenue Growth:</w:t>
            </w:r>
            <w:r w:rsidR="00D16B81">
              <w:rPr>
                <w:sz w:val="16"/>
                <w:szCs w:val="16"/>
              </w:rPr>
              <w:t xml:space="preserve"> </w:t>
            </w:r>
            <w:r w:rsidR="00197A37">
              <w:rPr>
                <w:sz w:val="16"/>
                <w:szCs w:val="16"/>
              </w:rPr>
              <w:t>4.7</w:t>
            </w:r>
            <w:r w:rsidR="00D16B81">
              <w:rPr>
                <w:sz w:val="16"/>
                <w:szCs w:val="16"/>
              </w:rPr>
              <w:t>%</w:t>
            </w:r>
          </w:p>
          <w:p w14:paraId="49AB2452" w14:textId="33D483C6" w:rsidR="001A54DB" w:rsidRDefault="001F411C" w:rsidP="001A54DB">
            <w:pPr>
              <w:rPr>
                <w:sz w:val="16"/>
                <w:szCs w:val="16"/>
              </w:rPr>
            </w:pPr>
            <w:r>
              <w:rPr>
                <w:sz w:val="16"/>
                <w:szCs w:val="16"/>
              </w:rPr>
              <w:t xml:space="preserve">WACC: </w:t>
            </w:r>
            <w:r w:rsidR="00197A37">
              <w:rPr>
                <w:sz w:val="16"/>
                <w:szCs w:val="16"/>
              </w:rPr>
              <w:t>9.4</w:t>
            </w:r>
            <w:r>
              <w:rPr>
                <w:sz w:val="16"/>
                <w:szCs w:val="16"/>
              </w:rPr>
              <w:t>%</w:t>
            </w:r>
          </w:p>
          <w:p w14:paraId="459D3B00" w14:textId="37234244" w:rsidR="001F411C" w:rsidRDefault="001F411C" w:rsidP="001A54DB">
            <w:pPr>
              <w:rPr>
                <w:sz w:val="16"/>
                <w:szCs w:val="16"/>
              </w:rPr>
            </w:pPr>
            <w:r>
              <w:rPr>
                <w:sz w:val="16"/>
                <w:szCs w:val="16"/>
              </w:rPr>
              <w:t>Expected Inflation:</w:t>
            </w:r>
            <w:r w:rsidR="00F56067">
              <w:rPr>
                <w:sz w:val="16"/>
                <w:szCs w:val="16"/>
              </w:rPr>
              <w:t xml:space="preserve"> 2</w:t>
            </w:r>
            <w:r w:rsidR="00D16B81">
              <w:rPr>
                <w:sz w:val="16"/>
                <w:szCs w:val="16"/>
              </w:rPr>
              <w:t>.0%</w:t>
            </w:r>
          </w:p>
          <w:p w14:paraId="3BED4757" w14:textId="18B0D3FF" w:rsidR="001F411C" w:rsidRDefault="001F411C" w:rsidP="001A54DB">
            <w:pPr>
              <w:rPr>
                <w:sz w:val="16"/>
                <w:szCs w:val="16"/>
              </w:rPr>
            </w:pPr>
            <w:r>
              <w:rPr>
                <w:sz w:val="16"/>
                <w:szCs w:val="16"/>
              </w:rPr>
              <w:t>Terminal Growth Rate: 3.</w:t>
            </w:r>
            <w:r w:rsidR="00197A37">
              <w:rPr>
                <w:sz w:val="16"/>
                <w:szCs w:val="16"/>
              </w:rPr>
              <w:t>0</w:t>
            </w:r>
            <w:r>
              <w:rPr>
                <w:sz w:val="16"/>
                <w:szCs w:val="16"/>
              </w:rPr>
              <w:t>%</w:t>
            </w:r>
          </w:p>
          <w:p w14:paraId="18D6B45E" w14:textId="77777777" w:rsidR="001F411C" w:rsidRDefault="001F411C" w:rsidP="001A54DB">
            <w:pPr>
              <w:rPr>
                <w:sz w:val="16"/>
                <w:szCs w:val="16"/>
              </w:rPr>
            </w:pPr>
            <w:r>
              <w:rPr>
                <w:sz w:val="16"/>
                <w:szCs w:val="16"/>
              </w:rPr>
              <w:t xml:space="preserve">10 </w:t>
            </w:r>
            <w:proofErr w:type="spellStart"/>
            <w:r>
              <w:rPr>
                <w:sz w:val="16"/>
                <w:szCs w:val="16"/>
              </w:rPr>
              <w:t>Yr</w:t>
            </w:r>
            <w:proofErr w:type="spellEnd"/>
            <w:r>
              <w:rPr>
                <w:sz w:val="16"/>
                <w:szCs w:val="16"/>
              </w:rPr>
              <w:t xml:space="preserve"> Risk Free Rate:</w:t>
            </w:r>
            <w:r w:rsidR="00D16B81">
              <w:rPr>
                <w:sz w:val="16"/>
                <w:szCs w:val="16"/>
              </w:rPr>
              <w:t xml:space="preserve"> 2.03%</w:t>
            </w:r>
          </w:p>
          <w:p w14:paraId="7FD232DE" w14:textId="0D04E920" w:rsidR="001F411C" w:rsidRDefault="001F411C" w:rsidP="001A54DB">
            <w:pPr>
              <w:rPr>
                <w:sz w:val="16"/>
                <w:szCs w:val="16"/>
              </w:rPr>
            </w:pPr>
            <w:r>
              <w:rPr>
                <w:sz w:val="16"/>
                <w:szCs w:val="16"/>
              </w:rPr>
              <w:t>Equity Risk Premium:</w:t>
            </w:r>
            <w:r w:rsidR="00F56067">
              <w:rPr>
                <w:sz w:val="16"/>
                <w:szCs w:val="16"/>
              </w:rPr>
              <w:t xml:space="preserve"> 7.2%</w:t>
            </w:r>
          </w:p>
          <w:p w14:paraId="3DF65BBF" w14:textId="5CC10BDB" w:rsidR="001F411C" w:rsidRDefault="001F411C" w:rsidP="001A54DB">
            <w:pPr>
              <w:rPr>
                <w:sz w:val="16"/>
                <w:szCs w:val="16"/>
              </w:rPr>
            </w:pPr>
            <w:r>
              <w:rPr>
                <w:sz w:val="16"/>
                <w:szCs w:val="16"/>
              </w:rPr>
              <w:t>Tax Rate:</w:t>
            </w:r>
            <w:r w:rsidR="00197A37">
              <w:rPr>
                <w:sz w:val="16"/>
                <w:szCs w:val="16"/>
              </w:rPr>
              <w:t xml:space="preserve"> 25</w:t>
            </w:r>
            <w:r w:rsidR="00D16B81">
              <w:rPr>
                <w:sz w:val="16"/>
                <w:szCs w:val="16"/>
              </w:rPr>
              <w:t>.</w:t>
            </w:r>
            <w:r w:rsidR="00197A37">
              <w:rPr>
                <w:sz w:val="16"/>
                <w:szCs w:val="16"/>
              </w:rPr>
              <w:t>0</w:t>
            </w:r>
            <w:r w:rsidR="00D16B81">
              <w:rPr>
                <w:sz w:val="16"/>
                <w:szCs w:val="16"/>
              </w:rPr>
              <w:t>%</w:t>
            </w:r>
          </w:p>
          <w:p w14:paraId="7131A23F" w14:textId="77777777" w:rsidR="00AA0C48" w:rsidRDefault="00AA0C48" w:rsidP="001A54DB">
            <w:pPr>
              <w:rPr>
                <w:sz w:val="16"/>
                <w:szCs w:val="16"/>
              </w:rPr>
            </w:pPr>
          </w:p>
          <w:p w14:paraId="2F2A73D9" w14:textId="4ACE8E30" w:rsidR="001A54DB" w:rsidRPr="001F411C" w:rsidRDefault="001A54DB" w:rsidP="001A54DB">
            <w:pPr>
              <w:rPr>
                <w:b/>
                <w:sz w:val="16"/>
                <w:szCs w:val="16"/>
              </w:rPr>
            </w:pPr>
            <w:r w:rsidRPr="001F411C">
              <w:rPr>
                <w:b/>
                <w:sz w:val="16"/>
                <w:szCs w:val="16"/>
              </w:rPr>
              <w:t>Key Financial Data</w:t>
            </w:r>
          </w:p>
          <w:p w14:paraId="0AAB0DEC" w14:textId="3E8CCC7E" w:rsidR="001A54DB" w:rsidRDefault="001F411C" w:rsidP="001A54DB">
            <w:pPr>
              <w:rPr>
                <w:sz w:val="16"/>
                <w:szCs w:val="16"/>
              </w:rPr>
            </w:pPr>
            <w:r>
              <w:rPr>
                <w:sz w:val="16"/>
                <w:szCs w:val="16"/>
              </w:rPr>
              <w:t>Est 2015 EPS</w:t>
            </w:r>
            <w:r w:rsidR="00AA0C48">
              <w:rPr>
                <w:sz w:val="16"/>
                <w:szCs w:val="16"/>
              </w:rPr>
              <w:t xml:space="preserve">: 11.73 </w:t>
            </w:r>
          </w:p>
          <w:p w14:paraId="5F41D227" w14:textId="3147118F" w:rsidR="001F411C" w:rsidRDefault="001F411C" w:rsidP="001A54DB">
            <w:pPr>
              <w:rPr>
                <w:sz w:val="16"/>
                <w:szCs w:val="16"/>
              </w:rPr>
            </w:pPr>
            <w:r>
              <w:rPr>
                <w:sz w:val="16"/>
                <w:szCs w:val="16"/>
              </w:rPr>
              <w:t>Est 2016 EPS</w:t>
            </w:r>
            <w:r w:rsidR="00AA0C48">
              <w:rPr>
                <w:sz w:val="16"/>
                <w:szCs w:val="16"/>
              </w:rPr>
              <w:t>: 11.62</w:t>
            </w:r>
          </w:p>
          <w:p w14:paraId="7B27FD94" w14:textId="28E8B557" w:rsidR="001F411C" w:rsidRDefault="00AA0C48" w:rsidP="001A54DB">
            <w:pPr>
              <w:rPr>
                <w:sz w:val="16"/>
                <w:szCs w:val="16"/>
              </w:rPr>
            </w:pPr>
            <w:r>
              <w:rPr>
                <w:sz w:val="16"/>
                <w:szCs w:val="16"/>
              </w:rPr>
              <w:t>3</w:t>
            </w:r>
            <w:r w:rsidR="001F411C">
              <w:rPr>
                <w:sz w:val="16"/>
                <w:szCs w:val="16"/>
              </w:rPr>
              <w:t xml:space="preserve">-5 </w:t>
            </w:r>
            <w:proofErr w:type="spellStart"/>
            <w:r w:rsidR="001F411C">
              <w:rPr>
                <w:sz w:val="16"/>
                <w:szCs w:val="16"/>
              </w:rPr>
              <w:t>Yr</w:t>
            </w:r>
            <w:proofErr w:type="spellEnd"/>
            <w:r w:rsidR="001F411C">
              <w:rPr>
                <w:sz w:val="16"/>
                <w:szCs w:val="16"/>
              </w:rPr>
              <w:t xml:space="preserve"> Est EPS Growth:</w:t>
            </w:r>
            <w:r>
              <w:rPr>
                <w:sz w:val="16"/>
                <w:szCs w:val="16"/>
              </w:rPr>
              <w:t xml:space="preserve"> 53%</w:t>
            </w:r>
          </w:p>
          <w:p w14:paraId="483807AF" w14:textId="1A9C3636" w:rsidR="001F411C" w:rsidRDefault="001F411C" w:rsidP="001A54DB">
            <w:pPr>
              <w:rPr>
                <w:sz w:val="16"/>
                <w:szCs w:val="16"/>
              </w:rPr>
            </w:pPr>
            <w:r>
              <w:rPr>
                <w:sz w:val="16"/>
                <w:szCs w:val="16"/>
              </w:rPr>
              <w:t>PEG (TTM)</w:t>
            </w:r>
            <w:r w:rsidR="00231ED5">
              <w:rPr>
                <w:sz w:val="16"/>
                <w:szCs w:val="16"/>
              </w:rPr>
              <w:t>:</w:t>
            </w:r>
            <w:r w:rsidR="00D636EF">
              <w:rPr>
                <w:sz w:val="16"/>
                <w:szCs w:val="16"/>
              </w:rPr>
              <w:t xml:space="preserve"> 0.53</w:t>
            </w:r>
          </w:p>
          <w:p w14:paraId="288B943A" w14:textId="34A96A63" w:rsidR="001F411C" w:rsidRDefault="001F411C" w:rsidP="001A54DB">
            <w:pPr>
              <w:rPr>
                <w:sz w:val="16"/>
                <w:szCs w:val="16"/>
              </w:rPr>
            </w:pPr>
            <w:r>
              <w:rPr>
                <w:sz w:val="16"/>
                <w:szCs w:val="16"/>
              </w:rPr>
              <w:t>Credit Quality:</w:t>
            </w:r>
            <w:r w:rsidR="00D636EF">
              <w:rPr>
                <w:sz w:val="16"/>
                <w:szCs w:val="16"/>
              </w:rPr>
              <w:t xml:space="preserve">  A3 – Positive ( Moody),  A- Stable ( S&amp;P)</w:t>
            </w:r>
          </w:p>
          <w:p w14:paraId="0DC22BC5" w14:textId="28EC9354" w:rsidR="001F411C" w:rsidRDefault="001F411C" w:rsidP="001A54DB">
            <w:pPr>
              <w:rPr>
                <w:sz w:val="16"/>
                <w:szCs w:val="16"/>
              </w:rPr>
            </w:pPr>
            <w:r>
              <w:rPr>
                <w:sz w:val="16"/>
                <w:szCs w:val="16"/>
              </w:rPr>
              <w:t>ROE:</w:t>
            </w:r>
            <w:r w:rsidR="008B72AE">
              <w:rPr>
                <w:sz w:val="16"/>
                <w:szCs w:val="16"/>
              </w:rPr>
              <w:t xml:space="preserve"> 90.32</w:t>
            </w:r>
            <w:r w:rsidR="00231ED5">
              <w:rPr>
                <w:sz w:val="16"/>
                <w:szCs w:val="16"/>
              </w:rPr>
              <w:t>%</w:t>
            </w:r>
          </w:p>
          <w:p w14:paraId="6D15EEF8" w14:textId="6458570B" w:rsidR="001F411C" w:rsidRDefault="001F411C" w:rsidP="001A54DB">
            <w:pPr>
              <w:rPr>
                <w:sz w:val="16"/>
                <w:szCs w:val="16"/>
              </w:rPr>
            </w:pPr>
            <w:r>
              <w:rPr>
                <w:sz w:val="16"/>
                <w:szCs w:val="16"/>
              </w:rPr>
              <w:t>ROA:</w:t>
            </w:r>
            <w:r w:rsidR="00231ED5">
              <w:rPr>
                <w:sz w:val="16"/>
                <w:szCs w:val="16"/>
              </w:rPr>
              <w:t xml:space="preserve"> </w:t>
            </w:r>
            <w:r w:rsidR="008B72AE">
              <w:rPr>
                <w:sz w:val="16"/>
                <w:szCs w:val="16"/>
              </w:rPr>
              <w:t>42.28</w:t>
            </w:r>
            <w:r w:rsidR="00231ED5">
              <w:rPr>
                <w:sz w:val="16"/>
                <w:szCs w:val="16"/>
              </w:rPr>
              <w:t>%</w:t>
            </w:r>
          </w:p>
          <w:p w14:paraId="7D7D8817" w14:textId="0E508A11" w:rsidR="001F411C" w:rsidRDefault="001F411C" w:rsidP="001A54DB">
            <w:pPr>
              <w:rPr>
                <w:sz w:val="16"/>
                <w:szCs w:val="16"/>
              </w:rPr>
            </w:pPr>
            <w:r>
              <w:rPr>
                <w:sz w:val="16"/>
                <w:szCs w:val="16"/>
              </w:rPr>
              <w:t>Price/Book:</w:t>
            </w:r>
            <w:r w:rsidR="00FC33EF">
              <w:rPr>
                <w:sz w:val="16"/>
                <w:szCs w:val="16"/>
              </w:rPr>
              <w:t xml:space="preserve"> 9.16</w:t>
            </w:r>
          </w:p>
          <w:p w14:paraId="53DADF0D" w14:textId="5DCBC275" w:rsidR="001F411C" w:rsidRDefault="001F411C" w:rsidP="001A54DB">
            <w:pPr>
              <w:rPr>
                <w:sz w:val="16"/>
                <w:szCs w:val="16"/>
              </w:rPr>
            </w:pPr>
            <w:r>
              <w:rPr>
                <w:sz w:val="16"/>
                <w:szCs w:val="16"/>
              </w:rPr>
              <w:t>Price/Cash Flow:</w:t>
            </w:r>
            <w:r w:rsidR="00FC33EF">
              <w:rPr>
                <w:sz w:val="16"/>
                <w:szCs w:val="16"/>
              </w:rPr>
              <w:t xml:space="preserve"> 11.19</w:t>
            </w:r>
          </w:p>
          <w:p w14:paraId="0EABE9F1" w14:textId="44660D10" w:rsidR="001F411C" w:rsidRDefault="001F411C" w:rsidP="001A54DB">
            <w:pPr>
              <w:rPr>
                <w:sz w:val="16"/>
                <w:szCs w:val="16"/>
              </w:rPr>
            </w:pPr>
            <w:r>
              <w:rPr>
                <w:sz w:val="16"/>
                <w:szCs w:val="16"/>
              </w:rPr>
              <w:t>Debt/Equity:</w:t>
            </w:r>
            <w:r w:rsidR="00FC33EF">
              <w:rPr>
                <w:sz w:val="16"/>
                <w:szCs w:val="16"/>
              </w:rPr>
              <w:t xml:space="preserve"> 0.78</w:t>
            </w:r>
          </w:p>
          <w:p w14:paraId="743A6B75" w14:textId="6F5EABE2" w:rsidR="001F411C" w:rsidRDefault="001F411C" w:rsidP="001A54DB">
            <w:pPr>
              <w:rPr>
                <w:sz w:val="16"/>
                <w:szCs w:val="16"/>
              </w:rPr>
            </w:pPr>
            <w:r>
              <w:rPr>
                <w:sz w:val="16"/>
                <w:szCs w:val="16"/>
              </w:rPr>
              <w:t>Current Ratio:</w:t>
            </w:r>
            <w:r w:rsidR="00FC33EF">
              <w:rPr>
                <w:sz w:val="16"/>
                <w:szCs w:val="16"/>
              </w:rPr>
              <w:t xml:space="preserve"> 3.07</w:t>
            </w:r>
          </w:p>
          <w:p w14:paraId="00396E74" w14:textId="59E5D3AC" w:rsidR="001F411C" w:rsidRDefault="001F411C" w:rsidP="001A54DB">
            <w:pPr>
              <w:rPr>
                <w:sz w:val="16"/>
                <w:szCs w:val="16"/>
              </w:rPr>
            </w:pPr>
            <w:r>
              <w:rPr>
                <w:sz w:val="16"/>
                <w:szCs w:val="16"/>
              </w:rPr>
              <w:t>Quick Ratio:</w:t>
            </w:r>
            <w:r w:rsidR="00FC33EF">
              <w:rPr>
                <w:sz w:val="16"/>
                <w:szCs w:val="16"/>
              </w:rPr>
              <w:t xml:space="preserve"> 2.56</w:t>
            </w:r>
          </w:p>
          <w:p w14:paraId="364F10DD" w14:textId="77777777" w:rsidR="001F411C" w:rsidRDefault="001F411C" w:rsidP="001A54DB">
            <w:pPr>
              <w:rPr>
                <w:b/>
                <w:sz w:val="16"/>
                <w:szCs w:val="16"/>
              </w:rPr>
            </w:pPr>
            <w:r>
              <w:rPr>
                <w:b/>
                <w:sz w:val="16"/>
                <w:szCs w:val="16"/>
              </w:rPr>
              <w:t>CSR Characteristics</w:t>
            </w:r>
          </w:p>
          <w:p w14:paraId="0B0BBB0D" w14:textId="70A82463" w:rsidR="001F411C" w:rsidRPr="001F411C" w:rsidRDefault="001F411C" w:rsidP="001A54DB">
            <w:pPr>
              <w:rPr>
                <w:sz w:val="16"/>
                <w:szCs w:val="16"/>
              </w:rPr>
            </w:pPr>
            <w:r>
              <w:rPr>
                <w:sz w:val="16"/>
                <w:szCs w:val="16"/>
              </w:rPr>
              <w:t>ESG Disclosure</w:t>
            </w:r>
            <w:r w:rsidR="00166437">
              <w:rPr>
                <w:sz w:val="16"/>
                <w:szCs w:val="16"/>
              </w:rPr>
              <w:t xml:space="preserve"> Score</w:t>
            </w:r>
            <w:r>
              <w:rPr>
                <w:sz w:val="16"/>
                <w:szCs w:val="16"/>
              </w:rPr>
              <w:t>:</w:t>
            </w:r>
            <w:r w:rsidR="00A603A6">
              <w:rPr>
                <w:sz w:val="16"/>
                <w:szCs w:val="16"/>
              </w:rPr>
              <w:t xml:space="preserve"> 1</w:t>
            </w:r>
            <w:r w:rsidR="00E90970">
              <w:rPr>
                <w:sz w:val="16"/>
                <w:szCs w:val="16"/>
              </w:rPr>
              <w:t>4</w:t>
            </w:r>
            <w:r w:rsidR="00A603A6">
              <w:rPr>
                <w:sz w:val="16"/>
                <w:szCs w:val="16"/>
              </w:rPr>
              <w:t>.</w:t>
            </w:r>
            <w:r w:rsidR="00E90970">
              <w:rPr>
                <w:sz w:val="16"/>
                <w:szCs w:val="16"/>
              </w:rPr>
              <w:t>04</w:t>
            </w:r>
            <w:r w:rsidR="00166437">
              <w:rPr>
                <w:sz w:val="16"/>
                <w:szCs w:val="16"/>
              </w:rPr>
              <w:t xml:space="preserve"> (</w:t>
            </w:r>
            <w:r w:rsidR="00E90970">
              <w:rPr>
                <w:sz w:val="16"/>
                <w:szCs w:val="16"/>
              </w:rPr>
              <w:t>31.19</w:t>
            </w:r>
            <w:r w:rsidR="00166437">
              <w:rPr>
                <w:sz w:val="16"/>
                <w:szCs w:val="16"/>
              </w:rPr>
              <w:t xml:space="preserve"> Industry Average)</w:t>
            </w:r>
          </w:p>
          <w:p w14:paraId="79A830A8" w14:textId="174BDB41" w:rsidR="001F411C" w:rsidRDefault="00166437">
            <w:pPr>
              <w:rPr>
                <w:sz w:val="16"/>
                <w:szCs w:val="16"/>
              </w:rPr>
            </w:pPr>
            <w:r>
              <w:rPr>
                <w:sz w:val="16"/>
                <w:szCs w:val="16"/>
              </w:rPr>
              <w:t>Governance Disclosure Score: 51.79 (59.38 Industry Average)</w:t>
            </w:r>
          </w:p>
          <w:p w14:paraId="7D88D230" w14:textId="3049AA92" w:rsidR="00166437" w:rsidRDefault="00166437">
            <w:pPr>
              <w:rPr>
                <w:sz w:val="16"/>
                <w:szCs w:val="16"/>
              </w:rPr>
            </w:pPr>
            <w:r>
              <w:rPr>
                <w:sz w:val="16"/>
                <w:szCs w:val="16"/>
              </w:rPr>
              <w:t>Social Disclosure Score: 8.77 (21.49 Industry Average)</w:t>
            </w:r>
          </w:p>
          <w:p w14:paraId="15216F52" w14:textId="3F67D853" w:rsidR="00166437" w:rsidRDefault="00166437">
            <w:pPr>
              <w:rPr>
                <w:sz w:val="16"/>
                <w:szCs w:val="16"/>
              </w:rPr>
            </w:pPr>
            <w:r>
              <w:rPr>
                <w:sz w:val="16"/>
                <w:szCs w:val="16"/>
              </w:rPr>
              <w:t>Environmental Disclosure Score: 6.98 (37.21 Industry Average)</w:t>
            </w:r>
            <w:bookmarkStart w:id="0" w:name="_GoBack"/>
            <w:bookmarkEnd w:id="0"/>
          </w:p>
          <w:p w14:paraId="445F9C56" w14:textId="77777777" w:rsidR="001F411C" w:rsidRDefault="001F411C">
            <w:pPr>
              <w:rPr>
                <w:sz w:val="16"/>
                <w:szCs w:val="16"/>
              </w:rPr>
            </w:pPr>
          </w:p>
          <w:p w14:paraId="22FD5A19" w14:textId="358F7DEF" w:rsidR="001F411C" w:rsidRDefault="001F411C">
            <w:pPr>
              <w:rPr>
                <w:b/>
                <w:sz w:val="16"/>
                <w:szCs w:val="16"/>
              </w:rPr>
            </w:pPr>
            <w:r>
              <w:rPr>
                <w:b/>
                <w:sz w:val="16"/>
                <w:szCs w:val="16"/>
              </w:rPr>
              <w:t xml:space="preserve">Prepared by </w:t>
            </w:r>
            <w:proofErr w:type="spellStart"/>
            <w:r w:rsidR="00FF7743">
              <w:rPr>
                <w:b/>
                <w:sz w:val="16"/>
                <w:szCs w:val="16"/>
              </w:rPr>
              <w:t>Akhilesh</w:t>
            </w:r>
            <w:proofErr w:type="spellEnd"/>
            <w:r w:rsidR="00FF7743">
              <w:rPr>
                <w:b/>
                <w:sz w:val="16"/>
                <w:szCs w:val="16"/>
              </w:rPr>
              <w:t xml:space="preserve"> Kumar </w:t>
            </w:r>
            <w:r>
              <w:rPr>
                <w:b/>
                <w:sz w:val="16"/>
                <w:szCs w:val="16"/>
              </w:rPr>
              <w:t>(October 20, 2015)</w:t>
            </w:r>
          </w:p>
          <w:p w14:paraId="6C76362A" w14:textId="77777777" w:rsidR="00E96739" w:rsidRPr="00E96739" w:rsidRDefault="00E96739">
            <w:pPr>
              <w:rPr>
                <w:sz w:val="16"/>
                <w:szCs w:val="16"/>
              </w:rPr>
            </w:pPr>
            <w:r>
              <w:rPr>
                <w:sz w:val="16"/>
                <w:szCs w:val="16"/>
              </w:rPr>
              <w:t>Information from: Bloomberg, Value Line, S&amp;P Net Advantage, Yahoo</w:t>
            </w:r>
          </w:p>
        </w:tc>
      </w:tr>
      <w:tr w:rsidR="007B6409" w:rsidRPr="005E114B" w14:paraId="2AF28C9C" w14:textId="77777777" w:rsidTr="00026F5E">
        <w:trPr>
          <w:trHeight w:val="3410"/>
        </w:trPr>
        <w:tc>
          <w:tcPr>
            <w:tcW w:w="6390" w:type="dxa"/>
            <w:gridSpan w:val="2"/>
          </w:tcPr>
          <w:p w14:paraId="5A3A8555" w14:textId="3EB84CD2" w:rsidR="005E114B" w:rsidRPr="005E114B" w:rsidRDefault="007B6409">
            <w:pPr>
              <w:rPr>
                <w:sz w:val="16"/>
                <w:szCs w:val="16"/>
              </w:rPr>
            </w:pPr>
            <w:r w:rsidRPr="005E114B">
              <w:rPr>
                <w:sz w:val="16"/>
                <w:szCs w:val="16"/>
              </w:rPr>
              <w:t>Competitor Comparison:</w:t>
            </w:r>
          </w:p>
          <w:tbl>
            <w:tblPr>
              <w:tblW w:w="5621" w:type="dxa"/>
              <w:tblLayout w:type="fixed"/>
              <w:tblLook w:val="04A0" w:firstRow="1" w:lastRow="0" w:firstColumn="1" w:lastColumn="0" w:noHBand="0" w:noVBand="1"/>
            </w:tblPr>
            <w:tblGrid>
              <w:gridCol w:w="1893"/>
              <w:gridCol w:w="899"/>
              <w:gridCol w:w="899"/>
              <w:gridCol w:w="899"/>
              <w:gridCol w:w="1031"/>
            </w:tblGrid>
            <w:tr w:rsidR="005E114B" w:rsidRPr="005E114B" w14:paraId="1B1271C0" w14:textId="77777777" w:rsidTr="005E114B">
              <w:trPr>
                <w:trHeight w:val="312"/>
              </w:trPr>
              <w:tc>
                <w:tcPr>
                  <w:tcW w:w="1893" w:type="dxa"/>
                  <w:tcBorders>
                    <w:top w:val="single" w:sz="4" w:space="0" w:color="auto"/>
                    <w:left w:val="single" w:sz="4" w:space="0" w:color="auto"/>
                    <w:bottom w:val="single" w:sz="4" w:space="0" w:color="auto"/>
                    <w:right w:val="single" w:sz="4" w:space="0" w:color="auto"/>
                  </w:tcBorders>
                  <w:shd w:val="clear" w:color="000000" w:fill="EEEEEE"/>
                  <w:vAlign w:val="center"/>
                  <w:hideMark/>
                </w:tcPr>
                <w:p w14:paraId="581E7262" w14:textId="46128F46" w:rsidR="005E114B" w:rsidRPr="005E114B" w:rsidRDefault="005E114B" w:rsidP="005E114B">
                  <w:pPr>
                    <w:spacing w:line="293" w:lineRule="atLeast"/>
                    <w:jc w:val="center"/>
                    <w:rPr>
                      <w:rFonts w:eastAsia="Times New Roman" w:cs="Arial"/>
                      <w:b/>
                      <w:bCs/>
                      <w:color w:val="000000"/>
                      <w:sz w:val="16"/>
                      <w:szCs w:val="16"/>
                    </w:rPr>
                  </w:pPr>
                </w:p>
              </w:tc>
              <w:tc>
                <w:tcPr>
                  <w:tcW w:w="899" w:type="dxa"/>
                  <w:tcBorders>
                    <w:top w:val="single" w:sz="4" w:space="0" w:color="95B3D7"/>
                    <w:left w:val="nil"/>
                    <w:bottom w:val="single" w:sz="4" w:space="0" w:color="95B3D7"/>
                    <w:right w:val="nil"/>
                  </w:tcBorders>
                  <w:shd w:val="clear" w:color="4F81BD" w:fill="4F81BD"/>
                  <w:noWrap/>
                  <w:vAlign w:val="bottom"/>
                  <w:hideMark/>
                </w:tcPr>
                <w:p w14:paraId="231708B9" w14:textId="77777777" w:rsidR="005E114B" w:rsidRPr="005E114B" w:rsidRDefault="005E114B" w:rsidP="005E114B">
                  <w:pPr>
                    <w:spacing w:line="293" w:lineRule="atLeast"/>
                    <w:rPr>
                      <w:rFonts w:eastAsia="Times New Roman" w:cs="Times New Roman"/>
                      <w:b/>
                      <w:bCs/>
                      <w:color w:val="FFFFFF"/>
                      <w:sz w:val="16"/>
                      <w:szCs w:val="16"/>
                    </w:rPr>
                  </w:pPr>
                  <w:r w:rsidRPr="005E114B">
                    <w:rPr>
                      <w:rFonts w:eastAsia="Times New Roman" w:cs="Times New Roman"/>
                      <w:b/>
                      <w:bCs/>
                      <w:color w:val="FFFFFF"/>
                      <w:sz w:val="16"/>
                      <w:szCs w:val="16"/>
                    </w:rPr>
                    <w:t>GILD</w:t>
                  </w:r>
                </w:p>
              </w:tc>
              <w:tc>
                <w:tcPr>
                  <w:tcW w:w="899" w:type="dxa"/>
                  <w:tcBorders>
                    <w:top w:val="single" w:sz="4" w:space="0" w:color="95B3D7"/>
                    <w:left w:val="nil"/>
                    <w:bottom w:val="single" w:sz="4" w:space="0" w:color="95B3D7"/>
                    <w:right w:val="nil"/>
                  </w:tcBorders>
                  <w:shd w:val="clear" w:color="4F81BD" w:fill="4F81BD"/>
                  <w:noWrap/>
                  <w:vAlign w:val="bottom"/>
                  <w:hideMark/>
                </w:tcPr>
                <w:p w14:paraId="45B662FE" w14:textId="77777777" w:rsidR="005E114B" w:rsidRPr="005E114B" w:rsidRDefault="005E114B" w:rsidP="005E114B">
                  <w:pPr>
                    <w:spacing w:line="293" w:lineRule="atLeast"/>
                    <w:rPr>
                      <w:rFonts w:eastAsia="Times New Roman" w:cs="Times New Roman"/>
                      <w:b/>
                      <w:bCs/>
                      <w:color w:val="FFFFFF"/>
                      <w:sz w:val="16"/>
                      <w:szCs w:val="16"/>
                    </w:rPr>
                  </w:pPr>
                  <w:r w:rsidRPr="005E114B">
                    <w:rPr>
                      <w:rFonts w:eastAsia="Times New Roman" w:cs="Times New Roman"/>
                      <w:b/>
                      <w:bCs/>
                      <w:color w:val="FFFFFF"/>
                      <w:sz w:val="16"/>
                      <w:szCs w:val="16"/>
                    </w:rPr>
                    <w:t>GSK</w:t>
                  </w:r>
                </w:p>
              </w:tc>
              <w:tc>
                <w:tcPr>
                  <w:tcW w:w="899" w:type="dxa"/>
                  <w:tcBorders>
                    <w:top w:val="single" w:sz="4" w:space="0" w:color="95B3D7"/>
                    <w:left w:val="nil"/>
                    <w:bottom w:val="single" w:sz="4" w:space="0" w:color="95B3D7"/>
                    <w:right w:val="nil"/>
                  </w:tcBorders>
                  <w:shd w:val="clear" w:color="4F81BD" w:fill="4F81BD"/>
                  <w:noWrap/>
                  <w:vAlign w:val="bottom"/>
                  <w:hideMark/>
                </w:tcPr>
                <w:p w14:paraId="0100968D" w14:textId="77777777" w:rsidR="005E114B" w:rsidRPr="005E114B" w:rsidRDefault="005E114B" w:rsidP="005E114B">
                  <w:pPr>
                    <w:spacing w:line="293" w:lineRule="atLeast"/>
                    <w:rPr>
                      <w:rFonts w:eastAsia="Times New Roman" w:cs="Times New Roman"/>
                      <w:b/>
                      <w:bCs/>
                      <w:color w:val="FFFFFF"/>
                      <w:sz w:val="16"/>
                      <w:szCs w:val="16"/>
                    </w:rPr>
                  </w:pPr>
                  <w:r w:rsidRPr="005E114B">
                    <w:rPr>
                      <w:rFonts w:eastAsia="Times New Roman" w:cs="Times New Roman"/>
                      <w:b/>
                      <w:bCs/>
                      <w:color w:val="FFFFFF"/>
                      <w:sz w:val="16"/>
                      <w:szCs w:val="16"/>
                    </w:rPr>
                    <w:t>PFE</w:t>
                  </w:r>
                </w:p>
              </w:tc>
              <w:tc>
                <w:tcPr>
                  <w:tcW w:w="1031" w:type="dxa"/>
                  <w:tcBorders>
                    <w:top w:val="single" w:sz="4" w:space="0" w:color="95B3D7"/>
                    <w:left w:val="nil"/>
                    <w:bottom w:val="single" w:sz="4" w:space="0" w:color="95B3D7"/>
                    <w:right w:val="single" w:sz="4" w:space="0" w:color="95B3D7"/>
                  </w:tcBorders>
                  <w:shd w:val="clear" w:color="4F81BD" w:fill="4F81BD"/>
                  <w:noWrap/>
                  <w:vAlign w:val="bottom"/>
                  <w:hideMark/>
                </w:tcPr>
                <w:p w14:paraId="0E9C3E65" w14:textId="77777777" w:rsidR="005E114B" w:rsidRPr="005E114B" w:rsidRDefault="005E114B" w:rsidP="005E114B">
                  <w:pPr>
                    <w:spacing w:line="293" w:lineRule="atLeast"/>
                    <w:rPr>
                      <w:rFonts w:eastAsia="Times New Roman" w:cs="Times New Roman"/>
                      <w:b/>
                      <w:bCs/>
                      <w:color w:val="FFFFFF"/>
                      <w:sz w:val="16"/>
                      <w:szCs w:val="16"/>
                    </w:rPr>
                  </w:pPr>
                  <w:r w:rsidRPr="005E114B">
                    <w:rPr>
                      <w:rFonts w:eastAsia="Times New Roman" w:cs="Times New Roman"/>
                      <w:b/>
                      <w:bCs/>
                      <w:color w:val="FFFFFF"/>
                      <w:sz w:val="16"/>
                      <w:szCs w:val="16"/>
                    </w:rPr>
                    <w:t>Industry</w:t>
                  </w:r>
                </w:p>
              </w:tc>
            </w:tr>
            <w:tr w:rsidR="005E114B" w:rsidRPr="005E114B" w14:paraId="0B5E0E33" w14:textId="77777777" w:rsidTr="005E114B">
              <w:trPr>
                <w:trHeight w:val="287"/>
              </w:trPr>
              <w:tc>
                <w:tcPr>
                  <w:tcW w:w="1893" w:type="dxa"/>
                  <w:tcBorders>
                    <w:top w:val="single" w:sz="4" w:space="0" w:color="auto"/>
                    <w:left w:val="single" w:sz="4" w:space="0" w:color="auto"/>
                    <w:bottom w:val="single" w:sz="4" w:space="0" w:color="auto"/>
                    <w:right w:val="single" w:sz="4" w:space="0" w:color="auto"/>
                  </w:tcBorders>
                  <w:shd w:val="clear" w:color="000000" w:fill="F7F7F7"/>
                  <w:noWrap/>
                  <w:vAlign w:val="center"/>
                  <w:hideMark/>
                </w:tcPr>
                <w:p w14:paraId="2DA2958D" w14:textId="77777777" w:rsidR="005E114B" w:rsidRPr="005E114B" w:rsidRDefault="005E114B" w:rsidP="005E114B">
                  <w:pPr>
                    <w:spacing w:line="293" w:lineRule="atLeast"/>
                    <w:rPr>
                      <w:rFonts w:eastAsia="Times New Roman" w:cs="Arial"/>
                      <w:color w:val="000000"/>
                      <w:sz w:val="16"/>
                      <w:szCs w:val="16"/>
                    </w:rPr>
                  </w:pPr>
                  <w:r w:rsidRPr="005E114B">
                    <w:rPr>
                      <w:rFonts w:eastAsia="Times New Roman" w:cs="Arial"/>
                      <w:color w:val="000000"/>
                      <w:sz w:val="16"/>
                      <w:szCs w:val="16"/>
                    </w:rPr>
                    <w:t>Market Cap:</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14:paraId="5150064B" w14:textId="69FC4874" w:rsidR="005E114B" w:rsidRPr="005E114B" w:rsidRDefault="00A63E9D" w:rsidP="00A63E9D">
                  <w:pPr>
                    <w:spacing w:line="293" w:lineRule="atLeast"/>
                    <w:jc w:val="right"/>
                    <w:rPr>
                      <w:rFonts w:eastAsia="Times New Roman" w:cs="Arial"/>
                      <w:color w:val="000000"/>
                      <w:sz w:val="16"/>
                      <w:szCs w:val="16"/>
                    </w:rPr>
                  </w:pPr>
                  <w:r>
                    <w:rPr>
                      <w:rFonts w:eastAsia="Times New Roman" w:cs="Arial"/>
                      <w:color w:val="000000"/>
                      <w:sz w:val="16"/>
                      <w:szCs w:val="16"/>
                    </w:rPr>
                    <w:t>152</w:t>
                  </w:r>
                  <w:r w:rsidR="005E114B" w:rsidRPr="005E114B">
                    <w:rPr>
                      <w:rFonts w:eastAsia="Times New Roman" w:cs="Arial"/>
                      <w:color w:val="000000"/>
                      <w:sz w:val="16"/>
                      <w:szCs w:val="16"/>
                    </w:rPr>
                    <w:t>.</w:t>
                  </w:r>
                  <w:r>
                    <w:rPr>
                      <w:rFonts w:eastAsia="Times New Roman" w:cs="Arial"/>
                      <w:color w:val="000000"/>
                      <w:sz w:val="16"/>
                      <w:szCs w:val="16"/>
                    </w:rPr>
                    <w:t>15</w:t>
                  </w:r>
                  <w:r w:rsidR="005E114B" w:rsidRPr="005E114B">
                    <w:rPr>
                      <w:rFonts w:eastAsia="Times New Roman" w:cs="Arial"/>
                      <w:color w:val="000000"/>
                      <w:sz w:val="16"/>
                      <w:szCs w:val="16"/>
                    </w:rPr>
                    <w:t>B</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14:paraId="060E590F"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98.76B</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14:paraId="6F7B3C29"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206.36B</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14:paraId="65BFD512"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128.42M</w:t>
                  </w:r>
                </w:p>
              </w:tc>
            </w:tr>
            <w:tr w:rsidR="005E114B" w:rsidRPr="005E114B" w14:paraId="4DC3CA5F" w14:textId="77777777" w:rsidTr="005E114B">
              <w:trPr>
                <w:trHeight w:val="170"/>
              </w:trPr>
              <w:tc>
                <w:tcPr>
                  <w:tcW w:w="1893" w:type="dxa"/>
                  <w:tcBorders>
                    <w:top w:val="single" w:sz="4" w:space="0" w:color="auto"/>
                    <w:left w:val="single" w:sz="4" w:space="0" w:color="auto"/>
                    <w:bottom w:val="single" w:sz="4" w:space="0" w:color="auto"/>
                    <w:right w:val="single" w:sz="4" w:space="0" w:color="auto"/>
                  </w:tcBorders>
                  <w:shd w:val="clear" w:color="000000" w:fill="F7F7F7"/>
                  <w:noWrap/>
                  <w:vAlign w:val="center"/>
                  <w:hideMark/>
                </w:tcPr>
                <w:p w14:paraId="32537B44" w14:textId="77777777" w:rsidR="005E114B" w:rsidRPr="005E114B" w:rsidRDefault="005E114B" w:rsidP="005E114B">
                  <w:pPr>
                    <w:spacing w:line="293" w:lineRule="atLeast"/>
                    <w:rPr>
                      <w:rFonts w:eastAsia="Times New Roman" w:cs="Arial"/>
                      <w:color w:val="000000"/>
                      <w:sz w:val="16"/>
                      <w:szCs w:val="16"/>
                    </w:rPr>
                  </w:pPr>
                  <w:r w:rsidRPr="005E114B">
                    <w:rPr>
                      <w:rFonts w:eastAsia="Times New Roman" w:cs="Arial"/>
                      <w:color w:val="000000"/>
                      <w:sz w:val="16"/>
                      <w:szCs w:val="16"/>
                    </w:rPr>
                    <w:t>Employees:</w:t>
                  </w:r>
                </w:p>
              </w:tc>
              <w:tc>
                <w:tcPr>
                  <w:tcW w:w="899" w:type="dxa"/>
                  <w:tcBorders>
                    <w:top w:val="nil"/>
                    <w:left w:val="nil"/>
                    <w:bottom w:val="single" w:sz="4" w:space="0" w:color="auto"/>
                    <w:right w:val="single" w:sz="4" w:space="0" w:color="auto"/>
                  </w:tcBorders>
                  <w:shd w:val="clear" w:color="000000" w:fill="FFFFFF"/>
                  <w:vAlign w:val="center"/>
                  <w:hideMark/>
                </w:tcPr>
                <w:p w14:paraId="47ACB725"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7,000</w:t>
                  </w:r>
                </w:p>
              </w:tc>
              <w:tc>
                <w:tcPr>
                  <w:tcW w:w="899" w:type="dxa"/>
                  <w:tcBorders>
                    <w:top w:val="nil"/>
                    <w:left w:val="nil"/>
                    <w:bottom w:val="single" w:sz="4" w:space="0" w:color="auto"/>
                    <w:right w:val="single" w:sz="4" w:space="0" w:color="auto"/>
                  </w:tcBorders>
                  <w:shd w:val="clear" w:color="000000" w:fill="FFFFFF"/>
                  <w:vAlign w:val="center"/>
                  <w:hideMark/>
                </w:tcPr>
                <w:p w14:paraId="47FADF4E"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97,921</w:t>
                  </w:r>
                </w:p>
              </w:tc>
              <w:tc>
                <w:tcPr>
                  <w:tcW w:w="899" w:type="dxa"/>
                  <w:tcBorders>
                    <w:top w:val="nil"/>
                    <w:left w:val="nil"/>
                    <w:bottom w:val="single" w:sz="4" w:space="0" w:color="auto"/>
                    <w:right w:val="single" w:sz="4" w:space="0" w:color="auto"/>
                  </w:tcBorders>
                  <w:shd w:val="clear" w:color="000000" w:fill="FFFFFF"/>
                  <w:vAlign w:val="center"/>
                  <w:hideMark/>
                </w:tcPr>
                <w:p w14:paraId="7E559D81"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78,300</w:t>
                  </w:r>
                </w:p>
              </w:tc>
              <w:tc>
                <w:tcPr>
                  <w:tcW w:w="1031" w:type="dxa"/>
                  <w:tcBorders>
                    <w:top w:val="nil"/>
                    <w:left w:val="nil"/>
                    <w:bottom w:val="single" w:sz="4" w:space="0" w:color="auto"/>
                    <w:right w:val="single" w:sz="4" w:space="0" w:color="auto"/>
                  </w:tcBorders>
                  <w:shd w:val="clear" w:color="000000" w:fill="FFFFFF"/>
                  <w:vAlign w:val="center"/>
                  <w:hideMark/>
                </w:tcPr>
                <w:p w14:paraId="35886CD4"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57</w:t>
                  </w:r>
                </w:p>
              </w:tc>
            </w:tr>
            <w:tr w:rsidR="005E114B" w:rsidRPr="005E114B" w14:paraId="5B0385DA" w14:textId="77777777" w:rsidTr="005E114B">
              <w:trPr>
                <w:trHeight w:val="143"/>
              </w:trPr>
              <w:tc>
                <w:tcPr>
                  <w:tcW w:w="1893" w:type="dxa"/>
                  <w:tcBorders>
                    <w:top w:val="single" w:sz="4" w:space="0" w:color="auto"/>
                    <w:left w:val="single" w:sz="4" w:space="0" w:color="auto"/>
                    <w:bottom w:val="single" w:sz="4" w:space="0" w:color="auto"/>
                    <w:right w:val="single" w:sz="4" w:space="0" w:color="auto"/>
                  </w:tcBorders>
                  <w:shd w:val="clear" w:color="000000" w:fill="F7F7F7"/>
                  <w:noWrap/>
                  <w:vAlign w:val="center"/>
                  <w:hideMark/>
                </w:tcPr>
                <w:p w14:paraId="6B3771AE" w14:textId="77777777" w:rsidR="005E114B" w:rsidRPr="005E114B" w:rsidRDefault="005E114B" w:rsidP="005E114B">
                  <w:pPr>
                    <w:spacing w:line="293" w:lineRule="atLeast"/>
                    <w:rPr>
                      <w:rFonts w:eastAsia="Times New Roman" w:cs="Arial"/>
                      <w:color w:val="000000"/>
                      <w:sz w:val="16"/>
                      <w:szCs w:val="16"/>
                    </w:rPr>
                  </w:pPr>
                  <w:proofErr w:type="spellStart"/>
                  <w:r w:rsidRPr="005E114B">
                    <w:rPr>
                      <w:rFonts w:eastAsia="Times New Roman" w:cs="Arial"/>
                      <w:color w:val="000000"/>
                      <w:sz w:val="16"/>
                      <w:szCs w:val="16"/>
                    </w:rPr>
                    <w:t>Qtrly</w:t>
                  </w:r>
                  <w:proofErr w:type="spellEnd"/>
                  <w:r w:rsidRPr="005E114B">
                    <w:rPr>
                      <w:rFonts w:eastAsia="Times New Roman" w:cs="Arial"/>
                      <w:color w:val="000000"/>
                      <w:sz w:val="16"/>
                      <w:szCs w:val="16"/>
                    </w:rPr>
                    <w:t xml:space="preserve"> Rev Growth (</w:t>
                  </w:r>
                  <w:proofErr w:type="spellStart"/>
                  <w:r w:rsidRPr="005E114B">
                    <w:rPr>
                      <w:rFonts w:eastAsia="Times New Roman" w:cs="Arial"/>
                      <w:color w:val="000000"/>
                      <w:sz w:val="16"/>
                      <w:szCs w:val="16"/>
                    </w:rPr>
                    <w:t>yoy</w:t>
                  </w:r>
                  <w:proofErr w:type="spellEnd"/>
                  <w:r w:rsidRPr="005E114B">
                    <w:rPr>
                      <w:rFonts w:eastAsia="Times New Roman" w:cs="Arial"/>
                      <w:color w:val="000000"/>
                      <w:sz w:val="16"/>
                      <w:szCs w:val="16"/>
                    </w:rPr>
                    <w:t>):</w:t>
                  </w:r>
                </w:p>
              </w:tc>
              <w:tc>
                <w:tcPr>
                  <w:tcW w:w="899" w:type="dxa"/>
                  <w:tcBorders>
                    <w:top w:val="nil"/>
                    <w:left w:val="nil"/>
                    <w:bottom w:val="single" w:sz="4" w:space="0" w:color="auto"/>
                    <w:right w:val="single" w:sz="4" w:space="0" w:color="auto"/>
                  </w:tcBorders>
                  <w:shd w:val="clear" w:color="000000" w:fill="FFFFFF"/>
                  <w:vAlign w:val="center"/>
                  <w:hideMark/>
                </w:tcPr>
                <w:p w14:paraId="491111E0"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0.26</w:t>
                  </w:r>
                </w:p>
              </w:tc>
              <w:tc>
                <w:tcPr>
                  <w:tcW w:w="899" w:type="dxa"/>
                  <w:tcBorders>
                    <w:top w:val="nil"/>
                    <w:left w:val="nil"/>
                    <w:bottom w:val="single" w:sz="4" w:space="0" w:color="auto"/>
                    <w:right w:val="single" w:sz="4" w:space="0" w:color="auto"/>
                  </w:tcBorders>
                  <w:shd w:val="clear" w:color="000000" w:fill="FFFFFF"/>
                  <w:vAlign w:val="center"/>
                  <w:hideMark/>
                </w:tcPr>
                <w:p w14:paraId="2EE7AD58"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0.06</w:t>
                  </w:r>
                </w:p>
              </w:tc>
              <w:tc>
                <w:tcPr>
                  <w:tcW w:w="899" w:type="dxa"/>
                  <w:tcBorders>
                    <w:top w:val="nil"/>
                    <w:left w:val="nil"/>
                    <w:bottom w:val="single" w:sz="4" w:space="0" w:color="auto"/>
                    <w:right w:val="single" w:sz="4" w:space="0" w:color="auto"/>
                  </w:tcBorders>
                  <w:shd w:val="clear" w:color="000000" w:fill="FFFFFF"/>
                  <w:vAlign w:val="center"/>
                  <w:hideMark/>
                </w:tcPr>
                <w:p w14:paraId="08F1E330"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-0.07</w:t>
                  </w:r>
                </w:p>
              </w:tc>
              <w:tc>
                <w:tcPr>
                  <w:tcW w:w="1031" w:type="dxa"/>
                  <w:tcBorders>
                    <w:top w:val="nil"/>
                    <w:left w:val="nil"/>
                    <w:bottom w:val="single" w:sz="4" w:space="0" w:color="auto"/>
                    <w:right w:val="single" w:sz="4" w:space="0" w:color="auto"/>
                  </w:tcBorders>
                  <w:shd w:val="clear" w:color="000000" w:fill="FFFFFF"/>
                  <w:vAlign w:val="center"/>
                  <w:hideMark/>
                </w:tcPr>
                <w:p w14:paraId="42A55039"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0.89</w:t>
                  </w:r>
                </w:p>
              </w:tc>
            </w:tr>
            <w:tr w:rsidR="005E114B" w:rsidRPr="005E114B" w14:paraId="0A508D9A" w14:textId="77777777" w:rsidTr="005E114B">
              <w:trPr>
                <w:trHeight w:val="98"/>
              </w:trPr>
              <w:tc>
                <w:tcPr>
                  <w:tcW w:w="1893" w:type="dxa"/>
                  <w:tcBorders>
                    <w:top w:val="single" w:sz="4" w:space="0" w:color="auto"/>
                    <w:left w:val="single" w:sz="4" w:space="0" w:color="auto"/>
                    <w:bottom w:val="single" w:sz="4" w:space="0" w:color="auto"/>
                    <w:right w:val="single" w:sz="4" w:space="0" w:color="auto"/>
                  </w:tcBorders>
                  <w:shd w:val="clear" w:color="000000" w:fill="F7F7F7"/>
                  <w:noWrap/>
                  <w:vAlign w:val="center"/>
                  <w:hideMark/>
                </w:tcPr>
                <w:p w14:paraId="3132F2A8" w14:textId="77777777" w:rsidR="005E114B" w:rsidRPr="005E114B" w:rsidRDefault="005E114B" w:rsidP="005E114B">
                  <w:pPr>
                    <w:spacing w:line="293" w:lineRule="atLeast"/>
                    <w:rPr>
                      <w:rFonts w:eastAsia="Times New Roman" w:cs="Arial"/>
                      <w:color w:val="000000"/>
                      <w:sz w:val="16"/>
                      <w:szCs w:val="16"/>
                    </w:rPr>
                  </w:pPr>
                  <w:r w:rsidRPr="005E114B">
                    <w:rPr>
                      <w:rFonts w:eastAsia="Times New Roman" w:cs="Arial"/>
                      <w:color w:val="000000"/>
                      <w:sz w:val="16"/>
                      <w:szCs w:val="16"/>
                    </w:rPr>
                    <w:t>Revenue (</w:t>
                  </w:r>
                  <w:proofErr w:type="spellStart"/>
                  <w:r w:rsidRPr="005E114B">
                    <w:rPr>
                      <w:rFonts w:eastAsia="Times New Roman" w:cs="Arial"/>
                      <w:color w:val="000000"/>
                      <w:sz w:val="16"/>
                      <w:szCs w:val="16"/>
                    </w:rPr>
                    <w:t>ttm</w:t>
                  </w:r>
                  <w:proofErr w:type="spellEnd"/>
                  <w:r w:rsidRPr="005E114B">
                    <w:rPr>
                      <w:rFonts w:eastAsia="Times New Roman" w:cs="Arial"/>
                      <w:color w:val="000000"/>
                      <w:sz w:val="16"/>
                      <w:szCs w:val="16"/>
                    </w:rPr>
                    <w:t>):</w:t>
                  </w:r>
                </w:p>
              </w:tc>
              <w:tc>
                <w:tcPr>
                  <w:tcW w:w="899" w:type="dxa"/>
                  <w:tcBorders>
                    <w:top w:val="nil"/>
                    <w:left w:val="nil"/>
                    <w:bottom w:val="single" w:sz="4" w:space="0" w:color="auto"/>
                    <w:right w:val="single" w:sz="4" w:space="0" w:color="auto"/>
                  </w:tcBorders>
                  <w:shd w:val="clear" w:color="000000" w:fill="FFFFFF"/>
                  <w:vAlign w:val="center"/>
                  <w:hideMark/>
                </w:tcPr>
                <w:p w14:paraId="0A93F78B"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29.19B</w:t>
                  </w:r>
                </w:p>
              </w:tc>
              <w:tc>
                <w:tcPr>
                  <w:tcW w:w="899" w:type="dxa"/>
                  <w:tcBorders>
                    <w:top w:val="nil"/>
                    <w:left w:val="nil"/>
                    <w:bottom w:val="single" w:sz="4" w:space="0" w:color="auto"/>
                    <w:right w:val="single" w:sz="4" w:space="0" w:color="auto"/>
                  </w:tcBorders>
                  <w:shd w:val="clear" w:color="000000" w:fill="FFFFFF"/>
                  <w:vAlign w:val="center"/>
                  <w:hideMark/>
                </w:tcPr>
                <w:p w14:paraId="698C412C"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36.11B</w:t>
                  </w:r>
                </w:p>
              </w:tc>
              <w:tc>
                <w:tcPr>
                  <w:tcW w:w="899" w:type="dxa"/>
                  <w:tcBorders>
                    <w:top w:val="nil"/>
                    <w:left w:val="nil"/>
                    <w:bottom w:val="single" w:sz="4" w:space="0" w:color="auto"/>
                    <w:right w:val="single" w:sz="4" w:space="0" w:color="auto"/>
                  </w:tcBorders>
                  <w:shd w:val="clear" w:color="000000" w:fill="FFFFFF"/>
                  <w:vAlign w:val="center"/>
                  <w:hideMark/>
                </w:tcPr>
                <w:p w14:paraId="44AD1F3C"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48.20B</w:t>
                  </w:r>
                </w:p>
              </w:tc>
              <w:tc>
                <w:tcPr>
                  <w:tcW w:w="1031" w:type="dxa"/>
                  <w:tcBorders>
                    <w:top w:val="nil"/>
                    <w:left w:val="nil"/>
                    <w:bottom w:val="single" w:sz="4" w:space="0" w:color="auto"/>
                    <w:right w:val="single" w:sz="4" w:space="0" w:color="auto"/>
                  </w:tcBorders>
                  <w:shd w:val="clear" w:color="000000" w:fill="FFFFFF"/>
                  <w:vAlign w:val="center"/>
                  <w:hideMark/>
                </w:tcPr>
                <w:p w14:paraId="40940A01"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6.34M</w:t>
                  </w:r>
                </w:p>
              </w:tc>
            </w:tr>
            <w:tr w:rsidR="005E114B" w:rsidRPr="005E114B" w14:paraId="2F36B4D9" w14:textId="77777777" w:rsidTr="005E114B">
              <w:trPr>
                <w:trHeight w:val="152"/>
              </w:trPr>
              <w:tc>
                <w:tcPr>
                  <w:tcW w:w="1893" w:type="dxa"/>
                  <w:tcBorders>
                    <w:top w:val="single" w:sz="4" w:space="0" w:color="auto"/>
                    <w:left w:val="single" w:sz="4" w:space="0" w:color="auto"/>
                    <w:bottom w:val="single" w:sz="4" w:space="0" w:color="auto"/>
                    <w:right w:val="single" w:sz="4" w:space="0" w:color="auto"/>
                  </w:tcBorders>
                  <w:shd w:val="clear" w:color="000000" w:fill="F7F7F7"/>
                  <w:noWrap/>
                  <w:vAlign w:val="center"/>
                  <w:hideMark/>
                </w:tcPr>
                <w:p w14:paraId="4F54FA20" w14:textId="77777777" w:rsidR="005E114B" w:rsidRPr="005E114B" w:rsidRDefault="005E114B" w:rsidP="005E114B">
                  <w:pPr>
                    <w:spacing w:line="293" w:lineRule="atLeast"/>
                    <w:rPr>
                      <w:rFonts w:eastAsia="Times New Roman" w:cs="Arial"/>
                      <w:color w:val="000000"/>
                      <w:sz w:val="16"/>
                      <w:szCs w:val="16"/>
                    </w:rPr>
                  </w:pPr>
                  <w:r w:rsidRPr="005E114B">
                    <w:rPr>
                      <w:rFonts w:eastAsia="Times New Roman" w:cs="Arial"/>
                      <w:color w:val="000000"/>
                      <w:sz w:val="16"/>
                      <w:szCs w:val="16"/>
                    </w:rPr>
                    <w:t>Gross Margin (</w:t>
                  </w:r>
                  <w:proofErr w:type="spellStart"/>
                  <w:r w:rsidRPr="005E114B">
                    <w:rPr>
                      <w:rFonts w:eastAsia="Times New Roman" w:cs="Arial"/>
                      <w:color w:val="000000"/>
                      <w:sz w:val="16"/>
                      <w:szCs w:val="16"/>
                    </w:rPr>
                    <w:t>ttm</w:t>
                  </w:r>
                  <w:proofErr w:type="spellEnd"/>
                  <w:r w:rsidRPr="005E114B">
                    <w:rPr>
                      <w:rFonts w:eastAsia="Times New Roman" w:cs="Arial"/>
                      <w:color w:val="000000"/>
                      <w:sz w:val="16"/>
                      <w:szCs w:val="16"/>
                    </w:rPr>
                    <w:t>):</w:t>
                  </w:r>
                </w:p>
              </w:tc>
              <w:tc>
                <w:tcPr>
                  <w:tcW w:w="899" w:type="dxa"/>
                  <w:tcBorders>
                    <w:top w:val="nil"/>
                    <w:left w:val="nil"/>
                    <w:bottom w:val="single" w:sz="4" w:space="0" w:color="auto"/>
                    <w:right w:val="single" w:sz="4" w:space="0" w:color="auto"/>
                  </w:tcBorders>
                  <w:shd w:val="clear" w:color="000000" w:fill="FFFFFF"/>
                  <w:vAlign w:val="center"/>
                  <w:hideMark/>
                </w:tcPr>
                <w:p w14:paraId="0A0C8BC6"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0.87</w:t>
                  </w:r>
                </w:p>
              </w:tc>
              <w:tc>
                <w:tcPr>
                  <w:tcW w:w="899" w:type="dxa"/>
                  <w:tcBorders>
                    <w:top w:val="nil"/>
                    <w:left w:val="nil"/>
                    <w:bottom w:val="single" w:sz="4" w:space="0" w:color="auto"/>
                    <w:right w:val="single" w:sz="4" w:space="0" w:color="auto"/>
                  </w:tcBorders>
                  <w:shd w:val="clear" w:color="000000" w:fill="FFFFFF"/>
                  <w:vAlign w:val="center"/>
                  <w:hideMark/>
                </w:tcPr>
                <w:p w14:paraId="1E5ADEDB"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0.68</w:t>
                  </w:r>
                </w:p>
              </w:tc>
              <w:tc>
                <w:tcPr>
                  <w:tcW w:w="899" w:type="dxa"/>
                  <w:tcBorders>
                    <w:top w:val="nil"/>
                    <w:left w:val="nil"/>
                    <w:bottom w:val="single" w:sz="4" w:space="0" w:color="auto"/>
                    <w:right w:val="single" w:sz="4" w:space="0" w:color="auto"/>
                  </w:tcBorders>
                  <w:shd w:val="clear" w:color="000000" w:fill="FFFFFF"/>
                  <w:vAlign w:val="center"/>
                  <w:hideMark/>
                </w:tcPr>
                <w:p w14:paraId="1F244CAE"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0.82</w:t>
                  </w:r>
                </w:p>
              </w:tc>
              <w:tc>
                <w:tcPr>
                  <w:tcW w:w="1031" w:type="dxa"/>
                  <w:tcBorders>
                    <w:top w:val="nil"/>
                    <w:left w:val="nil"/>
                    <w:bottom w:val="single" w:sz="4" w:space="0" w:color="auto"/>
                    <w:right w:val="single" w:sz="4" w:space="0" w:color="auto"/>
                  </w:tcBorders>
                  <w:shd w:val="clear" w:color="000000" w:fill="FFFFFF"/>
                  <w:vAlign w:val="center"/>
                  <w:hideMark/>
                </w:tcPr>
                <w:p w14:paraId="4E9E6FE0"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0.59</w:t>
                  </w:r>
                </w:p>
              </w:tc>
            </w:tr>
            <w:tr w:rsidR="005E114B" w:rsidRPr="005E114B" w14:paraId="3E6FE234" w14:textId="77777777" w:rsidTr="005E114B">
              <w:trPr>
                <w:trHeight w:val="215"/>
              </w:trPr>
              <w:tc>
                <w:tcPr>
                  <w:tcW w:w="1893" w:type="dxa"/>
                  <w:tcBorders>
                    <w:top w:val="single" w:sz="4" w:space="0" w:color="auto"/>
                    <w:left w:val="single" w:sz="4" w:space="0" w:color="auto"/>
                    <w:bottom w:val="single" w:sz="4" w:space="0" w:color="auto"/>
                    <w:right w:val="single" w:sz="4" w:space="0" w:color="auto"/>
                  </w:tcBorders>
                  <w:shd w:val="clear" w:color="000000" w:fill="F7F7F7"/>
                  <w:noWrap/>
                  <w:vAlign w:val="center"/>
                  <w:hideMark/>
                </w:tcPr>
                <w:p w14:paraId="60C4C5D1" w14:textId="77777777" w:rsidR="005E114B" w:rsidRPr="005E114B" w:rsidRDefault="005E114B" w:rsidP="005E114B">
                  <w:pPr>
                    <w:spacing w:line="293" w:lineRule="atLeast"/>
                    <w:rPr>
                      <w:rFonts w:eastAsia="Times New Roman" w:cs="Arial"/>
                      <w:color w:val="000000"/>
                      <w:sz w:val="16"/>
                      <w:szCs w:val="16"/>
                    </w:rPr>
                  </w:pPr>
                  <w:r w:rsidRPr="005E114B">
                    <w:rPr>
                      <w:rFonts w:eastAsia="Times New Roman" w:cs="Arial"/>
                      <w:color w:val="000000"/>
                      <w:sz w:val="16"/>
                      <w:szCs w:val="16"/>
                    </w:rPr>
                    <w:t>EBITDA (</w:t>
                  </w:r>
                  <w:proofErr w:type="spellStart"/>
                  <w:r w:rsidRPr="005E114B">
                    <w:rPr>
                      <w:rFonts w:eastAsia="Times New Roman" w:cs="Arial"/>
                      <w:color w:val="000000"/>
                      <w:sz w:val="16"/>
                      <w:szCs w:val="16"/>
                    </w:rPr>
                    <w:t>ttm</w:t>
                  </w:r>
                  <w:proofErr w:type="spellEnd"/>
                  <w:r w:rsidRPr="005E114B">
                    <w:rPr>
                      <w:rFonts w:eastAsia="Times New Roman" w:cs="Arial"/>
                      <w:color w:val="000000"/>
                      <w:sz w:val="16"/>
                      <w:szCs w:val="16"/>
                    </w:rPr>
                    <w:t>):</w:t>
                  </w:r>
                </w:p>
              </w:tc>
              <w:tc>
                <w:tcPr>
                  <w:tcW w:w="899" w:type="dxa"/>
                  <w:tcBorders>
                    <w:top w:val="nil"/>
                    <w:left w:val="nil"/>
                    <w:bottom w:val="single" w:sz="4" w:space="0" w:color="auto"/>
                    <w:right w:val="single" w:sz="4" w:space="0" w:color="auto"/>
                  </w:tcBorders>
                  <w:shd w:val="clear" w:color="000000" w:fill="FFFFFF"/>
                  <w:vAlign w:val="center"/>
                  <w:hideMark/>
                </w:tcPr>
                <w:p w14:paraId="77E5CCB9"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20.32B</w:t>
                  </w:r>
                </w:p>
              </w:tc>
              <w:tc>
                <w:tcPr>
                  <w:tcW w:w="899" w:type="dxa"/>
                  <w:tcBorders>
                    <w:top w:val="nil"/>
                    <w:left w:val="nil"/>
                    <w:bottom w:val="single" w:sz="4" w:space="0" w:color="auto"/>
                    <w:right w:val="single" w:sz="4" w:space="0" w:color="auto"/>
                  </w:tcBorders>
                  <w:shd w:val="clear" w:color="000000" w:fill="FFFFFF"/>
                  <w:vAlign w:val="center"/>
                  <w:hideMark/>
                </w:tcPr>
                <w:p w14:paraId="45EBC154"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10.21B</w:t>
                  </w:r>
                </w:p>
              </w:tc>
              <w:tc>
                <w:tcPr>
                  <w:tcW w:w="899" w:type="dxa"/>
                  <w:tcBorders>
                    <w:top w:val="nil"/>
                    <w:left w:val="nil"/>
                    <w:bottom w:val="single" w:sz="4" w:space="0" w:color="auto"/>
                    <w:right w:val="single" w:sz="4" w:space="0" w:color="auto"/>
                  </w:tcBorders>
                  <w:shd w:val="clear" w:color="000000" w:fill="FFFFFF"/>
                  <w:vAlign w:val="center"/>
                  <w:hideMark/>
                </w:tcPr>
                <w:p w14:paraId="0064918E"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19.61B</w:t>
                  </w:r>
                </w:p>
              </w:tc>
              <w:tc>
                <w:tcPr>
                  <w:tcW w:w="1031" w:type="dxa"/>
                  <w:tcBorders>
                    <w:top w:val="nil"/>
                    <w:left w:val="nil"/>
                    <w:bottom w:val="single" w:sz="4" w:space="0" w:color="auto"/>
                    <w:right w:val="single" w:sz="4" w:space="0" w:color="auto"/>
                  </w:tcBorders>
                  <w:shd w:val="clear" w:color="000000" w:fill="FFFFFF"/>
                  <w:vAlign w:val="center"/>
                  <w:hideMark/>
                </w:tcPr>
                <w:p w14:paraId="2D30A67D"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-5.56M</w:t>
                  </w:r>
                </w:p>
              </w:tc>
            </w:tr>
            <w:tr w:rsidR="005E114B" w:rsidRPr="005E114B" w14:paraId="4F33E55F" w14:textId="77777777" w:rsidTr="005E114B">
              <w:trPr>
                <w:trHeight w:val="98"/>
              </w:trPr>
              <w:tc>
                <w:tcPr>
                  <w:tcW w:w="1893" w:type="dxa"/>
                  <w:tcBorders>
                    <w:top w:val="single" w:sz="4" w:space="0" w:color="auto"/>
                    <w:left w:val="single" w:sz="4" w:space="0" w:color="auto"/>
                    <w:bottom w:val="single" w:sz="4" w:space="0" w:color="auto"/>
                    <w:right w:val="single" w:sz="4" w:space="0" w:color="auto"/>
                  </w:tcBorders>
                  <w:shd w:val="clear" w:color="000000" w:fill="F7F7F7"/>
                  <w:noWrap/>
                  <w:vAlign w:val="center"/>
                  <w:hideMark/>
                </w:tcPr>
                <w:p w14:paraId="6545B01E" w14:textId="77777777" w:rsidR="005E114B" w:rsidRPr="005E114B" w:rsidRDefault="005E114B" w:rsidP="005E114B">
                  <w:pPr>
                    <w:spacing w:line="293" w:lineRule="atLeast"/>
                    <w:rPr>
                      <w:rFonts w:eastAsia="Times New Roman" w:cs="Arial"/>
                      <w:color w:val="000000"/>
                      <w:sz w:val="16"/>
                      <w:szCs w:val="16"/>
                    </w:rPr>
                  </w:pPr>
                  <w:r w:rsidRPr="005E114B">
                    <w:rPr>
                      <w:rFonts w:eastAsia="Times New Roman" w:cs="Arial"/>
                      <w:color w:val="000000"/>
                      <w:sz w:val="16"/>
                      <w:szCs w:val="16"/>
                    </w:rPr>
                    <w:t>Operating Margin (</w:t>
                  </w:r>
                  <w:proofErr w:type="spellStart"/>
                  <w:r w:rsidRPr="005E114B">
                    <w:rPr>
                      <w:rFonts w:eastAsia="Times New Roman" w:cs="Arial"/>
                      <w:color w:val="000000"/>
                      <w:sz w:val="16"/>
                      <w:szCs w:val="16"/>
                    </w:rPr>
                    <w:t>ttm</w:t>
                  </w:r>
                  <w:proofErr w:type="spellEnd"/>
                  <w:r w:rsidRPr="005E114B">
                    <w:rPr>
                      <w:rFonts w:eastAsia="Times New Roman" w:cs="Arial"/>
                      <w:color w:val="000000"/>
                      <w:sz w:val="16"/>
                      <w:szCs w:val="16"/>
                    </w:rPr>
                    <w:t>):</w:t>
                  </w:r>
                </w:p>
              </w:tc>
              <w:tc>
                <w:tcPr>
                  <w:tcW w:w="899" w:type="dxa"/>
                  <w:tcBorders>
                    <w:top w:val="nil"/>
                    <w:left w:val="nil"/>
                    <w:bottom w:val="single" w:sz="4" w:space="0" w:color="auto"/>
                    <w:right w:val="single" w:sz="4" w:space="0" w:color="auto"/>
                  </w:tcBorders>
                  <w:shd w:val="clear" w:color="000000" w:fill="FFFFFF"/>
                  <w:vAlign w:val="center"/>
                  <w:hideMark/>
                </w:tcPr>
                <w:p w14:paraId="3D8256D3"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0.66</w:t>
                  </w:r>
                </w:p>
              </w:tc>
              <w:tc>
                <w:tcPr>
                  <w:tcW w:w="899" w:type="dxa"/>
                  <w:tcBorders>
                    <w:top w:val="nil"/>
                    <w:left w:val="nil"/>
                    <w:bottom w:val="single" w:sz="4" w:space="0" w:color="auto"/>
                    <w:right w:val="single" w:sz="4" w:space="0" w:color="auto"/>
                  </w:tcBorders>
                  <w:shd w:val="clear" w:color="000000" w:fill="FFFFFF"/>
                  <w:vAlign w:val="center"/>
                  <w:hideMark/>
                </w:tcPr>
                <w:p w14:paraId="4C49B405"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0.22</w:t>
                  </w:r>
                </w:p>
              </w:tc>
              <w:tc>
                <w:tcPr>
                  <w:tcW w:w="899" w:type="dxa"/>
                  <w:tcBorders>
                    <w:top w:val="nil"/>
                    <w:left w:val="nil"/>
                    <w:bottom w:val="single" w:sz="4" w:space="0" w:color="auto"/>
                    <w:right w:val="single" w:sz="4" w:space="0" w:color="auto"/>
                  </w:tcBorders>
                  <w:shd w:val="clear" w:color="000000" w:fill="FFFFFF"/>
                  <w:vAlign w:val="center"/>
                  <w:hideMark/>
                </w:tcPr>
                <w:p w14:paraId="428BF5B7"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0.3</w:t>
                  </w:r>
                </w:p>
              </w:tc>
              <w:tc>
                <w:tcPr>
                  <w:tcW w:w="1031" w:type="dxa"/>
                  <w:tcBorders>
                    <w:top w:val="nil"/>
                    <w:left w:val="nil"/>
                    <w:bottom w:val="single" w:sz="4" w:space="0" w:color="auto"/>
                    <w:right w:val="single" w:sz="4" w:space="0" w:color="auto"/>
                  </w:tcBorders>
                  <w:shd w:val="clear" w:color="000000" w:fill="FFFFFF"/>
                  <w:vAlign w:val="center"/>
                  <w:hideMark/>
                </w:tcPr>
                <w:p w14:paraId="0E5E356A"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-1.29</w:t>
                  </w:r>
                </w:p>
              </w:tc>
            </w:tr>
            <w:tr w:rsidR="005E114B" w:rsidRPr="005E114B" w14:paraId="570BE482" w14:textId="77777777" w:rsidTr="005E114B">
              <w:trPr>
                <w:trHeight w:val="152"/>
              </w:trPr>
              <w:tc>
                <w:tcPr>
                  <w:tcW w:w="1893" w:type="dxa"/>
                  <w:tcBorders>
                    <w:top w:val="single" w:sz="4" w:space="0" w:color="auto"/>
                    <w:left w:val="single" w:sz="4" w:space="0" w:color="auto"/>
                    <w:bottom w:val="single" w:sz="4" w:space="0" w:color="auto"/>
                    <w:right w:val="single" w:sz="4" w:space="0" w:color="auto"/>
                  </w:tcBorders>
                  <w:shd w:val="clear" w:color="000000" w:fill="F7F7F7"/>
                  <w:noWrap/>
                  <w:vAlign w:val="center"/>
                  <w:hideMark/>
                </w:tcPr>
                <w:p w14:paraId="14F33A64" w14:textId="77777777" w:rsidR="005E114B" w:rsidRPr="005E114B" w:rsidRDefault="005E114B" w:rsidP="005E114B">
                  <w:pPr>
                    <w:spacing w:line="293" w:lineRule="atLeast"/>
                    <w:rPr>
                      <w:rFonts w:eastAsia="Times New Roman" w:cs="Arial"/>
                      <w:color w:val="000000"/>
                      <w:sz w:val="16"/>
                      <w:szCs w:val="16"/>
                    </w:rPr>
                  </w:pPr>
                  <w:r w:rsidRPr="005E114B">
                    <w:rPr>
                      <w:rFonts w:eastAsia="Times New Roman" w:cs="Arial"/>
                      <w:color w:val="000000"/>
                      <w:sz w:val="16"/>
                      <w:szCs w:val="16"/>
                    </w:rPr>
                    <w:t>Net Income (</w:t>
                  </w:r>
                  <w:proofErr w:type="spellStart"/>
                  <w:r w:rsidRPr="005E114B">
                    <w:rPr>
                      <w:rFonts w:eastAsia="Times New Roman" w:cs="Arial"/>
                      <w:color w:val="000000"/>
                      <w:sz w:val="16"/>
                      <w:szCs w:val="16"/>
                    </w:rPr>
                    <w:t>ttm</w:t>
                  </w:r>
                  <w:proofErr w:type="spellEnd"/>
                  <w:r w:rsidRPr="005E114B">
                    <w:rPr>
                      <w:rFonts w:eastAsia="Times New Roman" w:cs="Arial"/>
                      <w:color w:val="000000"/>
                      <w:sz w:val="16"/>
                      <w:szCs w:val="16"/>
                    </w:rPr>
                    <w:t>):</w:t>
                  </w:r>
                </w:p>
              </w:tc>
              <w:tc>
                <w:tcPr>
                  <w:tcW w:w="899" w:type="dxa"/>
                  <w:tcBorders>
                    <w:top w:val="nil"/>
                    <w:left w:val="nil"/>
                    <w:bottom w:val="single" w:sz="4" w:space="0" w:color="auto"/>
                    <w:right w:val="single" w:sz="4" w:space="0" w:color="auto"/>
                  </w:tcBorders>
                  <w:shd w:val="clear" w:color="000000" w:fill="FFFFFF"/>
                  <w:vAlign w:val="center"/>
                  <w:hideMark/>
                </w:tcPr>
                <w:p w14:paraId="5213CFBD"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15.04B</w:t>
                  </w:r>
                </w:p>
              </w:tc>
              <w:tc>
                <w:tcPr>
                  <w:tcW w:w="899" w:type="dxa"/>
                  <w:tcBorders>
                    <w:top w:val="nil"/>
                    <w:left w:val="nil"/>
                    <w:bottom w:val="single" w:sz="4" w:space="0" w:color="auto"/>
                    <w:right w:val="single" w:sz="4" w:space="0" w:color="auto"/>
                  </w:tcBorders>
                  <w:shd w:val="clear" w:color="000000" w:fill="FFFFFF"/>
                  <w:vAlign w:val="center"/>
                  <w:hideMark/>
                </w:tcPr>
                <w:p w14:paraId="5D157574"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14.96B</w:t>
                  </w:r>
                </w:p>
              </w:tc>
              <w:tc>
                <w:tcPr>
                  <w:tcW w:w="899" w:type="dxa"/>
                  <w:tcBorders>
                    <w:top w:val="nil"/>
                    <w:left w:val="nil"/>
                    <w:bottom w:val="single" w:sz="4" w:space="0" w:color="auto"/>
                    <w:right w:val="single" w:sz="4" w:space="0" w:color="auto"/>
                  </w:tcBorders>
                  <w:shd w:val="clear" w:color="000000" w:fill="FFFFFF"/>
                  <w:vAlign w:val="center"/>
                  <w:hideMark/>
                </w:tcPr>
                <w:p w14:paraId="1B47BD48"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8.91B</w:t>
                  </w:r>
                </w:p>
              </w:tc>
              <w:tc>
                <w:tcPr>
                  <w:tcW w:w="1031" w:type="dxa"/>
                  <w:tcBorders>
                    <w:top w:val="nil"/>
                    <w:left w:val="nil"/>
                    <w:bottom w:val="single" w:sz="4" w:space="0" w:color="auto"/>
                    <w:right w:val="single" w:sz="4" w:space="0" w:color="auto"/>
                  </w:tcBorders>
                  <w:shd w:val="clear" w:color="000000" w:fill="FFFFFF"/>
                  <w:vAlign w:val="center"/>
                  <w:hideMark/>
                </w:tcPr>
                <w:p w14:paraId="2A353A57"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N/A</w:t>
                  </w:r>
                </w:p>
              </w:tc>
            </w:tr>
            <w:tr w:rsidR="005E114B" w:rsidRPr="005E114B" w14:paraId="1E11C5F9" w14:textId="77777777" w:rsidTr="005E114B">
              <w:trPr>
                <w:trHeight w:val="107"/>
              </w:trPr>
              <w:tc>
                <w:tcPr>
                  <w:tcW w:w="1893" w:type="dxa"/>
                  <w:tcBorders>
                    <w:top w:val="single" w:sz="4" w:space="0" w:color="auto"/>
                    <w:left w:val="single" w:sz="4" w:space="0" w:color="auto"/>
                    <w:bottom w:val="single" w:sz="4" w:space="0" w:color="auto"/>
                    <w:right w:val="single" w:sz="4" w:space="0" w:color="auto"/>
                  </w:tcBorders>
                  <w:shd w:val="clear" w:color="000000" w:fill="F7F7F7"/>
                  <w:noWrap/>
                  <w:vAlign w:val="center"/>
                  <w:hideMark/>
                </w:tcPr>
                <w:p w14:paraId="7E4A454F" w14:textId="77777777" w:rsidR="005E114B" w:rsidRPr="005E114B" w:rsidRDefault="005E114B" w:rsidP="005E114B">
                  <w:pPr>
                    <w:spacing w:line="293" w:lineRule="atLeast"/>
                    <w:rPr>
                      <w:rFonts w:eastAsia="Times New Roman" w:cs="Arial"/>
                      <w:color w:val="000000"/>
                      <w:sz w:val="16"/>
                      <w:szCs w:val="16"/>
                    </w:rPr>
                  </w:pPr>
                  <w:r w:rsidRPr="005E114B">
                    <w:rPr>
                      <w:rFonts w:eastAsia="Times New Roman" w:cs="Arial"/>
                      <w:color w:val="000000"/>
                      <w:sz w:val="16"/>
                      <w:szCs w:val="16"/>
                    </w:rPr>
                    <w:t>EPS (</w:t>
                  </w:r>
                  <w:proofErr w:type="spellStart"/>
                  <w:r w:rsidRPr="005E114B">
                    <w:rPr>
                      <w:rFonts w:eastAsia="Times New Roman" w:cs="Arial"/>
                      <w:color w:val="000000"/>
                      <w:sz w:val="16"/>
                      <w:szCs w:val="16"/>
                    </w:rPr>
                    <w:t>ttm</w:t>
                  </w:r>
                  <w:proofErr w:type="spellEnd"/>
                  <w:r w:rsidRPr="005E114B">
                    <w:rPr>
                      <w:rFonts w:eastAsia="Times New Roman" w:cs="Arial"/>
                      <w:color w:val="000000"/>
                      <w:sz w:val="16"/>
                      <w:szCs w:val="16"/>
                    </w:rPr>
                    <w:t>):</w:t>
                  </w:r>
                </w:p>
              </w:tc>
              <w:tc>
                <w:tcPr>
                  <w:tcW w:w="899" w:type="dxa"/>
                  <w:tcBorders>
                    <w:top w:val="nil"/>
                    <w:left w:val="nil"/>
                    <w:bottom w:val="single" w:sz="4" w:space="0" w:color="auto"/>
                    <w:right w:val="single" w:sz="4" w:space="0" w:color="auto"/>
                  </w:tcBorders>
                  <w:shd w:val="clear" w:color="000000" w:fill="FFFFFF"/>
                  <w:vAlign w:val="center"/>
                  <w:hideMark/>
                </w:tcPr>
                <w:p w14:paraId="0251F219"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9.48</w:t>
                  </w:r>
                </w:p>
              </w:tc>
              <w:tc>
                <w:tcPr>
                  <w:tcW w:w="899" w:type="dxa"/>
                  <w:tcBorders>
                    <w:top w:val="nil"/>
                    <w:left w:val="nil"/>
                    <w:bottom w:val="single" w:sz="4" w:space="0" w:color="auto"/>
                    <w:right w:val="single" w:sz="4" w:space="0" w:color="auto"/>
                  </w:tcBorders>
                  <w:shd w:val="clear" w:color="000000" w:fill="FFFFFF"/>
                  <w:vAlign w:val="center"/>
                  <w:hideMark/>
                </w:tcPr>
                <w:p w14:paraId="1CC14914"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6.15</w:t>
                  </w:r>
                </w:p>
              </w:tc>
              <w:tc>
                <w:tcPr>
                  <w:tcW w:w="899" w:type="dxa"/>
                  <w:tcBorders>
                    <w:top w:val="nil"/>
                    <w:left w:val="nil"/>
                    <w:bottom w:val="single" w:sz="4" w:space="0" w:color="auto"/>
                    <w:right w:val="single" w:sz="4" w:space="0" w:color="auto"/>
                  </w:tcBorders>
                  <w:shd w:val="clear" w:color="000000" w:fill="FFFFFF"/>
                  <w:vAlign w:val="center"/>
                  <w:hideMark/>
                </w:tcPr>
                <w:p w14:paraId="3E1D4D40"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1.41</w:t>
                  </w:r>
                </w:p>
              </w:tc>
              <w:tc>
                <w:tcPr>
                  <w:tcW w:w="1031" w:type="dxa"/>
                  <w:tcBorders>
                    <w:top w:val="nil"/>
                    <w:left w:val="nil"/>
                    <w:bottom w:val="single" w:sz="4" w:space="0" w:color="auto"/>
                    <w:right w:val="single" w:sz="4" w:space="0" w:color="auto"/>
                  </w:tcBorders>
                  <w:shd w:val="clear" w:color="000000" w:fill="FFFFFF"/>
                  <w:vAlign w:val="center"/>
                  <w:hideMark/>
                </w:tcPr>
                <w:p w14:paraId="05295796"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N/A</w:t>
                  </w:r>
                </w:p>
              </w:tc>
            </w:tr>
            <w:tr w:rsidR="005E114B" w:rsidRPr="005E114B" w14:paraId="5C732249" w14:textId="77777777" w:rsidTr="005E114B">
              <w:trPr>
                <w:trHeight w:val="312"/>
              </w:trPr>
              <w:tc>
                <w:tcPr>
                  <w:tcW w:w="1893" w:type="dxa"/>
                  <w:tcBorders>
                    <w:top w:val="single" w:sz="4" w:space="0" w:color="auto"/>
                    <w:left w:val="single" w:sz="4" w:space="0" w:color="auto"/>
                    <w:bottom w:val="single" w:sz="4" w:space="0" w:color="auto"/>
                    <w:right w:val="single" w:sz="4" w:space="0" w:color="auto"/>
                  </w:tcBorders>
                  <w:shd w:val="clear" w:color="000000" w:fill="F7F7F7"/>
                  <w:noWrap/>
                  <w:vAlign w:val="center"/>
                  <w:hideMark/>
                </w:tcPr>
                <w:p w14:paraId="2AE4A8F1" w14:textId="77777777" w:rsidR="005E114B" w:rsidRPr="005E114B" w:rsidRDefault="005E114B" w:rsidP="005E114B">
                  <w:pPr>
                    <w:spacing w:line="293" w:lineRule="atLeast"/>
                    <w:rPr>
                      <w:rFonts w:eastAsia="Times New Roman" w:cs="Arial"/>
                      <w:color w:val="000000"/>
                      <w:sz w:val="16"/>
                      <w:szCs w:val="16"/>
                    </w:rPr>
                  </w:pPr>
                  <w:r w:rsidRPr="005E114B">
                    <w:rPr>
                      <w:rFonts w:eastAsia="Times New Roman" w:cs="Arial"/>
                      <w:color w:val="000000"/>
                      <w:sz w:val="16"/>
                      <w:szCs w:val="16"/>
                    </w:rPr>
                    <w:t>P/E (</w:t>
                  </w:r>
                  <w:proofErr w:type="spellStart"/>
                  <w:r w:rsidRPr="005E114B">
                    <w:rPr>
                      <w:rFonts w:eastAsia="Times New Roman" w:cs="Arial"/>
                      <w:color w:val="000000"/>
                      <w:sz w:val="16"/>
                      <w:szCs w:val="16"/>
                    </w:rPr>
                    <w:t>ttm</w:t>
                  </w:r>
                  <w:proofErr w:type="spellEnd"/>
                  <w:r w:rsidRPr="005E114B">
                    <w:rPr>
                      <w:rFonts w:eastAsia="Times New Roman" w:cs="Arial"/>
                      <w:color w:val="000000"/>
                      <w:sz w:val="16"/>
                      <w:szCs w:val="16"/>
                    </w:rPr>
                    <w:t>):</w:t>
                  </w:r>
                </w:p>
              </w:tc>
              <w:tc>
                <w:tcPr>
                  <w:tcW w:w="899" w:type="dxa"/>
                  <w:tcBorders>
                    <w:top w:val="nil"/>
                    <w:left w:val="nil"/>
                    <w:bottom w:val="single" w:sz="4" w:space="0" w:color="auto"/>
                    <w:right w:val="single" w:sz="4" w:space="0" w:color="auto"/>
                  </w:tcBorders>
                  <w:shd w:val="clear" w:color="000000" w:fill="FFFFFF"/>
                  <w:vAlign w:val="center"/>
                  <w:hideMark/>
                </w:tcPr>
                <w:p w14:paraId="2131E3F8" w14:textId="26E3AF8A" w:rsidR="005E114B" w:rsidRPr="005E114B" w:rsidRDefault="00A63E9D" w:rsidP="005E114B">
                  <w:pPr>
                    <w:spacing w:line="293" w:lineRule="atLeast"/>
                    <w:jc w:val="right"/>
                    <w:rPr>
                      <w:rFonts w:eastAsia="Times New Roman" w:cs="Arial"/>
                      <w:color w:val="000000"/>
                      <w:sz w:val="16"/>
                      <w:szCs w:val="16"/>
                    </w:rPr>
                  </w:pPr>
                  <w:r>
                    <w:rPr>
                      <w:rFonts w:eastAsia="Times New Roman" w:cs="Arial"/>
                      <w:color w:val="000000"/>
                      <w:sz w:val="16"/>
                      <w:szCs w:val="16"/>
                    </w:rPr>
                    <w:t>10.9</w:t>
                  </w:r>
                </w:p>
              </w:tc>
              <w:tc>
                <w:tcPr>
                  <w:tcW w:w="899" w:type="dxa"/>
                  <w:tcBorders>
                    <w:top w:val="nil"/>
                    <w:left w:val="nil"/>
                    <w:bottom w:val="single" w:sz="4" w:space="0" w:color="auto"/>
                    <w:right w:val="single" w:sz="4" w:space="0" w:color="auto"/>
                  </w:tcBorders>
                  <w:shd w:val="clear" w:color="000000" w:fill="FFFFFF"/>
                  <w:vAlign w:val="center"/>
                  <w:hideMark/>
                </w:tcPr>
                <w:p w14:paraId="12036056"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6.64</w:t>
                  </w:r>
                </w:p>
              </w:tc>
              <w:tc>
                <w:tcPr>
                  <w:tcW w:w="899" w:type="dxa"/>
                  <w:tcBorders>
                    <w:top w:val="nil"/>
                    <w:left w:val="nil"/>
                    <w:bottom w:val="single" w:sz="4" w:space="0" w:color="auto"/>
                    <w:right w:val="single" w:sz="4" w:space="0" w:color="auto"/>
                  </w:tcBorders>
                  <w:shd w:val="clear" w:color="000000" w:fill="FFFFFF"/>
                  <w:vAlign w:val="center"/>
                  <w:hideMark/>
                </w:tcPr>
                <w:p w14:paraId="26938269"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23.75</w:t>
                  </w:r>
                </w:p>
              </w:tc>
              <w:tc>
                <w:tcPr>
                  <w:tcW w:w="1031" w:type="dxa"/>
                  <w:tcBorders>
                    <w:top w:val="nil"/>
                    <w:left w:val="nil"/>
                    <w:bottom w:val="single" w:sz="4" w:space="0" w:color="auto"/>
                    <w:right w:val="single" w:sz="4" w:space="0" w:color="auto"/>
                  </w:tcBorders>
                  <w:shd w:val="clear" w:color="000000" w:fill="FFFFFF"/>
                  <w:vAlign w:val="center"/>
                  <w:hideMark/>
                </w:tcPr>
                <w:p w14:paraId="03FEAE58"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23.81</w:t>
                  </w:r>
                </w:p>
              </w:tc>
            </w:tr>
            <w:tr w:rsidR="005E114B" w:rsidRPr="005E114B" w14:paraId="60148A62" w14:textId="77777777" w:rsidTr="005E114B">
              <w:trPr>
                <w:trHeight w:val="312"/>
              </w:trPr>
              <w:tc>
                <w:tcPr>
                  <w:tcW w:w="1893" w:type="dxa"/>
                  <w:tcBorders>
                    <w:top w:val="single" w:sz="4" w:space="0" w:color="auto"/>
                    <w:left w:val="single" w:sz="4" w:space="0" w:color="auto"/>
                    <w:bottom w:val="single" w:sz="4" w:space="0" w:color="auto"/>
                    <w:right w:val="single" w:sz="4" w:space="0" w:color="auto"/>
                  </w:tcBorders>
                  <w:shd w:val="clear" w:color="000000" w:fill="F7F7F7"/>
                  <w:noWrap/>
                  <w:vAlign w:val="center"/>
                  <w:hideMark/>
                </w:tcPr>
                <w:p w14:paraId="47F72CD3" w14:textId="77777777" w:rsidR="005E114B" w:rsidRPr="005E114B" w:rsidRDefault="005E114B" w:rsidP="005E114B">
                  <w:pPr>
                    <w:spacing w:line="293" w:lineRule="atLeast"/>
                    <w:rPr>
                      <w:rFonts w:eastAsia="Times New Roman" w:cs="Arial"/>
                      <w:color w:val="000000"/>
                      <w:sz w:val="16"/>
                      <w:szCs w:val="16"/>
                    </w:rPr>
                  </w:pPr>
                  <w:r w:rsidRPr="005E114B">
                    <w:rPr>
                      <w:rFonts w:eastAsia="Times New Roman" w:cs="Arial"/>
                      <w:color w:val="000000"/>
                      <w:sz w:val="16"/>
                      <w:szCs w:val="16"/>
                    </w:rPr>
                    <w:t xml:space="preserve">PEG (5 </w:t>
                  </w:r>
                  <w:proofErr w:type="spellStart"/>
                  <w:r w:rsidRPr="005E114B">
                    <w:rPr>
                      <w:rFonts w:eastAsia="Times New Roman" w:cs="Arial"/>
                      <w:color w:val="000000"/>
                      <w:sz w:val="16"/>
                      <w:szCs w:val="16"/>
                    </w:rPr>
                    <w:t>yr</w:t>
                  </w:r>
                  <w:proofErr w:type="spellEnd"/>
                  <w:r w:rsidRPr="005E114B">
                    <w:rPr>
                      <w:rFonts w:eastAsia="Times New Roman" w:cs="Arial"/>
                      <w:color w:val="000000"/>
                      <w:sz w:val="16"/>
                      <w:szCs w:val="16"/>
                    </w:rPr>
                    <w:t xml:space="preserve"> expected):</w:t>
                  </w:r>
                </w:p>
              </w:tc>
              <w:tc>
                <w:tcPr>
                  <w:tcW w:w="899" w:type="dxa"/>
                  <w:tcBorders>
                    <w:top w:val="nil"/>
                    <w:left w:val="nil"/>
                    <w:bottom w:val="single" w:sz="4" w:space="0" w:color="auto"/>
                    <w:right w:val="single" w:sz="4" w:space="0" w:color="auto"/>
                  </w:tcBorders>
                  <w:shd w:val="clear" w:color="000000" w:fill="FFFFFF"/>
                  <w:vAlign w:val="center"/>
                  <w:hideMark/>
                </w:tcPr>
                <w:p w14:paraId="707F807A"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0.53</w:t>
                  </w:r>
                </w:p>
              </w:tc>
              <w:tc>
                <w:tcPr>
                  <w:tcW w:w="899" w:type="dxa"/>
                  <w:tcBorders>
                    <w:top w:val="nil"/>
                    <w:left w:val="nil"/>
                    <w:bottom w:val="single" w:sz="4" w:space="0" w:color="auto"/>
                    <w:right w:val="single" w:sz="4" w:space="0" w:color="auto"/>
                  </w:tcBorders>
                  <w:shd w:val="clear" w:color="000000" w:fill="FFFFFF"/>
                  <w:vAlign w:val="center"/>
                  <w:hideMark/>
                </w:tcPr>
                <w:p w14:paraId="6670C2C0"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N/A</w:t>
                  </w:r>
                </w:p>
              </w:tc>
              <w:tc>
                <w:tcPr>
                  <w:tcW w:w="899" w:type="dxa"/>
                  <w:tcBorders>
                    <w:top w:val="nil"/>
                    <w:left w:val="nil"/>
                    <w:bottom w:val="single" w:sz="4" w:space="0" w:color="auto"/>
                    <w:right w:val="single" w:sz="4" w:space="0" w:color="auto"/>
                  </w:tcBorders>
                  <w:shd w:val="clear" w:color="000000" w:fill="FFFFFF"/>
                  <w:vAlign w:val="center"/>
                  <w:hideMark/>
                </w:tcPr>
                <w:p w14:paraId="0EEC3876"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3.19</w:t>
                  </w:r>
                </w:p>
              </w:tc>
              <w:tc>
                <w:tcPr>
                  <w:tcW w:w="1031" w:type="dxa"/>
                  <w:tcBorders>
                    <w:top w:val="nil"/>
                    <w:left w:val="nil"/>
                    <w:bottom w:val="single" w:sz="4" w:space="0" w:color="auto"/>
                    <w:right w:val="single" w:sz="4" w:space="0" w:color="auto"/>
                  </w:tcBorders>
                  <w:shd w:val="clear" w:color="000000" w:fill="FFFFFF"/>
                  <w:vAlign w:val="center"/>
                  <w:hideMark/>
                </w:tcPr>
                <w:p w14:paraId="173ED23F" w14:textId="77777777" w:rsidR="005E114B" w:rsidRPr="005E114B" w:rsidRDefault="005E114B" w:rsidP="005E114B">
                  <w:pPr>
                    <w:spacing w:line="293" w:lineRule="atLeast"/>
                    <w:jc w:val="right"/>
                    <w:rPr>
                      <w:rFonts w:eastAsia="Times New Roman" w:cs="Arial"/>
                      <w:color w:val="000000"/>
                      <w:sz w:val="16"/>
                      <w:szCs w:val="16"/>
                    </w:rPr>
                  </w:pPr>
                  <w:r w:rsidRPr="005E114B">
                    <w:rPr>
                      <w:rFonts w:eastAsia="Times New Roman" w:cs="Arial"/>
                      <w:color w:val="000000"/>
                      <w:sz w:val="16"/>
                      <w:szCs w:val="16"/>
                    </w:rPr>
                    <w:t>N/A</w:t>
                  </w:r>
                </w:p>
              </w:tc>
            </w:tr>
          </w:tbl>
          <w:p w14:paraId="1DF929EB" w14:textId="1CA974B2" w:rsidR="00FF2C25" w:rsidRPr="005E114B" w:rsidRDefault="00FF2C25">
            <w:pPr>
              <w:rPr>
                <w:sz w:val="16"/>
                <w:szCs w:val="16"/>
              </w:rPr>
            </w:pPr>
          </w:p>
        </w:tc>
        <w:tc>
          <w:tcPr>
            <w:tcW w:w="5040" w:type="dxa"/>
            <w:gridSpan w:val="2"/>
            <w:vMerge/>
          </w:tcPr>
          <w:p w14:paraId="7AC9CE0C" w14:textId="77777777" w:rsidR="007B6409" w:rsidRPr="005E114B" w:rsidRDefault="007B6409" w:rsidP="001A54DB">
            <w:pPr>
              <w:rPr>
                <w:sz w:val="16"/>
                <w:szCs w:val="16"/>
              </w:rPr>
            </w:pPr>
          </w:p>
        </w:tc>
      </w:tr>
    </w:tbl>
    <w:p w14:paraId="56F8BD82" w14:textId="77777777" w:rsidR="005E114B" w:rsidRPr="005E114B" w:rsidRDefault="005E114B" w:rsidP="005E114B">
      <w:pPr>
        <w:rPr>
          <w:sz w:val="16"/>
          <w:szCs w:val="16"/>
        </w:rPr>
      </w:pPr>
    </w:p>
    <w:sectPr w:rsidR="005E114B" w:rsidRPr="005E114B" w:rsidSect="00026F5E">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UniversLTStd-LightC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145A7"/>
    <w:rsid w:val="00022508"/>
    <w:rsid w:val="00026F5E"/>
    <w:rsid w:val="00056CE9"/>
    <w:rsid w:val="00071F4F"/>
    <w:rsid w:val="000E0C3A"/>
    <w:rsid w:val="0013332F"/>
    <w:rsid w:val="001366A3"/>
    <w:rsid w:val="00166437"/>
    <w:rsid w:val="00197A37"/>
    <w:rsid w:val="001A0951"/>
    <w:rsid w:val="001A54DB"/>
    <w:rsid w:val="001F411C"/>
    <w:rsid w:val="00231ED5"/>
    <w:rsid w:val="002B04FE"/>
    <w:rsid w:val="003173DA"/>
    <w:rsid w:val="00375DB5"/>
    <w:rsid w:val="00384388"/>
    <w:rsid w:val="00392719"/>
    <w:rsid w:val="003B3070"/>
    <w:rsid w:val="00401063"/>
    <w:rsid w:val="00547B13"/>
    <w:rsid w:val="0056019E"/>
    <w:rsid w:val="00575123"/>
    <w:rsid w:val="005E114B"/>
    <w:rsid w:val="006953F0"/>
    <w:rsid w:val="006A37B5"/>
    <w:rsid w:val="006A61A4"/>
    <w:rsid w:val="006E2939"/>
    <w:rsid w:val="006E44B8"/>
    <w:rsid w:val="007B2A6D"/>
    <w:rsid w:val="007B6409"/>
    <w:rsid w:val="00832142"/>
    <w:rsid w:val="008B72AE"/>
    <w:rsid w:val="008D49EF"/>
    <w:rsid w:val="009C57C6"/>
    <w:rsid w:val="009D5A45"/>
    <w:rsid w:val="00A56542"/>
    <w:rsid w:val="00A603A6"/>
    <w:rsid w:val="00A63E9D"/>
    <w:rsid w:val="00A85575"/>
    <w:rsid w:val="00AA0C48"/>
    <w:rsid w:val="00AA5ED5"/>
    <w:rsid w:val="00AB003F"/>
    <w:rsid w:val="00B00BDA"/>
    <w:rsid w:val="00B94DBA"/>
    <w:rsid w:val="00BA6F89"/>
    <w:rsid w:val="00C15E83"/>
    <w:rsid w:val="00C2195E"/>
    <w:rsid w:val="00C352F3"/>
    <w:rsid w:val="00C9117C"/>
    <w:rsid w:val="00CF27D4"/>
    <w:rsid w:val="00CF2F28"/>
    <w:rsid w:val="00D01F5A"/>
    <w:rsid w:val="00D16B81"/>
    <w:rsid w:val="00D636EF"/>
    <w:rsid w:val="00E349B1"/>
    <w:rsid w:val="00E51FAC"/>
    <w:rsid w:val="00E5675C"/>
    <w:rsid w:val="00E90970"/>
    <w:rsid w:val="00E96739"/>
    <w:rsid w:val="00F56067"/>
    <w:rsid w:val="00F65A7F"/>
    <w:rsid w:val="00F77D0C"/>
    <w:rsid w:val="00F96F5E"/>
    <w:rsid w:val="00FC20D0"/>
    <w:rsid w:val="00FC33EF"/>
    <w:rsid w:val="00FC4084"/>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CFBA-7DBB-443B-83A1-718BE366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Alex Sadowski</cp:lastModifiedBy>
  <cp:revision>2</cp:revision>
  <dcterms:created xsi:type="dcterms:W3CDTF">2015-10-28T20:36:00Z</dcterms:created>
  <dcterms:modified xsi:type="dcterms:W3CDTF">2015-10-28T20:36:00Z</dcterms:modified>
</cp:coreProperties>
</file>