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332" w:type="dxa"/>
        <w:tblLayout w:type="fixed"/>
        <w:tblLook w:val="04A0" w:firstRow="1" w:lastRow="0" w:firstColumn="1" w:lastColumn="0" w:noHBand="0" w:noVBand="1"/>
      </w:tblPr>
      <w:tblGrid>
        <w:gridCol w:w="3005"/>
        <w:gridCol w:w="3655"/>
        <w:gridCol w:w="2340"/>
        <w:gridCol w:w="2700"/>
      </w:tblGrid>
      <w:tr w:rsidR="00E8555E" w:rsidRPr="009F4E3F" w14:paraId="3AA29E37" w14:textId="77777777" w:rsidTr="00E8555E">
        <w:trPr>
          <w:trHeight w:val="80"/>
        </w:trPr>
        <w:tc>
          <w:tcPr>
            <w:tcW w:w="3005" w:type="dxa"/>
            <w:shd w:val="clear" w:color="auto" w:fill="365F91" w:themeFill="accent1" w:themeFillShade="BF"/>
          </w:tcPr>
          <w:p w14:paraId="2E49CA38" w14:textId="1B16728D" w:rsidR="00E8555E" w:rsidRPr="009F4E3F" w:rsidRDefault="00E8555E" w:rsidP="00C8063B">
            <w:pPr>
              <w:rPr>
                <w:b/>
                <w:color w:val="FFFFFF" w:themeColor="background1"/>
                <w:sz w:val="12"/>
                <w:szCs w:val="12"/>
              </w:rPr>
            </w:pPr>
            <w:r w:rsidRPr="009F4E3F">
              <w:rPr>
                <w:b/>
                <w:color w:val="FFFFFF" w:themeColor="background1"/>
                <w:sz w:val="12"/>
                <w:szCs w:val="12"/>
              </w:rPr>
              <w:t xml:space="preserve">Company: </w:t>
            </w:r>
            <w:r w:rsidR="00E02ABF" w:rsidRPr="009F4E3F">
              <w:rPr>
                <w:b/>
                <w:color w:val="FFFFFF" w:themeColor="background1"/>
                <w:sz w:val="12"/>
                <w:szCs w:val="12"/>
              </w:rPr>
              <w:t xml:space="preserve"> </w:t>
            </w:r>
            <w:r w:rsidR="005F4653" w:rsidRPr="009F4E3F">
              <w:rPr>
                <w:b/>
                <w:color w:val="FFFFFF" w:themeColor="background1"/>
                <w:sz w:val="12"/>
                <w:szCs w:val="12"/>
              </w:rPr>
              <w:t>Delta Air Lines, Inc.</w:t>
            </w:r>
          </w:p>
        </w:tc>
        <w:tc>
          <w:tcPr>
            <w:tcW w:w="3655" w:type="dxa"/>
            <w:shd w:val="clear" w:color="auto" w:fill="365F91" w:themeFill="accent1" w:themeFillShade="BF"/>
          </w:tcPr>
          <w:p w14:paraId="5FDF97F0" w14:textId="60824CE5" w:rsidR="00E8555E" w:rsidRPr="009F4E3F" w:rsidRDefault="00E02ABF" w:rsidP="00C8063B">
            <w:pPr>
              <w:rPr>
                <w:color w:val="FFFFFF" w:themeColor="background1"/>
                <w:sz w:val="12"/>
                <w:szCs w:val="12"/>
              </w:rPr>
            </w:pPr>
            <w:r w:rsidRPr="009F4E3F">
              <w:rPr>
                <w:color w:val="FFFFFF" w:themeColor="background1"/>
                <w:sz w:val="12"/>
                <w:szCs w:val="12"/>
              </w:rPr>
              <w:t xml:space="preserve">Ticker:  </w:t>
            </w:r>
            <w:r w:rsidR="005F4653" w:rsidRPr="009F4E3F">
              <w:rPr>
                <w:color w:val="FFFFFF" w:themeColor="background1"/>
                <w:sz w:val="12"/>
                <w:szCs w:val="12"/>
              </w:rPr>
              <w:t>DAL</w:t>
            </w:r>
            <w:r w:rsidR="00E8555E" w:rsidRPr="009F4E3F">
              <w:rPr>
                <w:color w:val="FFFFFF" w:themeColor="background1"/>
                <w:sz w:val="12"/>
                <w:szCs w:val="12"/>
              </w:rPr>
              <w:t xml:space="preserve">                          Current Price:</w:t>
            </w:r>
            <w:r w:rsidRPr="009F4E3F">
              <w:rPr>
                <w:color w:val="FFFFFF" w:themeColor="background1"/>
                <w:sz w:val="12"/>
                <w:szCs w:val="12"/>
              </w:rPr>
              <w:t xml:space="preserve">  </w:t>
            </w:r>
            <w:r w:rsidR="005F4653" w:rsidRPr="009F4E3F">
              <w:rPr>
                <w:color w:val="FFFFFF" w:themeColor="background1"/>
                <w:sz w:val="12"/>
                <w:szCs w:val="12"/>
              </w:rPr>
              <w:t>$43.94</w:t>
            </w:r>
          </w:p>
        </w:tc>
        <w:tc>
          <w:tcPr>
            <w:tcW w:w="2340" w:type="dxa"/>
            <w:shd w:val="clear" w:color="auto" w:fill="365F91" w:themeFill="accent1" w:themeFillShade="BF"/>
          </w:tcPr>
          <w:p w14:paraId="1FD4CAF9" w14:textId="01CCE648" w:rsidR="00E8555E" w:rsidRPr="009F4E3F" w:rsidRDefault="00E02ABF" w:rsidP="00C8063B">
            <w:pPr>
              <w:rPr>
                <w:color w:val="FFFFFF" w:themeColor="background1"/>
                <w:sz w:val="12"/>
                <w:szCs w:val="12"/>
              </w:rPr>
            </w:pPr>
            <w:r w:rsidRPr="009F4E3F">
              <w:rPr>
                <w:color w:val="FFFFFF" w:themeColor="background1"/>
                <w:sz w:val="12"/>
                <w:szCs w:val="12"/>
              </w:rPr>
              <w:t>Sector</w:t>
            </w:r>
            <w:r w:rsidR="00E8555E" w:rsidRPr="009F4E3F">
              <w:rPr>
                <w:color w:val="FFFFFF" w:themeColor="background1"/>
                <w:sz w:val="12"/>
                <w:szCs w:val="12"/>
              </w:rPr>
              <w:t>:</w:t>
            </w:r>
            <w:r w:rsidRPr="009F4E3F">
              <w:rPr>
                <w:color w:val="FFFFFF" w:themeColor="background1"/>
                <w:sz w:val="12"/>
                <w:szCs w:val="12"/>
              </w:rPr>
              <w:t xml:space="preserve">  </w:t>
            </w:r>
            <w:r w:rsidR="005F4653" w:rsidRPr="009F4E3F">
              <w:rPr>
                <w:color w:val="FFFFFF" w:themeColor="background1"/>
                <w:sz w:val="12"/>
                <w:szCs w:val="12"/>
              </w:rPr>
              <w:t>Industrials</w:t>
            </w:r>
          </w:p>
        </w:tc>
        <w:tc>
          <w:tcPr>
            <w:tcW w:w="2700" w:type="dxa"/>
            <w:shd w:val="clear" w:color="auto" w:fill="365F91" w:themeFill="accent1" w:themeFillShade="BF"/>
          </w:tcPr>
          <w:p w14:paraId="417B84CE" w14:textId="2CAAF9A7" w:rsidR="00E8555E" w:rsidRPr="009F4E3F" w:rsidRDefault="00E8555E" w:rsidP="00C8063B">
            <w:pPr>
              <w:rPr>
                <w:color w:val="FFFFFF" w:themeColor="background1"/>
                <w:sz w:val="12"/>
                <w:szCs w:val="12"/>
              </w:rPr>
            </w:pPr>
            <w:r w:rsidRPr="009F4E3F">
              <w:rPr>
                <w:color w:val="FFFFFF" w:themeColor="background1"/>
                <w:sz w:val="12"/>
                <w:szCs w:val="12"/>
              </w:rPr>
              <w:t xml:space="preserve">Sub Industry: </w:t>
            </w:r>
            <w:r w:rsidR="005F4653" w:rsidRPr="009F4E3F">
              <w:rPr>
                <w:color w:val="FFFFFF" w:themeColor="background1"/>
                <w:sz w:val="12"/>
                <w:szCs w:val="12"/>
              </w:rPr>
              <w:t xml:space="preserve"> Airlines</w:t>
            </w:r>
          </w:p>
        </w:tc>
      </w:tr>
      <w:tr w:rsidR="006E44B8" w:rsidRPr="009F4E3F" w14:paraId="185E94E4" w14:textId="77777777" w:rsidTr="00E8555E">
        <w:trPr>
          <w:trHeight w:val="512"/>
        </w:trPr>
        <w:tc>
          <w:tcPr>
            <w:tcW w:w="3005" w:type="dxa"/>
          </w:tcPr>
          <w:p w14:paraId="159CAB82" w14:textId="36383691" w:rsidR="00E8555E" w:rsidRPr="009F4E3F" w:rsidRDefault="00E8555E" w:rsidP="00E8555E">
            <w:pPr>
              <w:rPr>
                <w:sz w:val="12"/>
                <w:szCs w:val="12"/>
              </w:rPr>
            </w:pPr>
            <w:r w:rsidRPr="009F4E3F">
              <w:rPr>
                <w:sz w:val="12"/>
                <w:szCs w:val="12"/>
              </w:rPr>
              <w:t>Target Price</w:t>
            </w:r>
            <w:r w:rsidR="00C8063B" w:rsidRPr="009F4E3F">
              <w:rPr>
                <w:sz w:val="12"/>
                <w:szCs w:val="12"/>
              </w:rPr>
              <w:t>:</w:t>
            </w:r>
            <w:r w:rsidR="005F4653" w:rsidRPr="009F4E3F">
              <w:rPr>
                <w:sz w:val="12"/>
                <w:szCs w:val="12"/>
              </w:rPr>
              <w:t xml:space="preserve"> $66.00</w:t>
            </w:r>
          </w:p>
          <w:p w14:paraId="366C508D" w14:textId="25921A51" w:rsidR="00E8555E" w:rsidRPr="009F4E3F" w:rsidRDefault="00C161B3" w:rsidP="00E8555E">
            <w:pPr>
              <w:rPr>
                <w:sz w:val="12"/>
                <w:szCs w:val="12"/>
              </w:rPr>
            </w:pPr>
            <w:r w:rsidRPr="009F4E3F">
              <w:rPr>
                <w:sz w:val="12"/>
                <w:szCs w:val="12"/>
              </w:rPr>
              <w:t>Stop Loss:</w:t>
            </w:r>
            <w:r w:rsidR="00C8063B" w:rsidRPr="009F4E3F">
              <w:rPr>
                <w:sz w:val="12"/>
                <w:szCs w:val="12"/>
              </w:rPr>
              <w:t xml:space="preserve"> </w:t>
            </w:r>
            <w:r w:rsidR="005F4653" w:rsidRPr="009F4E3F">
              <w:rPr>
                <w:sz w:val="12"/>
                <w:szCs w:val="12"/>
              </w:rPr>
              <w:t>$35,15</w:t>
            </w:r>
          </w:p>
          <w:p w14:paraId="7E50A51D" w14:textId="71084D65" w:rsidR="006E44B8" w:rsidRPr="009F4E3F" w:rsidRDefault="00E8555E" w:rsidP="00E8555E">
            <w:pPr>
              <w:rPr>
                <w:sz w:val="12"/>
                <w:szCs w:val="12"/>
              </w:rPr>
            </w:pPr>
            <w:r w:rsidRPr="009F4E3F">
              <w:rPr>
                <w:sz w:val="12"/>
                <w:szCs w:val="12"/>
              </w:rPr>
              <w:t xml:space="preserve">52 Week High/ Low: </w:t>
            </w:r>
            <w:r w:rsidR="005F4653" w:rsidRPr="009F4E3F">
              <w:rPr>
                <w:sz w:val="12"/>
                <w:szCs w:val="12"/>
              </w:rPr>
              <w:t>$52.77 / $34.61</w:t>
            </w:r>
          </w:p>
        </w:tc>
        <w:tc>
          <w:tcPr>
            <w:tcW w:w="3655" w:type="dxa"/>
          </w:tcPr>
          <w:p w14:paraId="461A4200" w14:textId="23CC5DDF" w:rsidR="00E8555E" w:rsidRPr="009F4E3F" w:rsidRDefault="00E8555E" w:rsidP="00E8555E">
            <w:pPr>
              <w:rPr>
                <w:sz w:val="12"/>
                <w:szCs w:val="12"/>
              </w:rPr>
            </w:pPr>
            <w:r w:rsidRPr="009F4E3F">
              <w:rPr>
                <w:sz w:val="12"/>
                <w:szCs w:val="12"/>
              </w:rPr>
              <w:t xml:space="preserve">TTM P/E: </w:t>
            </w:r>
            <w:r w:rsidR="004F6F9D" w:rsidRPr="009F4E3F">
              <w:rPr>
                <w:sz w:val="12"/>
                <w:szCs w:val="12"/>
              </w:rPr>
              <w:t>10.99</w:t>
            </w:r>
          </w:p>
          <w:p w14:paraId="7862C274" w14:textId="7239E72F" w:rsidR="00E8555E" w:rsidRPr="009F4E3F" w:rsidRDefault="00E8555E" w:rsidP="00E8555E">
            <w:pPr>
              <w:rPr>
                <w:sz w:val="12"/>
                <w:szCs w:val="12"/>
                <w:highlight w:val="yellow"/>
              </w:rPr>
            </w:pPr>
            <w:r w:rsidRPr="009F4E3F">
              <w:rPr>
                <w:sz w:val="12"/>
                <w:szCs w:val="12"/>
              </w:rPr>
              <w:t>Forward P/E</w:t>
            </w:r>
            <w:r w:rsidR="005A335E" w:rsidRPr="009F4E3F">
              <w:rPr>
                <w:sz w:val="12"/>
                <w:szCs w:val="12"/>
              </w:rPr>
              <w:t xml:space="preserve"> (201</w:t>
            </w:r>
            <w:r w:rsidR="002A6E24" w:rsidRPr="009F4E3F">
              <w:rPr>
                <w:sz w:val="12"/>
                <w:szCs w:val="12"/>
              </w:rPr>
              <w:t>6</w:t>
            </w:r>
            <w:r w:rsidR="005A335E" w:rsidRPr="009F4E3F">
              <w:rPr>
                <w:sz w:val="12"/>
                <w:szCs w:val="12"/>
              </w:rPr>
              <w:t>E)</w:t>
            </w:r>
            <w:r w:rsidRPr="009F4E3F">
              <w:rPr>
                <w:sz w:val="12"/>
                <w:szCs w:val="12"/>
              </w:rPr>
              <w:t xml:space="preserve">: </w:t>
            </w:r>
            <w:r w:rsidR="004F6F9D" w:rsidRPr="009F4E3F">
              <w:rPr>
                <w:sz w:val="12"/>
                <w:szCs w:val="12"/>
              </w:rPr>
              <w:t>6.37</w:t>
            </w:r>
          </w:p>
          <w:p w14:paraId="5AA3FEF7" w14:textId="3266F89A" w:rsidR="006E44B8" w:rsidRPr="009F4E3F" w:rsidRDefault="005A335E" w:rsidP="005A335E">
            <w:pPr>
              <w:rPr>
                <w:sz w:val="12"/>
                <w:szCs w:val="12"/>
              </w:rPr>
            </w:pPr>
            <w:r w:rsidRPr="009F4E3F">
              <w:rPr>
                <w:sz w:val="12"/>
                <w:szCs w:val="12"/>
              </w:rPr>
              <w:t xml:space="preserve">TTM </w:t>
            </w:r>
            <w:r w:rsidR="00E8555E" w:rsidRPr="009F4E3F">
              <w:rPr>
                <w:sz w:val="12"/>
                <w:szCs w:val="12"/>
              </w:rPr>
              <w:t xml:space="preserve">EPS: </w:t>
            </w:r>
            <w:r w:rsidR="004F6F9D" w:rsidRPr="009F4E3F">
              <w:rPr>
                <w:sz w:val="12"/>
                <w:szCs w:val="12"/>
              </w:rPr>
              <w:t>6.86</w:t>
            </w:r>
          </w:p>
        </w:tc>
        <w:tc>
          <w:tcPr>
            <w:tcW w:w="2340" w:type="dxa"/>
          </w:tcPr>
          <w:p w14:paraId="25238E11" w14:textId="3F2D8FC8" w:rsidR="00E8555E" w:rsidRPr="009F4E3F" w:rsidRDefault="00C8063B" w:rsidP="00E8555E">
            <w:pPr>
              <w:rPr>
                <w:sz w:val="12"/>
                <w:szCs w:val="12"/>
              </w:rPr>
            </w:pPr>
            <w:r w:rsidRPr="009F4E3F">
              <w:rPr>
                <w:sz w:val="12"/>
                <w:szCs w:val="12"/>
              </w:rPr>
              <w:t>Beta:</w:t>
            </w:r>
            <w:r w:rsidR="004F6F9D" w:rsidRPr="009F4E3F">
              <w:rPr>
                <w:sz w:val="12"/>
                <w:szCs w:val="12"/>
              </w:rPr>
              <w:t xml:space="preserve"> </w:t>
            </w:r>
            <w:r w:rsidR="00EC606F" w:rsidRPr="009F4E3F">
              <w:rPr>
                <w:sz w:val="12"/>
                <w:szCs w:val="12"/>
              </w:rPr>
              <w:t>1.13</w:t>
            </w:r>
          </w:p>
          <w:p w14:paraId="61C6D51C" w14:textId="46BB1319" w:rsidR="00A30926" w:rsidRPr="009F4E3F" w:rsidRDefault="00E8555E" w:rsidP="00E8555E">
            <w:pPr>
              <w:rPr>
                <w:sz w:val="12"/>
                <w:szCs w:val="12"/>
              </w:rPr>
            </w:pPr>
            <w:r w:rsidRPr="009F4E3F">
              <w:rPr>
                <w:sz w:val="12"/>
                <w:szCs w:val="12"/>
              </w:rPr>
              <w:t>Credit Rating:</w:t>
            </w:r>
            <w:r w:rsidR="00EC606F" w:rsidRPr="009F4E3F">
              <w:rPr>
                <w:sz w:val="12"/>
                <w:szCs w:val="12"/>
              </w:rPr>
              <w:t xml:space="preserve"> Ba2 (LT Moody’s)</w:t>
            </w:r>
          </w:p>
          <w:p w14:paraId="5BFE3D7B" w14:textId="11D88B77" w:rsidR="003073EA" w:rsidRPr="009F4E3F" w:rsidRDefault="00C8063B" w:rsidP="00E8555E">
            <w:pPr>
              <w:rPr>
                <w:sz w:val="12"/>
                <w:szCs w:val="12"/>
              </w:rPr>
            </w:pPr>
            <w:r w:rsidRPr="009F4E3F">
              <w:rPr>
                <w:sz w:val="12"/>
                <w:szCs w:val="12"/>
              </w:rPr>
              <w:t>Rating Outlook:</w:t>
            </w:r>
            <w:r w:rsidR="00EC606F" w:rsidRPr="009F4E3F">
              <w:rPr>
                <w:sz w:val="12"/>
                <w:szCs w:val="12"/>
              </w:rPr>
              <w:t xml:space="preserve"> Positive</w:t>
            </w:r>
          </w:p>
        </w:tc>
        <w:tc>
          <w:tcPr>
            <w:tcW w:w="2700" w:type="dxa"/>
          </w:tcPr>
          <w:p w14:paraId="438980BC" w14:textId="3B6AFE7E" w:rsidR="006E44B8" w:rsidRPr="009F4E3F" w:rsidRDefault="0013332F">
            <w:pPr>
              <w:rPr>
                <w:sz w:val="12"/>
                <w:szCs w:val="12"/>
              </w:rPr>
            </w:pPr>
            <w:r w:rsidRPr="009F4E3F">
              <w:rPr>
                <w:sz w:val="12"/>
                <w:szCs w:val="12"/>
              </w:rPr>
              <w:t xml:space="preserve">Market Cap: </w:t>
            </w:r>
            <w:r w:rsidR="00EC606F" w:rsidRPr="009F4E3F">
              <w:rPr>
                <w:sz w:val="12"/>
                <w:szCs w:val="12"/>
              </w:rPr>
              <w:t>$34.46B</w:t>
            </w:r>
          </w:p>
          <w:p w14:paraId="37B82920" w14:textId="12B1EC56" w:rsidR="00C441B3" w:rsidRPr="009F4E3F" w:rsidRDefault="00501519">
            <w:pPr>
              <w:rPr>
                <w:sz w:val="12"/>
                <w:szCs w:val="12"/>
              </w:rPr>
            </w:pPr>
            <w:r w:rsidRPr="009F4E3F">
              <w:rPr>
                <w:rFonts w:cs="UniversLTStd-BoldCn"/>
                <w:bCs/>
                <w:sz w:val="12"/>
                <w:szCs w:val="12"/>
              </w:rPr>
              <w:t>Avg</w:t>
            </w:r>
            <w:r w:rsidR="001E7B80" w:rsidRPr="009F4E3F">
              <w:rPr>
                <w:rFonts w:cs="UniversLTStd-BoldCn"/>
                <w:bCs/>
                <w:sz w:val="12"/>
                <w:szCs w:val="12"/>
              </w:rPr>
              <w:t>.</w:t>
            </w:r>
            <w:r w:rsidRPr="009F4E3F">
              <w:rPr>
                <w:rFonts w:cs="UniversLTStd-BoldCn"/>
                <w:bCs/>
                <w:sz w:val="12"/>
                <w:szCs w:val="12"/>
              </w:rPr>
              <w:t xml:space="preserve"> Vol (</w:t>
            </w:r>
            <w:r w:rsidR="001E7B80" w:rsidRPr="009F4E3F">
              <w:rPr>
                <w:rFonts w:cs="UniversLTStd-BoldCn"/>
                <w:bCs/>
                <w:sz w:val="12"/>
                <w:szCs w:val="12"/>
              </w:rPr>
              <w:t>30 Day</w:t>
            </w:r>
            <w:r w:rsidR="00C441B3" w:rsidRPr="009F4E3F">
              <w:rPr>
                <w:rFonts w:cs="UniversLTStd-BoldCn"/>
                <w:bCs/>
                <w:sz w:val="12"/>
                <w:szCs w:val="12"/>
              </w:rPr>
              <w:t>)</w:t>
            </w:r>
            <w:r w:rsidR="00BF2DE5" w:rsidRPr="009F4E3F">
              <w:rPr>
                <w:rFonts w:cs="UniversLTStd-BoldCn"/>
                <w:bCs/>
                <w:sz w:val="12"/>
                <w:szCs w:val="12"/>
              </w:rPr>
              <w:t>:</w:t>
            </w:r>
            <w:r w:rsidR="00704289" w:rsidRPr="009F4E3F">
              <w:rPr>
                <w:rFonts w:cs="UniversLTStd-BoldCn"/>
                <w:bCs/>
                <w:sz w:val="12"/>
                <w:szCs w:val="12"/>
              </w:rPr>
              <w:t xml:space="preserve">  </w:t>
            </w:r>
            <w:r w:rsidR="00EC606F" w:rsidRPr="009F4E3F">
              <w:rPr>
                <w:rFonts w:cs="UniversLTStd-BoldCn"/>
                <w:bCs/>
                <w:sz w:val="12"/>
                <w:szCs w:val="12"/>
              </w:rPr>
              <w:t>7,487,317</w:t>
            </w:r>
          </w:p>
          <w:p w14:paraId="0D1C791A" w14:textId="7F25EC1F" w:rsidR="00E5675C" w:rsidRPr="009F4E3F" w:rsidRDefault="00E5675C" w:rsidP="00C8063B">
            <w:pPr>
              <w:rPr>
                <w:sz w:val="12"/>
                <w:szCs w:val="12"/>
              </w:rPr>
            </w:pPr>
            <w:r w:rsidRPr="009F4E3F">
              <w:rPr>
                <w:sz w:val="12"/>
                <w:szCs w:val="12"/>
              </w:rPr>
              <w:t xml:space="preserve">Dividend Yield: </w:t>
            </w:r>
            <w:r w:rsidR="00EC606F" w:rsidRPr="009F4E3F">
              <w:rPr>
                <w:sz w:val="12"/>
                <w:szCs w:val="12"/>
              </w:rPr>
              <w:t>1.03%</w:t>
            </w:r>
          </w:p>
        </w:tc>
      </w:tr>
    </w:tbl>
    <w:p w14:paraId="4F402887" w14:textId="77777777" w:rsidR="00443ED9" w:rsidRPr="009F4E3F" w:rsidRDefault="00443ED9" w:rsidP="005E114B">
      <w:pPr>
        <w:rPr>
          <w:sz w:val="12"/>
          <w:szCs w:val="12"/>
        </w:rPr>
      </w:pPr>
    </w:p>
    <w:tbl>
      <w:tblPr>
        <w:tblStyle w:val="TableGrid"/>
        <w:tblW w:w="11700" w:type="dxa"/>
        <w:tblInd w:w="-1332" w:type="dxa"/>
        <w:tblLook w:val="04A0" w:firstRow="1" w:lastRow="0" w:firstColumn="1" w:lastColumn="0" w:noHBand="0" w:noVBand="1"/>
      </w:tblPr>
      <w:tblGrid>
        <w:gridCol w:w="11700"/>
      </w:tblGrid>
      <w:tr w:rsidR="00DB5A10" w:rsidRPr="009F4E3F" w14:paraId="311194DC" w14:textId="77777777" w:rsidTr="00DB5A10">
        <w:trPr>
          <w:trHeight w:val="197"/>
        </w:trPr>
        <w:tc>
          <w:tcPr>
            <w:tcW w:w="11700" w:type="dxa"/>
            <w:shd w:val="clear" w:color="auto" w:fill="365F91" w:themeFill="accent1" w:themeFillShade="BF"/>
          </w:tcPr>
          <w:p w14:paraId="14342F91" w14:textId="5A8BBA7A" w:rsidR="00DB5A10" w:rsidRPr="009F4E3F" w:rsidRDefault="00DB5A10" w:rsidP="00DB5A10">
            <w:pPr>
              <w:tabs>
                <w:tab w:val="left" w:pos="3690"/>
              </w:tabs>
              <w:jc w:val="both"/>
              <w:rPr>
                <w:color w:val="FFFFFF" w:themeColor="background1"/>
                <w:sz w:val="12"/>
                <w:szCs w:val="12"/>
              </w:rPr>
            </w:pPr>
            <w:r w:rsidRPr="009F4E3F">
              <w:rPr>
                <w:b/>
                <w:color w:val="FFFFFF" w:themeColor="background1"/>
                <w:sz w:val="12"/>
                <w:szCs w:val="12"/>
              </w:rPr>
              <w:t xml:space="preserve">Company Background:  </w:t>
            </w:r>
            <w:r w:rsidRPr="009F4E3F">
              <w:rPr>
                <w:b/>
                <w:color w:val="FFFFFF" w:themeColor="background1"/>
                <w:sz w:val="12"/>
                <w:szCs w:val="12"/>
              </w:rPr>
              <w:tab/>
            </w:r>
          </w:p>
        </w:tc>
      </w:tr>
      <w:tr w:rsidR="00DB5A10" w:rsidRPr="009F4E3F" w14:paraId="325C88BE" w14:textId="77777777" w:rsidTr="00DB5A10">
        <w:tc>
          <w:tcPr>
            <w:tcW w:w="11700" w:type="dxa"/>
          </w:tcPr>
          <w:p w14:paraId="6F7CA091" w14:textId="77777777" w:rsidR="00DB5A10" w:rsidRPr="009F4E3F" w:rsidRDefault="00DB5A10" w:rsidP="005E114B">
            <w:pPr>
              <w:rPr>
                <w:sz w:val="12"/>
                <w:szCs w:val="12"/>
              </w:rPr>
            </w:pPr>
          </w:p>
          <w:p w14:paraId="68889B41" w14:textId="675BAF04" w:rsidR="00DB5A10" w:rsidRPr="009F4E3F" w:rsidRDefault="002161B8" w:rsidP="00C8063B">
            <w:pPr>
              <w:rPr>
                <w:sz w:val="17"/>
                <w:szCs w:val="18"/>
              </w:rPr>
            </w:pPr>
            <w:r w:rsidRPr="009F4E3F">
              <w:rPr>
                <w:sz w:val="17"/>
                <w:szCs w:val="18"/>
              </w:rPr>
              <w:t>Delta Air Lines (DAL) became the largest passenger airline in the world following its 2008 merger with Northwest Airlines, but was bumped to number two by the October 2010 merger of UAL Corp. and Continental Airlines and to number three by the merger of American with US Air in 2013. On October 29, 2008, Delta completed a merger with Northwest in a transaction whereby each NWA share was exchanged for 1.25 DAL shares. The combined operation kept the Delta name and started with about $32 billion in annual revenues, which rose to $41 billion by the end of 2015. As of January 19, 2016, Delta served 328 destinations worldwide in 57 countries. Hubs are in Atlanta, Cincinnati, New York (JFK) and Salt Lake City. Revenues in North America accounted for 67% of the 2013 total, Transatlantic 17%, Latin America 6% and Pacific 10%.</w:t>
            </w:r>
          </w:p>
          <w:p w14:paraId="0A8884D5" w14:textId="65DCF3FA" w:rsidR="00C8063B" w:rsidRPr="009F4E3F" w:rsidRDefault="00C8063B" w:rsidP="00C8063B">
            <w:pPr>
              <w:rPr>
                <w:sz w:val="12"/>
                <w:szCs w:val="12"/>
              </w:rPr>
            </w:pPr>
          </w:p>
        </w:tc>
      </w:tr>
      <w:tr w:rsidR="00274740" w:rsidRPr="009F4E3F" w14:paraId="4EB61633" w14:textId="77777777" w:rsidTr="00274740">
        <w:tc>
          <w:tcPr>
            <w:tcW w:w="11700" w:type="dxa"/>
            <w:shd w:val="clear" w:color="auto" w:fill="365F91" w:themeFill="accent1" w:themeFillShade="BF"/>
          </w:tcPr>
          <w:p w14:paraId="38206B03" w14:textId="7B341966" w:rsidR="00274740" w:rsidRPr="009F4E3F" w:rsidRDefault="00274740" w:rsidP="00BB61F8">
            <w:pPr>
              <w:tabs>
                <w:tab w:val="left" w:pos="3225"/>
              </w:tabs>
              <w:rPr>
                <w:b/>
                <w:color w:val="FFFFFF" w:themeColor="background1"/>
                <w:sz w:val="12"/>
                <w:szCs w:val="12"/>
              </w:rPr>
            </w:pPr>
            <w:r w:rsidRPr="009F4E3F">
              <w:rPr>
                <w:b/>
                <w:color w:val="FFFFFF" w:themeColor="background1"/>
                <w:sz w:val="12"/>
                <w:szCs w:val="12"/>
              </w:rPr>
              <w:t xml:space="preserve">Industry </w:t>
            </w:r>
            <w:r w:rsidR="00BB3908" w:rsidRPr="009F4E3F">
              <w:rPr>
                <w:b/>
                <w:color w:val="FFFFFF" w:themeColor="background1"/>
                <w:sz w:val="12"/>
                <w:szCs w:val="12"/>
              </w:rPr>
              <w:t>Outlook:</w:t>
            </w:r>
            <w:r w:rsidRPr="009F4E3F">
              <w:rPr>
                <w:b/>
                <w:color w:val="FFFFFF" w:themeColor="background1"/>
                <w:sz w:val="12"/>
                <w:szCs w:val="12"/>
              </w:rPr>
              <w:t xml:space="preserve"> </w:t>
            </w:r>
          </w:p>
        </w:tc>
      </w:tr>
      <w:tr w:rsidR="00274740" w:rsidRPr="009F4E3F" w14:paraId="52C52C72" w14:textId="77777777" w:rsidTr="00DB5A10">
        <w:tc>
          <w:tcPr>
            <w:tcW w:w="11700" w:type="dxa"/>
          </w:tcPr>
          <w:p w14:paraId="7146F4FE" w14:textId="77777777" w:rsidR="00274740" w:rsidRPr="009F4E3F" w:rsidRDefault="00274740" w:rsidP="005E114B">
            <w:pPr>
              <w:rPr>
                <w:sz w:val="12"/>
                <w:szCs w:val="12"/>
              </w:rPr>
            </w:pPr>
          </w:p>
          <w:p w14:paraId="30E9566E" w14:textId="3762848F" w:rsidR="00C8063B" w:rsidRPr="009F4E3F" w:rsidRDefault="002161B8" w:rsidP="00C8063B">
            <w:pPr>
              <w:rPr>
                <w:sz w:val="17"/>
                <w:szCs w:val="18"/>
              </w:rPr>
            </w:pPr>
            <w:r w:rsidRPr="009F4E3F">
              <w:rPr>
                <w:sz w:val="17"/>
                <w:szCs w:val="18"/>
              </w:rPr>
              <w:t>According to S&amp;P Capital IQ, there is a positive fundamental outlook for the airline sub-industry for the next 12 months. Traffic statistics showed improving demand and revenues in 2014, and we see that strength carrying on through 2015. We believe the U.S. airline industry is seeing good demand, despite the tepid U.S. economy. The industry has reduced capacity levels, it should be able to raise fares as passenger travel demand improves, and hold the line on fares if demand weakens. Oil and jet fuel prices have dropped sharply and should help drive strong profit improvement in 2015.  Airlines are likely to see tougher comparisons in 2015 after rising unit revenues in 2014 and 2013, but demand for air travel is expected to remain strong. Investor sentiment on airline stocks has improved, and further improvement is expected on signs that the U.S. economy is recovering and if oil prices continue to stay low.</w:t>
            </w:r>
          </w:p>
          <w:p w14:paraId="2219CC73" w14:textId="77777777" w:rsidR="00C8063B" w:rsidRPr="009F4E3F" w:rsidRDefault="00C8063B" w:rsidP="00C8063B">
            <w:pPr>
              <w:rPr>
                <w:sz w:val="12"/>
                <w:szCs w:val="12"/>
              </w:rPr>
            </w:pPr>
          </w:p>
        </w:tc>
      </w:tr>
      <w:tr w:rsidR="00DB5A10" w:rsidRPr="009F4E3F" w14:paraId="6A32B295" w14:textId="77777777" w:rsidTr="00DB5A10">
        <w:tc>
          <w:tcPr>
            <w:tcW w:w="11700" w:type="dxa"/>
            <w:shd w:val="clear" w:color="auto" w:fill="365F91" w:themeFill="accent1" w:themeFillShade="BF"/>
          </w:tcPr>
          <w:p w14:paraId="22F69EB1" w14:textId="5B91B2A3" w:rsidR="00DB5A10" w:rsidRPr="009F4E3F" w:rsidRDefault="00DB5A10" w:rsidP="00DB5A10">
            <w:pPr>
              <w:tabs>
                <w:tab w:val="left" w:pos="3225"/>
              </w:tabs>
              <w:rPr>
                <w:b/>
                <w:color w:val="FFFFFF" w:themeColor="background1"/>
                <w:sz w:val="12"/>
                <w:szCs w:val="12"/>
              </w:rPr>
            </w:pPr>
            <w:r w:rsidRPr="009F4E3F">
              <w:rPr>
                <w:b/>
                <w:color w:val="FFFFFF" w:themeColor="background1"/>
                <w:sz w:val="12"/>
                <w:szCs w:val="12"/>
              </w:rPr>
              <w:t>Investment Thesis:</w:t>
            </w:r>
            <w:r w:rsidRPr="009F4E3F">
              <w:rPr>
                <w:b/>
                <w:color w:val="FFFFFF" w:themeColor="background1"/>
                <w:sz w:val="12"/>
                <w:szCs w:val="12"/>
              </w:rPr>
              <w:tab/>
            </w:r>
          </w:p>
        </w:tc>
      </w:tr>
      <w:tr w:rsidR="00DB5A10" w:rsidRPr="009F4E3F" w14:paraId="4F0CBDAD" w14:textId="77777777" w:rsidTr="00DB5A10">
        <w:tc>
          <w:tcPr>
            <w:tcW w:w="11700" w:type="dxa"/>
          </w:tcPr>
          <w:p w14:paraId="5BB8F9DB" w14:textId="77777777" w:rsidR="00DB5A10" w:rsidRPr="009F4E3F" w:rsidRDefault="00DB5A10" w:rsidP="00C8063B">
            <w:pPr>
              <w:autoSpaceDE w:val="0"/>
              <w:autoSpaceDN w:val="0"/>
              <w:adjustRightInd w:val="0"/>
              <w:rPr>
                <w:sz w:val="12"/>
                <w:szCs w:val="12"/>
              </w:rPr>
            </w:pPr>
          </w:p>
          <w:p w14:paraId="0C623195" w14:textId="6667453C" w:rsidR="00C8063B" w:rsidRPr="009F4E3F" w:rsidRDefault="00763ECC" w:rsidP="00C8063B">
            <w:pPr>
              <w:autoSpaceDE w:val="0"/>
              <w:autoSpaceDN w:val="0"/>
              <w:adjustRightInd w:val="0"/>
              <w:rPr>
                <w:sz w:val="17"/>
                <w:szCs w:val="18"/>
              </w:rPr>
            </w:pPr>
            <w:r w:rsidRPr="009F4E3F">
              <w:rPr>
                <w:sz w:val="17"/>
                <w:szCs w:val="18"/>
              </w:rPr>
              <w:t xml:space="preserve">According to S&amp;P Capital IQ, cuts to domestic and international supply over the past three years have improved airlines' pricing power. Total revenue passenger miles (RPMs) rose 2.3% in 2014, versus a 1.8% increase in 2013. Yields rose 1.8%, after a 2.0% advance in 2013. Available seat miles rose 2.0%, after a 1.3% increase in 2013. The passenger load factor rose by 0.3 percentage points to 83.4, after a 0.3percentage point increase in 2013 Year to date through August 14, the S&amp;P Airlines Index fell 4.2% versus a 1.7%rise for the S&amp;P 1500. In 2014, the S&amp;P Airlines Index increased 88.0%, versus a 10.9% rise in the 1500. The 5-year compound annual growth rate for the S&amp;P Airlines index through July </w:t>
            </w:r>
            <w:proofErr w:type="gramStart"/>
            <w:r w:rsidRPr="009F4E3F">
              <w:rPr>
                <w:sz w:val="17"/>
                <w:szCs w:val="18"/>
              </w:rPr>
              <w:t>10,</w:t>
            </w:r>
            <w:proofErr w:type="gramEnd"/>
            <w:r w:rsidRPr="009F4E3F">
              <w:rPr>
                <w:sz w:val="17"/>
                <w:szCs w:val="18"/>
              </w:rPr>
              <w:t xml:space="preserve"> was 27.9%, versus 15.0% for the S&amp;P 1500.</w:t>
            </w:r>
          </w:p>
          <w:p w14:paraId="35F9E681" w14:textId="77777777" w:rsidR="00C8063B" w:rsidRPr="009F4E3F" w:rsidRDefault="00C8063B" w:rsidP="00C8063B">
            <w:pPr>
              <w:autoSpaceDE w:val="0"/>
              <w:autoSpaceDN w:val="0"/>
              <w:adjustRightInd w:val="0"/>
              <w:rPr>
                <w:sz w:val="12"/>
                <w:szCs w:val="12"/>
              </w:rPr>
            </w:pPr>
          </w:p>
        </w:tc>
      </w:tr>
      <w:tr w:rsidR="00DB5A10" w:rsidRPr="009F4E3F" w14:paraId="3604FAC8" w14:textId="77777777" w:rsidTr="00DB5A10">
        <w:tc>
          <w:tcPr>
            <w:tcW w:w="11700" w:type="dxa"/>
            <w:shd w:val="clear" w:color="auto" w:fill="365F91" w:themeFill="accent1" w:themeFillShade="BF"/>
          </w:tcPr>
          <w:p w14:paraId="36D57562" w14:textId="69893D12" w:rsidR="00DB5A10" w:rsidRPr="009F4E3F" w:rsidRDefault="00DB5A10" w:rsidP="00DB5A10">
            <w:pPr>
              <w:tabs>
                <w:tab w:val="left" w:pos="2235"/>
              </w:tabs>
              <w:rPr>
                <w:sz w:val="12"/>
                <w:szCs w:val="12"/>
              </w:rPr>
            </w:pPr>
            <w:r w:rsidRPr="009F4E3F">
              <w:rPr>
                <w:b/>
                <w:color w:val="FFFFFF" w:themeColor="background1"/>
                <w:sz w:val="12"/>
                <w:szCs w:val="12"/>
              </w:rPr>
              <w:t>Investment Risks:</w:t>
            </w:r>
            <w:r w:rsidRPr="009F4E3F">
              <w:rPr>
                <w:b/>
                <w:color w:val="FFFFFF" w:themeColor="background1"/>
                <w:sz w:val="12"/>
                <w:szCs w:val="12"/>
              </w:rPr>
              <w:tab/>
            </w:r>
          </w:p>
        </w:tc>
      </w:tr>
      <w:tr w:rsidR="00DB5A10" w:rsidRPr="009F4E3F" w14:paraId="7051B972" w14:textId="77777777" w:rsidTr="00DB5A10">
        <w:tc>
          <w:tcPr>
            <w:tcW w:w="11700" w:type="dxa"/>
          </w:tcPr>
          <w:p w14:paraId="6C10EB0E" w14:textId="77777777" w:rsidR="00DB5A10" w:rsidRPr="009F4E3F" w:rsidRDefault="00DB5A10" w:rsidP="005E114B">
            <w:pPr>
              <w:rPr>
                <w:sz w:val="12"/>
                <w:szCs w:val="12"/>
              </w:rPr>
            </w:pPr>
          </w:p>
          <w:p w14:paraId="2E31BA04" w14:textId="5ECC3826" w:rsidR="00DB5A10" w:rsidRPr="009F4E3F" w:rsidRDefault="00C21EA4" w:rsidP="00C8063B">
            <w:pPr>
              <w:rPr>
                <w:sz w:val="17"/>
                <w:szCs w:val="18"/>
              </w:rPr>
            </w:pPr>
            <w:r w:rsidRPr="009F4E3F">
              <w:rPr>
                <w:sz w:val="17"/>
                <w:szCs w:val="18"/>
              </w:rPr>
              <w:t>Delta has yet to prove that less debt, better capacity management, and a fleshed out route map, can insulate earnings from the negative demand shocks that come during tough economic times. This is why the shares trade at a discount to other large industrials. Near term, we think Delta will benefit from low fuel prices.</w:t>
            </w:r>
            <w:r w:rsidR="00763ECC" w:rsidRPr="009F4E3F">
              <w:rPr>
                <w:sz w:val="17"/>
                <w:szCs w:val="17"/>
              </w:rPr>
              <w:t xml:space="preserve">  Additional threats, such as the effects of terrorism on demand, a highly regulated environment, </w:t>
            </w:r>
            <w:proofErr w:type="gramStart"/>
            <w:r w:rsidR="00763ECC" w:rsidRPr="009F4E3F">
              <w:rPr>
                <w:sz w:val="17"/>
                <w:szCs w:val="17"/>
              </w:rPr>
              <w:t>high</w:t>
            </w:r>
            <w:proofErr w:type="gramEnd"/>
            <w:r w:rsidR="00763ECC" w:rsidRPr="009F4E3F">
              <w:rPr>
                <w:sz w:val="17"/>
                <w:szCs w:val="17"/>
              </w:rPr>
              <w:t xml:space="preserve"> labor costs due to unionization, a highly commoditized product, and volatile fuel prices are risks that must be taken into account when investing in the airline sub-industry.</w:t>
            </w:r>
          </w:p>
          <w:p w14:paraId="78159DC0" w14:textId="77777777" w:rsidR="00C8063B" w:rsidRPr="009F4E3F" w:rsidRDefault="00C8063B" w:rsidP="00C8063B">
            <w:pPr>
              <w:rPr>
                <w:sz w:val="12"/>
                <w:szCs w:val="12"/>
              </w:rPr>
            </w:pPr>
          </w:p>
        </w:tc>
      </w:tr>
      <w:tr w:rsidR="00DB5A10" w:rsidRPr="009F4E3F" w14:paraId="76F577E7" w14:textId="77777777" w:rsidTr="00DB5A10">
        <w:tc>
          <w:tcPr>
            <w:tcW w:w="11700" w:type="dxa"/>
            <w:shd w:val="clear" w:color="auto" w:fill="365F91" w:themeFill="accent1" w:themeFillShade="BF"/>
          </w:tcPr>
          <w:p w14:paraId="0A443D6F" w14:textId="08288C8A" w:rsidR="00DB5A10" w:rsidRPr="009F4E3F" w:rsidRDefault="00DB5A10" w:rsidP="00640425">
            <w:pPr>
              <w:ind w:left="72"/>
              <w:jc w:val="both"/>
              <w:rPr>
                <w:color w:val="FFFFFF" w:themeColor="background1"/>
                <w:sz w:val="12"/>
                <w:szCs w:val="12"/>
              </w:rPr>
            </w:pPr>
            <w:r w:rsidRPr="009F4E3F">
              <w:rPr>
                <w:b/>
                <w:color w:val="FFFFFF" w:themeColor="background1"/>
                <w:sz w:val="12"/>
                <w:szCs w:val="12"/>
              </w:rPr>
              <w:t xml:space="preserve">3-5 </w:t>
            </w:r>
            <w:r w:rsidR="00640425" w:rsidRPr="009F4E3F">
              <w:rPr>
                <w:b/>
                <w:color w:val="FFFFFF" w:themeColor="background1"/>
                <w:sz w:val="12"/>
                <w:szCs w:val="12"/>
              </w:rPr>
              <w:t>Takeaways From Last Quarter’s Investor Call Transcripts</w:t>
            </w:r>
            <w:r w:rsidRPr="009F4E3F">
              <w:rPr>
                <w:b/>
                <w:color w:val="FFFFFF" w:themeColor="background1"/>
                <w:sz w:val="12"/>
                <w:szCs w:val="12"/>
              </w:rPr>
              <w:t xml:space="preserve">: </w:t>
            </w:r>
          </w:p>
        </w:tc>
      </w:tr>
      <w:tr w:rsidR="00DB5A10" w:rsidRPr="009F4E3F" w14:paraId="75D76709" w14:textId="77777777" w:rsidTr="00DB5A10">
        <w:trPr>
          <w:trHeight w:val="70"/>
        </w:trPr>
        <w:tc>
          <w:tcPr>
            <w:tcW w:w="11700" w:type="dxa"/>
          </w:tcPr>
          <w:p w14:paraId="7A100AF1" w14:textId="53B13085" w:rsidR="00DB5A10" w:rsidRPr="009F4E3F" w:rsidRDefault="00DB5A10" w:rsidP="005E114B">
            <w:pPr>
              <w:rPr>
                <w:sz w:val="17"/>
                <w:szCs w:val="18"/>
              </w:rPr>
            </w:pPr>
          </w:p>
          <w:p w14:paraId="029410E9" w14:textId="710506A3" w:rsidR="00763ECC" w:rsidRPr="009F4E3F" w:rsidRDefault="00763ECC" w:rsidP="00763ECC">
            <w:pPr>
              <w:pStyle w:val="ListParagraph"/>
              <w:numPr>
                <w:ilvl w:val="0"/>
                <w:numId w:val="3"/>
              </w:numPr>
              <w:rPr>
                <w:sz w:val="17"/>
                <w:szCs w:val="17"/>
              </w:rPr>
            </w:pPr>
            <w:r w:rsidRPr="009F4E3F">
              <w:rPr>
                <w:sz w:val="17"/>
                <w:szCs w:val="18"/>
              </w:rPr>
              <w:t>Return on invested capital was 28.3% for 2015.  The company generated $</w:t>
            </w:r>
            <w:r w:rsidR="006D3F67">
              <w:rPr>
                <w:sz w:val="17"/>
                <w:szCs w:val="18"/>
              </w:rPr>
              <w:t>3.8</w:t>
            </w:r>
            <w:r w:rsidRPr="009F4E3F">
              <w:rPr>
                <w:sz w:val="17"/>
                <w:szCs w:val="18"/>
              </w:rPr>
              <w:t xml:space="preserve"> billion in free cash flow and returned $2.6 billion of that back to its shareholders.  The company’s 2015 financial performance ranked in the top 10% of S&amp;P industrials.</w:t>
            </w:r>
          </w:p>
          <w:p w14:paraId="0518E2DC" w14:textId="585D8E16" w:rsidR="00763ECC" w:rsidRPr="009F4E3F" w:rsidRDefault="009F4E3F" w:rsidP="00763ECC">
            <w:pPr>
              <w:pStyle w:val="ListParagraph"/>
              <w:numPr>
                <w:ilvl w:val="0"/>
                <w:numId w:val="3"/>
              </w:numPr>
              <w:rPr>
                <w:sz w:val="17"/>
                <w:szCs w:val="17"/>
              </w:rPr>
            </w:pPr>
            <w:r w:rsidRPr="009F4E3F">
              <w:rPr>
                <w:sz w:val="17"/>
                <w:szCs w:val="17"/>
              </w:rPr>
              <w:t>Capacity actions and commercial initiatives</w:t>
            </w:r>
            <w:r w:rsidR="00763ECC" w:rsidRPr="009F4E3F">
              <w:rPr>
                <w:sz w:val="17"/>
                <w:szCs w:val="17"/>
              </w:rPr>
              <w:t xml:space="preserve"> allowed the company to offset $700 million in forex pressures and held their topline revenues intact year-over-year.  This performance allowed the company to capture more than 75% of the fuel savings in 2015 which drove strong margin improvements.</w:t>
            </w:r>
          </w:p>
          <w:p w14:paraId="1820CAF8" w14:textId="3D1751ED" w:rsidR="009F4E3F" w:rsidRPr="009F4E3F" w:rsidRDefault="009F4E3F" w:rsidP="00763ECC">
            <w:pPr>
              <w:pStyle w:val="ListParagraph"/>
              <w:numPr>
                <w:ilvl w:val="0"/>
                <w:numId w:val="3"/>
              </w:numPr>
              <w:rPr>
                <w:sz w:val="17"/>
                <w:szCs w:val="18"/>
              </w:rPr>
            </w:pPr>
            <w:r w:rsidRPr="009F4E3F">
              <w:rPr>
                <w:sz w:val="17"/>
                <w:szCs w:val="17"/>
              </w:rPr>
              <w:t>Operational excellence has helped with increases to customer satisfaction, with year-to-date net promoter scores increasing more than four points to 38% when compared to 2014.  The company is consistently generating 108% of industry average revenues and north of 114% domestically.</w:t>
            </w:r>
          </w:p>
          <w:p w14:paraId="4205DC0B" w14:textId="77777777" w:rsidR="00C8063B" w:rsidRPr="009F4E3F" w:rsidRDefault="00C8063B" w:rsidP="00C8063B">
            <w:pPr>
              <w:rPr>
                <w:sz w:val="12"/>
                <w:szCs w:val="12"/>
              </w:rPr>
            </w:pPr>
          </w:p>
        </w:tc>
      </w:tr>
    </w:tbl>
    <w:p w14:paraId="5873EF7F" w14:textId="77777777" w:rsidR="00B7642F" w:rsidRPr="009F4E3F" w:rsidRDefault="00B7642F" w:rsidP="005E114B">
      <w:pPr>
        <w:rPr>
          <w:sz w:val="12"/>
          <w:szCs w:val="12"/>
        </w:rPr>
      </w:pPr>
    </w:p>
    <w:tbl>
      <w:tblPr>
        <w:tblStyle w:val="TableGrid"/>
        <w:tblW w:w="11808" w:type="dxa"/>
        <w:tblInd w:w="-1440" w:type="dxa"/>
        <w:tblLook w:val="04A0" w:firstRow="1" w:lastRow="0" w:firstColumn="1" w:lastColumn="0" w:noHBand="0" w:noVBand="1"/>
      </w:tblPr>
      <w:tblGrid>
        <w:gridCol w:w="7465"/>
        <w:gridCol w:w="4343"/>
      </w:tblGrid>
      <w:tr w:rsidR="00830F06" w:rsidRPr="009F4E3F" w14:paraId="730DB2FF" w14:textId="77777777" w:rsidTr="00034A52">
        <w:tc>
          <w:tcPr>
            <w:tcW w:w="7488" w:type="dxa"/>
            <w:shd w:val="clear" w:color="auto" w:fill="365F91" w:themeFill="accent1" w:themeFillShade="BF"/>
          </w:tcPr>
          <w:p w14:paraId="7CF6246B" w14:textId="38A66325" w:rsidR="00830F06" w:rsidRPr="009F4E3F" w:rsidRDefault="00830F06" w:rsidP="00443ED9">
            <w:pPr>
              <w:jc w:val="both"/>
              <w:rPr>
                <w:b/>
                <w:color w:val="FFFFFF" w:themeColor="background1"/>
                <w:sz w:val="12"/>
                <w:szCs w:val="12"/>
              </w:rPr>
            </w:pPr>
            <w:r w:rsidRPr="009F4E3F">
              <w:rPr>
                <w:b/>
                <w:color w:val="FFFFFF" w:themeColor="background1"/>
                <w:sz w:val="12"/>
                <w:szCs w:val="12"/>
              </w:rPr>
              <w:t>Financial Performance:</w:t>
            </w:r>
          </w:p>
        </w:tc>
        <w:tc>
          <w:tcPr>
            <w:tcW w:w="4320" w:type="dxa"/>
            <w:shd w:val="clear" w:color="auto" w:fill="365F91" w:themeFill="accent1" w:themeFillShade="BF"/>
          </w:tcPr>
          <w:p w14:paraId="09E00ADF" w14:textId="62365A7B" w:rsidR="00830F06" w:rsidRPr="009F4E3F" w:rsidRDefault="00830F06" w:rsidP="00443ED9">
            <w:pPr>
              <w:jc w:val="both"/>
              <w:rPr>
                <w:b/>
                <w:color w:val="FFFFFF" w:themeColor="background1"/>
                <w:sz w:val="12"/>
                <w:szCs w:val="12"/>
              </w:rPr>
            </w:pPr>
            <w:r w:rsidRPr="009F4E3F">
              <w:rPr>
                <w:b/>
                <w:color w:val="FFFFFF" w:themeColor="background1"/>
                <w:sz w:val="12"/>
                <w:szCs w:val="12"/>
              </w:rPr>
              <w:t xml:space="preserve">Discounted Cash Flow </w:t>
            </w:r>
          </w:p>
        </w:tc>
      </w:tr>
      <w:tr w:rsidR="00830F06" w:rsidRPr="009F4E3F" w14:paraId="0538015D" w14:textId="77777777" w:rsidTr="00830F06">
        <w:tc>
          <w:tcPr>
            <w:tcW w:w="7488" w:type="dxa"/>
          </w:tcPr>
          <w:p w14:paraId="6973B10F" w14:textId="77777777" w:rsidR="00830F06" w:rsidRPr="009F4E3F" w:rsidRDefault="00830F06" w:rsidP="00443ED9">
            <w:pPr>
              <w:jc w:val="both"/>
              <w:rPr>
                <w:b/>
                <w:sz w:val="12"/>
                <w:szCs w:val="12"/>
              </w:rPr>
            </w:pPr>
          </w:p>
          <w:tbl>
            <w:tblPr>
              <w:tblStyle w:val="TableGrid"/>
              <w:tblW w:w="0" w:type="auto"/>
              <w:tblLook w:val="04A0" w:firstRow="1" w:lastRow="0" w:firstColumn="1" w:lastColumn="0" w:noHBand="0" w:noVBand="1"/>
            </w:tblPr>
            <w:tblGrid>
              <w:gridCol w:w="1557"/>
              <w:gridCol w:w="947"/>
              <w:gridCol w:w="1051"/>
              <w:gridCol w:w="921"/>
              <w:gridCol w:w="921"/>
              <w:gridCol w:w="921"/>
              <w:gridCol w:w="921"/>
            </w:tblGrid>
            <w:tr w:rsidR="00830F06" w:rsidRPr="009F4E3F" w14:paraId="23FAEDA0" w14:textId="77777777" w:rsidTr="00CF6BDE">
              <w:tc>
                <w:tcPr>
                  <w:tcW w:w="1557" w:type="dxa"/>
                  <w:shd w:val="clear" w:color="auto" w:fill="DBE5F1" w:themeFill="accent1" w:themeFillTint="33"/>
                </w:tcPr>
                <w:p w14:paraId="165C82C4" w14:textId="77777777" w:rsidR="00830F06" w:rsidRPr="009F4E3F" w:rsidRDefault="00830F06" w:rsidP="00830F06">
                  <w:pPr>
                    <w:rPr>
                      <w:sz w:val="12"/>
                      <w:szCs w:val="12"/>
                    </w:rPr>
                  </w:pPr>
                </w:p>
              </w:tc>
              <w:tc>
                <w:tcPr>
                  <w:tcW w:w="947" w:type="dxa"/>
                  <w:shd w:val="clear" w:color="auto" w:fill="DBE5F1" w:themeFill="accent1" w:themeFillTint="33"/>
                </w:tcPr>
                <w:p w14:paraId="76114568" w14:textId="155C6F0C" w:rsidR="00830F06" w:rsidRPr="009F4E3F" w:rsidRDefault="002A6E24" w:rsidP="002A6E24">
                  <w:pPr>
                    <w:jc w:val="center"/>
                    <w:rPr>
                      <w:sz w:val="12"/>
                      <w:szCs w:val="12"/>
                    </w:rPr>
                  </w:pPr>
                  <w:r w:rsidRPr="009F4E3F">
                    <w:rPr>
                      <w:sz w:val="12"/>
                      <w:szCs w:val="12"/>
                    </w:rPr>
                    <w:t>2013</w:t>
                  </w:r>
                </w:p>
              </w:tc>
              <w:tc>
                <w:tcPr>
                  <w:tcW w:w="1051" w:type="dxa"/>
                  <w:shd w:val="clear" w:color="auto" w:fill="DBE5F1" w:themeFill="accent1" w:themeFillTint="33"/>
                </w:tcPr>
                <w:p w14:paraId="0FA0AD6E" w14:textId="5D9F23F4" w:rsidR="00830F06" w:rsidRPr="009F4E3F" w:rsidRDefault="002A6E24" w:rsidP="002A6E24">
                  <w:pPr>
                    <w:jc w:val="center"/>
                    <w:rPr>
                      <w:sz w:val="12"/>
                      <w:szCs w:val="12"/>
                    </w:rPr>
                  </w:pPr>
                  <w:r w:rsidRPr="009F4E3F">
                    <w:rPr>
                      <w:sz w:val="12"/>
                      <w:szCs w:val="12"/>
                    </w:rPr>
                    <w:t>2014</w:t>
                  </w:r>
                </w:p>
              </w:tc>
              <w:tc>
                <w:tcPr>
                  <w:tcW w:w="921" w:type="dxa"/>
                  <w:shd w:val="clear" w:color="auto" w:fill="DBE5F1" w:themeFill="accent1" w:themeFillTint="33"/>
                </w:tcPr>
                <w:p w14:paraId="222A182C" w14:textId="703E9ED5" w:rsidR="00830F06" w:rsidRPr="009F4E3F" w:rsidRDefault="002A6E24" w:rsidP="002A6E24">
                  <w:pPr>
                    <w:jc w:val="center"/>
                    <w:rPr>
                      <w:sz w:val="12"/>
                      <w:szCs w:val="12"/>
                    </w:rPr>
                  </w:pPr>
                  <w:r w:rsidRPr="009F4E3F">
                    <w:rPr>
                      <w:sz w:val="12"/>
                      <w:szCs w:val="12"/>
                    </w:rPr>
                    <w:t>Q1-2015</w:t>
                  </w:r>
                </w:p>
              </w:tc>
              <w:tc>
                <w:tcPr>
                  <w:tcW w:w="921" w:type="dxa"/>
                  <w:shd w:val="clear" w:color="auto" w:fill="DBE5F1" w:themeFill="accent1" w:themeFillTint="33"/>
                </w:tcPr>
                <w:p w14:paraId="43EE2733" w14:textId="56FECE4D" w:rsidR="00830F06" w:rsidRPr="009F4E3F" w:rsidRDefault="002A6E24" w:rsidP="002A6E24">
                  <w:pPr>
                    <w:jc w:val="center"/>
                    <w:rPr>
                      <w:sz w:val="12"/>
                      <w:szCs w:val="12"/>
                    </w:rPr>
                  </w:pPr>
                  <w:r w:rsidRPr="009F4E3F">
                    <w:rPr>
                      <w:sz w:val="12"/>
                      <w:szCs w:val="12"/>
                    </w:rPr>
                    <w:t>Q2</w:t>
                  </w:r>
                  <w:r w:rsidR="00830F06" w:rsidRPr="009F4E3F">
                    <w:rPr>
                      <w:sz w:val="12"/>
                      <w:szCs w:val="12"/>
                    </w:rPr>
                    <w:t>-2015</w:t>
                  </w:r>
                </w:p>
              </w:tc>
              <w:tc>
                <w:tcPr>
                  <w:tcW w:w="921" w:type="dxa"/>
                  <w:shd w:val="clear" w:color="auto" w:fill="DBE5F1" w:themeFill="accent1" w:themeFillTint="33"/>
                </w:tcPr>
                <w:p w14:paraId="2262B9DA" w14:textId="66AE0821" w:rsidR="00830F06" w:rsidRPr="009F4E3F" w:rsidRDefault="002A6E24" w:rsidP="002A6E24">
                  <w:pPr>
                    <w:jc w:val="center"/>
                    <w:rPr>
                      <w:sz w:val="12"/>
                      <w:szCs w:val="12"/>
                    </w:rPr>
                  </w:pPr>
                  <w:r w:rsidRPr="009F4E3F">
                    <w:rPr>
                      <w:sz w:val="12"/>
                      <w:szCs w:val="12"/>
                    </w:rPr>
                    <w:t>Q3</w:t>
                  </w:r>
                  <w:r w:rsidR="00830F06" w:rsidRPr="009F4E3F">
                    <w:rPr>
                      <w:sz w:val="12"/>
                      <w:szCs w:val="12"/>
                    </w:rPr>
                    <w:t>-2015</w:t>
                  </w:r>
                </w:p>
              </w:tc>
              <w:tc>
                <w:tcPr>
                  <w:tcW w:w="921" w:type="dxa"/>
                  <w:shd w:val="clear" w:color="auto" w:fill="DBE5F1" w:themeFill="accent1" w:themeFillTint="33"/>
                </w:tcPr>
                <w:p w14:paraId="4080B05E" w14:textId="2E2FFFF9" w:rsidR="00830F06" w:rsidRPr="009F4E3F" w:rsidRDefault="002A6E24" w:rsidP="002A6E24">
                  <w:pPr>
                    <w:jc w:val="center"/>
                    <w:rPr>
                      <w:sz w:val="12"/>
                      <w:szCs w:val="12"/>
                    </w:rPr>
                  </w:pPr>
                  <w:r w:rsidRPr="009F4E3F">
                    <w:rPr>
                      <w:sz w:val="12"/>
                      <w:szCs w:val="12"/>
                    </w:rPr>
                    <w:t>Q4</w:t>
                  </w:r>
                  <w:r w:rsidR="00830F06" w:rsidRPr="009F4E3F">
                    <w:rPr>
                      <w:sz w:val="12"/>
                      <w:szCs w:val="12"/>
                    </w:rPr>
                    <w:t>-2015</w:t>
                  </w:r>
                </w:p>
              </w:tc>
            </w:tr>
            <w:tr w:rsidR="002A6E24" w:rsidRPr="009F4E3F" w14:paraId="5835BCA6" w14:textId="77777777" w:rsidTr="00CF6BDE">
              <w:tc>
                <w:tcPr>
                  <w:tcW w:w="1557" w:type="dxa"/>
                </w:tcPr>
                <w:p w14:paraId="6C7AE70B" w14:textId="2C48DA28" w:rsidR="002A6E24" w:rsidRPr="009F4E3F" w:rsidRDefault="002A6E24" w:rsidP="00830F06">
                  <w:pPr>
                    <w:rPr>
                      <w:sz w:val="12"/>
                      <w:szCs w:val="12"/>
                    </w:rPr>
                  </w:pPr>
                  <w:r w:rsidRPr="009F4E3F">
                    <w:rPr>
                      <w:sz w:val="12"/>
                      <w:szCs w:val="12"/>
                    </w:rPr>
                    <w:t xml:space="preserve">Revenue </w:t>
                  </w:r>
                </w:p>
              </w:tc>
              <w:tc>
                <w:tcPr>
                  <w:tcW w:w="947" w:type="dxa"/>
                </w:tcPr>
                <w:p w14:paraId="41FE7B9F" w14:textId="03C08BC7" w:rsidR="002A6E24" w:rsidRPr="009F4E3F" w:rsidRDefault="002A6E24" w:rsidP="002A6E24">
                  <w:pPr>
                    <w:jc w:val="center"/>
                    <w:rPr>
                      <w:sz w:val="12"/>
                      <w:szCs w:val="12"/>
                    </w:rPr>
                  </w:pPr>
                  <w:r w:rsidRPr="009F4E3F">
                    <w:rPr>
                      <w:sz w:val="12"/>
                      <w:szCs w:val="12"/>
                    </w:rPr>
                    <w:t>$37,773.0</w:t>
                  </w:r>
                </w:p>
              </w:tc>
              <w:tc>
                <w:tcPr>
                  <w:tcW w:w="1051" w:type="dxa"/>
                </w:tcPr>
                <w:p w14:paraId="5AD94885" w14:textId="18FE3608" w:rsidR="002A6E24" w:rsidRPr="009F4E3F" w:rsidRDefault="002A6E24" w:rsidP="002A6E24">
                  <w:pPr>
                    <w:jc w:val="center"/>
                    <w:rPr>
                      <w:sz w:val="12"/>
                      <w:szCs w:val="12"/>
                    </w:rPr>
                  </w:pPr>
                  <w:r w:rsidRPr="009F4E3F">
                    <w:rPr>
                      <w:sz w:val="12"/>
                      <w:szCs w:val="12"/>
                    </w:rPr>
                    <w:t>$40,362.0</w:t>
                  </w:r>
                </w:p>
              </w:tc>
              <w:tc>
                <w:tcPr>
                  <w:tcW w:w="921" w:type="dxa"/>
                </w:tcPr>
                <w:p w14:paraId="5CBFF446" w14:textId="3AB48C12" w:rsidR="002A6E24" w:rsidRPr="009F4E3F" w:rsidRDefault="002A6E24" w:rsidP="002A6E24">
                  <w:pPr>
                    <w:jc w:val="center"/>
                    <w:rPr>
                      <w:sz w:val="12"/>
                      <w:szCs w:val="12"/>
                    </w:rPr>
                  </w:pPr>
                  <w:r w:rsidRPr="009F4E3F">
                    <w:rPr>
                      <w:sz w:val="12"/>
                      <w:szCs w:val="12"/>
                    </w:rPr>
                    <w:t>$9,388.0</w:t>
                  </w:r>
                </w:p>
              </w:tc>
              <w:tc>
                <w:tcPr>
                  <w:tcW w:w="921" w:type="dxa"/>
                </w:tcPr>
                <w:p w14:paraId="4B0B1917" w14:textId="1459B1EA" w:rsidR="002A6E24" w:rsidRPr="009F4E3F" w:rsidRDefault="002A6E24" w:rsidP="002A6E24">
                  <w:pPr>
                    <w:jc w:val="center"/>
                    <w:rPr>
                      <w:sz w:val="12"/>
                      <w:szCs w:val="12"/>
                    </w:rPr>
                  </w:pPr>
                  <w:r w:rsidRPr="009F4E3F">
                    <w:rPr>
                      <w:sz w:val="12"/>
                      <w:szCs w:val="12"/>
                    </w:rPr>
                    <w:t>$10,707.0</w:t>
                  </w:r>
                </w:p>
              </w:tc>
              <w:tc>
                <w:tcPr>
                  <w:tcW w:w="921" w:type="dxa"/>
                </w:tcPr>
                <w:p w14:paraId="03CE6445" w14:textId="500B22B7" w:rsidR="002A6E24" w:rsidRPr="009F4E3F" w:rsidRDefault="002A6E24" w:rsidP="002A6E24">
                  <w:pPr>
                    <w:jc w:val="center"/>
                    <w:rPr>
                      <w:sz w:val="12"/>
                      <w:szCs w:val="12"/>
                    </w:rPr>
                  </w:pPr>
                  <w:r w:rsidRPr="009F4E3F">
                    <w:rPr>
                      <w:sz w:val="12"/>
                      <w:szCs w:val="12"/>
                    </w:rPr>
                    <w:t>$11,107.0</w:t>
                  </w:r>
                </w:p>
              </w:tc>
              <w:tc>
                <w:tcPr>
                  <w:tcW w:w="921" w:type="dxa"/>
                </w:tcPr>
                <w:p w14:paraId="1FE96789" w14:textId="563FB5F9" w:rsidR="002A6E24" w:rsidRPr="009F4E3F" w:rsidRDefault="002A6E24" w:rsidP="002A6E24">
                  <w:pPr>
                    <w:jc w:val="center"/>
                    <w:rPr>
                      <w:sz w:val="12"/>
                      <w:szCs w:val="12"/>
                    </w:rPr>
                  </w:pPr>
                  <w:r w:rsidRPr="009F4E3F">
                    <w:rPr>
                      <w:sz w:val="12"/>
                      <w:szCs w:val="12"/>
                    </w:rPr>
                    <w:t>$9,502.0</w:t>
                  </w:r>
                </w:p>
              </w:tc>
            </w:tr>
            <w:tr w:rsidR="002A6E24" w:rsidRPr="009F4E3F" w14:paraId="0D74DF99" w14:textId="77777777" w:rsidTr="00CF6BDE">
              <w:tc>
                <w:tcPr>
                  <w:tcW w:w="1557" w:type="dxa"/>
                </w:tcPr>
                <w:p w14:paraId="209309E4" w14:textId="77777777" w:rsidR="002A6E24" w:rsidRPr="009F4E3F" w:rsidRDefault="002A6E24" w:rsidP="00830F06">
                  <w:pPr>
                    <w:rPr>
                      <w:sz w:val="12"/>
                      <w:szCs w:val="12"/>
                    </w:rPr>
                  </w:pPr>
                  <w:r w:rsidRPr="009F4E3F">
                    <w:rPr>
                      <w:sz w:val="12"/>
                      <w:szCs w:val="12"/>
                    </w:rPr>
                    <w:t>Operating Profit</w:t>
                  </w:r>
                </w:p>
              </w:tc>
              <w:tc>
                <w:tcPr>
                  <w:tcW w:w="947" w:type="dxa"/>
                </w:tcPr>
                <w:p w14:paraId="43EF44A6" w14:textId="0FDF1D7E" w:rsidR="002A6E24" w:rsidRPr="009F4E3F" w:rsidRDefault="00C5728A" w:rsidP="002A6E24">
                  <w:pPr>
                    <w:jc w:val="center"/>
                    <w:rPr>
                      <w:sz w:val="12"/>
                      <w:szCs w:val="12"/>
                    </w:rPr>
                  </w:pPr>
                  <w:r w:rsidRPr="009F4E3F">
                    <w:rPr>
                      <w:sz w:val="12"/>
                      <w:szCs w:val="12"/>
                    </w:rPr>
                    <w:t>3,548.0</w:t>
                  </w:r>
                </w:p>
              </w:tc>
              <w:tc>
                <w:tcPr>
                  <w:tcW w:w="1051" w:type="dxa"/>
                </w:tcPr>
                <w:p w14:paraId="4D295F75" w14:textId="7D7B2E81" w:rsidR="002A6E24" w:rsidRPr="009F4E3F" w:rsidRDefault="00C5728A" w:rsidP="002A6E24">
                  <w:pPr>
                    <w:jc w:val="center"/>
                    <w:rPr>
                      <w:sz w:val="12"/>
                      <w:szCs w:val="12"/>
                    </w:rPr>
                  </w:pPr>
                  <w:r w:rsidRPr="009F4E3F">
                    <w:rPr>
                      <w:sz w:val="12"/>
                      <w:szCs w:val="12"/>
                    </w:rPr>
                    <w:t>5,222.0</w:t>
                  </w:r>
                </w:p>
              </w:tc>
              <w:tc>
                <w:tcPr>
                  <w:tcW w:w="921" w:type="dxa"/>
                </w:tcPr>
                <w:p w14:paraId="473FEC76" w14:textId="2A361F8C" w:rsidR="002A6E24" w:rsidRPr="009F4E3F" w:rsidRDefault="00521753" w:rsidP="002A6E24">
                  <w:pPr>
                    <w:jc w:val="center"/>
                    <w:rPr>
                      <w:sz w:val="12"/>
                      <w:szCs w:val="12"/>
                    </w:rPr>
                  </w:pPr>
                  <w:r w:rsidRPr="009F4E3F">
                    <w:rPr>
                      <w:sz w:val="12"/>
                      <w:szCs w:val="12"/>
                    </w:rPr>
                    <w:t>806.0</w:t>
                  </w:r>
                </w:p>
              </w:tc>
              <w:tc>
                <w:tcPr>
                  <w:tcW w:w="921" w:type="dxa"/>
                </w:tcPr>
                <w:p w14:paraId="7A5F465A" w14:textId="7964F634" w:rsidR="002A6E24" w:rsidRPr="009F4E3F" w:rsidRDefault="00521753" w:rsidP="002A6E24">
                  <w:pPr>
                    <w:jc w:val="center"/>
                    <w:rPr>
                      <w:sz w:val="12"/>
                      <w:szCs w:val="12"/>
                    </w:rPr>
                  </w:pPr>
                  <w:r w:rsidRPr="009F4E3F">
                    <w:rPr>
                      <w:sz w:val="12"/>
                      <w:szCs w:val="12"/>
                    </w:rPr>
                    <w:t>1,748.0</w:t>
                  </w:r>
                </w:p>
              </w:tc>
              <w:tc>
                <w:tcPr>
                  <w:tcW w:w="921" w:type="dxa"/>
                </w:tcPr>
                <w:p w14:paraId="341AE295" w14:textId="31461982" w:rsidR="002A6E24" w:rsidRPr="009F4E3F" w:rsidRDefault="00521753" w:rsidP="002A6E24">
                  <w:pPr>
                    <w:jc w:val="center"/>
                    <w:rPr>
                      <w:sz w:val="12"/>
                      <w:szCs w:val="12"/>
                    </w:rPr>
                  </w:pPr>
                  <w:r w:rsidRPr="009F4E3F">
                    <w:rPr>
                      <w:sz w:val="12"/>
                      <w:szCs w:val="12"/>
                    </w:rPr>
                    <w:t>2,325.0</w:t>
                  </w:r>
                </w:p>
              </w:tc>
              <w:tc>
                <w:tcPr>
                  <w:tcW w:w="921" w:type="dxa"/>
                </w:tcPr>
                <w:p w14:paraId="06733996" w14:textId="694D6A5D" w:rsidR="002A6E24" w:rsidRPr="009F4E3F" w:rsidRDefault="00521753" w:rsidP="002A6E24">
                  <w:pPr>
                    <w:jc w:val="center"/>
                    <w:rPr>
                      <w:sz w:val="12"/>
                      <w:szCs w:val="12"/>
                    </w:rPr>
                  </w:pPr>
                  <w:r w:rsidRPr="009F4E3F">
                    <w:rPr>
                      <w:sz w:val="12"/>
                      <w:szCs w:val="12"/>
                    </w:rPr>
                    <w:t>1,631.0</w:t>
                  </w:r>
                </w:p>
              </w:tc>
            </w:tr>
            <w:tr w:rsidR="002A6E24" w:rsidRPr="009F4E3F" w14:paraId="329334DC" w14:textId="77777777" w:rsidTr="00CF6BDE">
              <w:tc>
                <w:tcPr>
                  <w:tcW w:w="1557" w:type="dxa"/>
                </w:tcPr>
                <w:p w14:paraId="57B2BB96" w14:textId="25980E61" w:rsidR="002A6E24" w:rsidRPr="009F4E3F" w:rsidRDefault="002A6E24" w:rsidP="00830F06">
                  <w:pPr>
                    <w:rPr>
                      <w:sz w:val="12"/>
                      <w:szCs w:val="12"/>
                    </w:rPr>
                  </w:pPr>
                  <w:r w:rsidRPr="009F4E3F">
                    <w:rPr>
                      <w:sz w:val="12"/>
                      <w:szCs w:val="12"/>
                    </w:rPr>
                    <w:t xml:space="preserve">Net Income </w:t>
                  </w:r>
                </w:p>
              </w:tc>
              <w:tc>
                <w:tcPr>
                  <w:tcW w:w="947" w:type="dxa"/>
                </w:tcPr>
                <w:p w14:paraId="7ED33C82" w14:textId="102949F0" w:rsidR="002A6E24" w:rsidRPr="009F4E3F" w:rsidRDefault="00F557AE" w:rsidP="002A6E24">
                  <w:pPr>
                    <w:jc w:val="center"/>
                    <w:rPr>
                      <w:sz w:val="12"/>
                      <w:szCs w:val="12"/>
                    </w:rPr>
                  </w:pPr>
                  <w:r>
                    <w:rPr>
                      <w:sz w:val="12"/>
                      <w:szCs w:val="12"/>
                    </w:rPr>
                    <w:t>10,540</w:t>
                  </w:r>
                </w:p>
              </w:tc>
              <w:tc>
                <w:tcPr>
                  <w:tcW w:w="1051" w:type="dxa"/>
                </w:tcPr>
                <w:p w14:paraId="08C55153" w14:textId="72B0173E" w:rsidR="002A6E24" w:rsidRPr="009F4E3F" w:rsidRDefault="00C5728A" w:rsidP="002A6E24">
                  <w:pPr>
                    <w:jc w:val="center"/>
                    <w:rPr>
                      <w:sz w:val="12"/>
                      <w:szCs w:val="12"/>
                    </w:rPr>
                  </w:pPr>
                  <w:bookmarkStart w:id="0" w:name="_GoBack"/>
                  <w:r w:rsidRPr="009F4E3F">
                    <w:rPr>
                      <w:sz w:val="12"/>
                      <w:szCs w:val="12"/>
                    </w:rPr>
                    <w:t>2,759.0</w:t>
                  </w:r>
                  <w:bookmarkEnd w:id="0"/>
                </w:p>
              </w:tc>
              <w:tc>
                <w:tcPr>
                  <w:tcW w:w="921" w:type="dxa"/>
                </w:tcPr>
                <w:p w14:paraId="14CD87A4" w14:textId="59F65F54" w:rsidR="002A6E24" w:rsidRPr="009F4E3F" w:rsidRDefault="00521753" w:rsidP="002A6E24">
                  <w:pPr>
                    <w:jc w:val="center"/>
                    <w:rPr>
                      <w:sz w:val="12"/>
                      <w:szCs w:val="12"/>
                    </w:rPr>
                  </w:pPr>
                  <w:r w:rsidRPr="009F4E3F">
                    <w:rPr>
                      <w:sz w:val="12"/>
                      <w:szCs w:val="12"/>
                    </w:rPr>
                    <w:t>746.0</w:t>
                  </w:r>
                </w:p>
              </w:tc>
              <w:tc>
                <w:tcPr>
                  <w:tcW w:w="921" w:type="dxa"/>
                </w:tcPr>
                <w:p w14:paraId="2BD951AE" w14:textId="5BB408C8" w:rsidR="002A6E24" w:rsidRPr="009F4E3F" w:rsidRDefault="00521753" w:rsidP="002A6E24">
                  <w:pPr>
                    <w:jc w:val="center"/>
                    <w:rPr>
                      <w:sz w:val="12"/>
                      <w:szCs w:val="12"/>
                    </w:rPr>
                  </w:pPr>
                  <w:r w:rsidRPr="009F4E3F">
                    <w:rPr>
                      <w:sz w:val="12"/>
                      <w:szCs w:val="12"/>
                    </w:rPr>
                    <w:t>1,485.0</w:t>
                  </w:r>
                </w:p>
              </w:tc>
              <w:tc>
                <w:tcPr>
                  <w:tcW w:w="921" w:type="dxa"/>
                </w:tcPr>
                <w:p w14:paraId="4B1F5567" w14:textId="24C1D6BF" w:rsidR="002A6E24" w:rsidRPr="009F4E3F" w:rsidRDefault="00521753" w:rsidP="002A6E24">
                  <w:pPr>
                    <w:jc w:val="center"/>
                    <w:rPr>
                      <w:sz w:val="12"/>
                      <w:szCs w:val="12"/>
                    </w:rPr>
                  </w:pPr>
                  <w:r w:rsidRPr="009F4E3F">
                    <w:rPr>
                      <w:sz w:val="12"/>
                      <w:szCs w:val="12"/>
                    </w:rPr>
                    <w:t>1,315.0</w:t>
                  </w:r>
                </w:p>
              </w:tc>
              <w:tc>
                <w:tcPr>
                  <w:tcW w:w="921" w:type="dxa"/>
                </w:tcPr>
                <w:p w14:paraId="0C1C3E6B" w14:textId="3B581B0E" w:rsidR="002A6E24" w:rsidRPr="009F4E3F" w:rsidRDefault="00521753" w:rsidP="002A6E24">
                  <w:pPr>
                    <w:jc w:val="center"/>
                    <w:rPr>
                      <w:sz w:val="12"/>
                      <w:szCs w:val="12"/>
                    </w:rPr>
                  </w:pPr>
                  <w:r w:rsidRPr="009F4E3F">
                    <w:rPr>
                      <w:sz w:val="12"/>
                      <w:szCs w:val="12"/>
                    </w:rPr>
                    <w:t>980.0</w:t>
                  </w:r>
                </w:p>
              </w:tc>
            </w:tr>
            <w:tr w:rsidR="002A6E24" w:rsidRPr="009F4E3F" w14:paraId="334202CA" w14:textId="77777777" w:rsidTr="00CF6BDE">
              <w:tc>
                <w:tcPr>
                  <w:tcW w:w="1557" w:type="dxa"/>
                </w:tcPr>
                <w:p w14:paraId="545FB948" w14:textId="77777777" w:rsidR="002A6E24" w:rsidRPr="009F4E3F" w:rsidRDefault="002A6E24" w:rsidP="00830F06">
                  <w:pPr>
                    <w:rPr>
                      <w:sz w:val="12"/>
                      <w:szCs w:val="12"/>
                    </w:rPr>
                  </w:pPr>
                  <w:r w:rsidRPr="009F4E3F">
                    <w:rPr>
                      <w:sz w:val="12"/>
                      <w:szCs w:val="12"/>
                    </w:rPr>
                    <w:t>Revenue Growth %</w:t>
                  </w:r>
                </w:p>
              </w:tc>
              <w:tc>
                <w:tcPr>
                  <w:tcW w:w="947" w:type="dxa"/>
                </w:tcPr>
                <w:p w14:paraId="7753E56E" w14:textId="57EAA604" w:rsidR="002A6E24" w:rsidRPr="009F4E3F" w:rsidRDefault="00C5728A" w:rsidP="002A6E24">
                  <w:pPr>
                    <w:jc w:val="center"/>
                    <w:rPr>
                      <w:sz w:val="12"/>
                      <w:szCs w:val="12"/>
                    </w:rPr>
                  </w:pPr>
                  <w:r w:rsidRPr="009F4E3F">
                    <w:rPr>
                      <w:sz w:val="12"/>
                      <w:szCs w:val="12"/>
                    </w:rPr>
                    <w:t>3.01%</w:t>
                  </w:r>
                </w:p>
              </w:tc>
              <w:tc>
                <w:tcPr>
                  <w:tcW w:w="1051" w:type="dxa"/>
                </w:tcPr>
                <w:p w14:paraId="6895AAD7" w14:textId="5FEFDC31" w:rsidR="002A6E24" w:rsidRPr="009F4E3F" w:rsidRDefault="00C5728A" w:rsidP="002A6E24">
                  <w:pPr>
                    <w:jc w:val="center"/>
                    <w:rPr>
                      <w:sz w:val="12"/>
                      <w:szCs w:val="12"/>
                    </w:rPr>
                  </w:pPr>
                  <w:r w:rsidRPr="009F4E3F">
                    <w:rPr>
                      <w:sz w:val="12"/>
                      <w:szCs w:val="12"/>
                    </w:rPr>
                    <w:t>6.85%</w:t>
                  </w:r>
                </w:p>
              </w:tc>
              <w:tc>
                <w:tcPr>
                  <w:tcW w:w="921" w:type="dxa"/>
                </w:tcPr>
                <w:p w14:paraId="50C7D9F0" w14:textId="4995684F" w:rsidR="002A6E24" w:rsidRPr="009F4E3F" w:rsidRDefault="00521753" w:rsidP="002A6E24">
                  <w:pPr>
                    <w:jc w:val="center"/>
                    <w:rPr>
                      <w:sz w:val="12"/>
                      <w:szCs w:val="12"/>
                    </w:rPr>
                  </w:pPr>
                  <w:r w:rsidRPr="009F4E3F">
                    <w:rPr>
                      <w:sz w:val="12"/>
                      <w:szCs w:val="12"/>
                    </w:rPr>
                    <w:t>-2.68%</w:t>
                  </w:r>
                </w:p>
              </w:tc>
              <w:tc>
                <w:tcPr>
                  <w:tcW w:w="921" w:type="dxa"/>
                </w:tcPr>
                <w:p w14:paraId="1E00B23E" w14:textId="03CF68E2" w:rsidR="002A6E24" w:rsidRPr="009F4E3F" w:rsidRDefault="00521753" w:rsidP="002A6E24">
                  <w:pPr>
                    <w:jc w:val="center"/>
                    <w:rPr>
                      <w:sz w:val="12"/>
                      <w:szCs w:val="12"/>
                    </w:rPr>
                  </w:pPr>
                  <w:r w:rsidRPr="009F4E3F">
                    <w:rPr>
                      <w:sz w:val="12"/>
                      <w:szCs w:val="12"/>
                    </w:rPr>
                    <w:t>14.05%</w:t>
                  </w:r>
                </w:p>
              </w:tc>
              <w:tc>
                <w:tcPr>
                  <w:tcW w:w="921" w:type="dxa"/>
                </w:tcPr>
                <w:p w14:paraId="1BC2B723" w14:textId="46F752D5" w:rsidR="002A6E24" w:rsidRPr="009F4E3F" w:rsidRDefault="00521753" w:rsidP="002A6E24">
                  <w:pPr>
                    <w:jc w:val="center"/>
                    <w:rPr>
                      <w:sz w:val="12"/>
                      <w:szCs w:val="12"/>
                    </w:rPr>
                  </w:pPr>
                  <w:r w:rsidRPr="009F4E3F">
                    <w:rPr>
                      <w:sz w:val="12"/>
                      <w:szCs w:val="12"/>
                    </w:rPr>
                    <w:t>3.74%</w:t>
                  </w:r>
                </w:p>
              </w:tc>
              <w:tc>
                <w:tcPr>
                  <w:tcW w:w="921" w:type="dxa"/>
                </w:tcPr>
                <w:p w14:paraId="17F87F8D" w14:textId="1931A014" w:rsidR="002A6E24" w:rsidRPr="009F4E3F" w:rsidRDefault="00521753" w:rsidP="002A6E24">
                  <w:pPr>
                    <w:jc w:val="center"/>
                    <w:rPr>
                      <w:sz w:val="12"/>
                      <w:szCs w:val="12"/>
                    </w:rPr>
                  </w:pPr>
                  <w:r w:rsidRPr="009F4E3F">
                    <w:rPr>
                      <w:sz w:val="12"/>
                      <w:szCs w:val="12"/>
                    </w:rPr>
                    <w:t>-14.45%</w:t>
                  </w:r>
                </w:p>
              </w:tc>
            </w:tr>
            <w:tr w:rsidR="002A6E24" w:rsidRPr="009F4E3F" w14:paraId="100621BB" w14:textId="77777777" w:rsidTr="00CF6BDE">
              <w:tc>
                <w:tcPr>
                  <w:tcW w:w="1557" w:type="dxa"/>
                </w:tcPr>
                <w:p w14:paraId="0671CC90" w14:textId="77777777" w:rsidR="002A6E24" w:rsidRPr="009F4E3F" w:rsidRDefault="002A6E24" w:rsidP="00830F06">
                  <w:pPr>
                    <w:rPr>
                      <w:sz w:val="12"/>
                      <w:szCs w:val="12"/>
                    </w:rPr>
                  </w:pPr>
                  <w:r w:rsidRPr="009F4E3F">
                    <w:rPr>
                      <w:sz w:val="12"/>
                      <w:szCs w:val="12"/>
                    </w:rPr>
                    <w:t>EBITDA%</w:t>
                  </w:r>
                </w:p>
              </w:tc>
              <w:tc>
                <w:tcPr>
                  <w:tcW w:w="947" w:type="dxa"/>
                </w:tcPr>
                <w:p w14:paraId="56C1673C" w14:textId="5D291969" w:rsidR="002A6E24" w:rsidRPr="009F4E3F" w:rsidRDefault="00C5728A" w:rsidP="002A6E24">
                  <w:pPr>
                    <w:jc w:val="center"/>
                    <w:rPr>
                      <w:sz w:val="12"/>
                      <w:szCs w:val="12"/>
                    </w:rPr>
                  </w:pPr>
                  <w:r w:rsidRPr="009F4E3F">
                    <w:rPr>
                      <w:sz w:val="12"/>
                      <w:szCs w:val="12"/>
                    </w:rPr>
                    <w:t>13.39%</w:t>
                  </w:r>
                </w:p>
              </w:tc>
              <w:tc>
                <w:tcPr>
                  <w:tcW w:w="1051" w:type="dxa"/>
                </w:tcPr>
                <w:p w14:paraId="54A2481B" w14:textId="0CC0B4F4" w:rsidR="002A6E24" w:rsidRPr="009F4E3F" w:rsidRDefault="00C5728A" w:rsidP="002A6E24">
                  <w:pPr>
                    <w:jc w:val="center"/>
                    <w:rPr>
                      <w:sz w:val="12"/>
                      <w:szCs w:val="12"/>
                    </w:rPr>
                  </w:pPr>
                  <w:r w:rsidRPr="009F4E3F">
                    <w:rPr>
                      <w:sz w:val="12"/>
                      <w:szCs w:val="12"/>
                    </w:rPr>
                    <w:t>9.85%</w:t>
                  </w:r>
                </w:p>
              </w:tc>
              <w:tc>
                <w:tcPr>
                  <w:tcW w:w="921" w:type="dxa"/>
                </w:tcPr>
                <w:p w14:paraId="70B50F71" w14:textId="1FD6EBEB" w:rsidR="002A6E24" w:rsidRPr="009F4E3F" w:rsidRDefault="00521753" w:rsidP="002A6E24">
                  <w:pPr>
                    <w:jc w:val="center"/>
                    <w:rPr>
                      <w:sz w:val="12"/>
                      <w:szCs w:val="12"/>
                    </w:rPr>
                  </w:pPr>
                  <w:r w:rsidRPr="009F4E3F">
                    <w:rPr>
                      <w:sz w:val="12"/>
                      <w:szCs w:val="12"/>
                    </w:rPr>
                    <w:t>13.59%</w:t>
                  </w:r>
                </w:p>
              </w:tc>
              <w:tc>
                <w:tcPr>
                  <w:tcW w:w="921" w:type="dxa"/>
                </w:tcPr>
                <w:p w14:paraId="6D1E67DF" w14:textId="1325693F" w:rsidR="002A6E24" w:rsidRPr="009F4E3F" w:rsidRDefault="00521753" w:rsidP="002A6E24">
                  <w:pPr>
                    <w:jc w:val="center"/>
                    <w:rPr>
                      <w:sz w:val="12"/>
                      <w:szCs w:val="12"/>
                    </w:rPr>
                  </w:pPr>
                  <w:r w:rsidRPr="009F4E3F">
                    <w:rPr>
                      <w:sz w:val="12"/>
                      <w:szCs w:val="12"/>
                    </w:rPr>
                    <w:t>20.51%</w:t>
                  </w:r>
                </w:p>
              </w:tc>
              <w:tc>
                <w:tcPr>
                  <w:tcW w:w="921" w:type="dxa"/>
                </w:tcPr>
                <w:p w14:paraId="4283BFBC" w14:textId="1D434552" w:rsidR="002A6E24" w:rsidRPr="009F4E3F" w:rsidRDefault="00521753" w:rsidP="002A6E24">
                  <w:pPr>
                    <w:jc w:val="center"/>
                    <w:rPr>
                      <w:sz w:val="12"/>
                      <w:szCs w:val="12"/>
                    </w:rPr>
                  </w:pPr>
                  <w:r w:rsidRPr="009F4E3F">
                    <w:rPr>
                      <w:sz w:val="12"/>
                      <w:szCs w:val="12"/>
                    </w:rPr>
                    <w:t>25.13%</w:t>
                  </w:r>
                </w:p>
              </w:tc>
              <w:tc>
                <w:tcPr>
                  <w:tcW w:w="921" w:type="dxa"/>
                </w:tcPr>
                <w:p w14:paraId="535F7486" w14:textId="38C70D71" w:rsidR="002A6E24" w:rsidRPr="009F4E3F" w:rsidRDefault="00521753" w:rsidP="002A6E24">
                  <w:pPr>
                    <w:jc w:val="center"/>
                    <w:rPr>
                      <w:sz w:val="12"/>
                      <w:szCs w:val="12"/>
                    </w:rPr>
                  </w:pPr>
                  <w:r w:rsidRPr="009F4E3F">
                    <w:rPr>
                      <w:sz w:val="12"/>
                      <w:szCs w:val="12"/>
                    </w:rPr>
                    <w:t>21.91%</w:t>
                  </w:r>
                </w:p>
              </w:tc>
            </w:tr>
            <w:tr w:rsidR="002A6E24" w:rsidRPr="009F4E3F" w14:paraId="3CD7B755" w14:textId="77777777" w:rsidTr="00CF6BDE">
              <w:tc>
                <w:tcPr>
                  <w:tcW w:w="1557" w:type="dxa"/>
                </w:tcPr>
                <w:p w14:paraId="5648CFBC" w14:textId="77777777" w:rsidR="002A6E24" w:rsidRPr="009F4E3F" w:rsidRDefault="002A6E24" w:rsidP="00830F06">
                  <w:pPr>
                    <w:rPr>
                      <w:sz w:val="12"/>
                      <w:szCs w:val="12"/>
                    </w:rPr>
                  </w:pPr>
                  <w:r w:rsidRPr="009F4E3F">
                    <w:rPr>
                      <w:sz w:val="12"/>
                      <w:szCs w:val="12"/>
                    </w:rPr>
                    <w:t>Operating Profit %</w:t>
                  </w:r>
                </w:p>
              </w:tc>
              <w:tc>
                <w:tcPr>
                  <w:tcW w:w="947" w:type="dxa"/>
                </w:tcPr>
                <w:p w14:paraId="4256401B" w14:textId="04CED388" w:rsidR="002A6E24" w:rsidRPr="009F4E3F" w:rsidRDefault="00C5728A" w:rsidP="002A6E24">
                  <w:pPr>
                    <w:jc w:val="center"/>
                    <w:rPr>
                      <w:sz w:val="12"/>
                      <w:szCs w:val="12"/>
                    </w:rPr>
                  </w:pPr>
                  <w:r w:rsidRPr="009F4E3F">
                    <w:rPr>
                      <w:sz w:val="12"/>
                      <w:szCs w:val="12"/>
                    </w:rPr>
                    <w:t>9.00%</w:t>
                  </w:r>
                </w:p>
              </w:tc>
              <w:tc>
                <w:tcPr>
                  <w:tcW w:w="1051" w:type="dxa"/>
                </w:tcPr>
                <w:p w14:paraId="01E6195D" w14:textId="0D95C793" w:rsidR="002A6E24" w:rsidRPr="009F4E3F" w:rsidRDefault="00C5728A" w:rsidP="002A6E24">
                  <w:pPr>
                    <w:jc w:val="center"/>
                    <w:rPr>
                      <w:sz w:val="12"/>
                      <w:szCs w:val="12"/>
                    </w:rPr>
                  </w:pPr>
                  <w:r w:rsidRPr="009F4E3F">
                    <w:rPr>
                      <w:sz w:val="12"/>
                      <w:szCs w:val="12"/>
                    </w:rPr>
                    <w:t>5.47%</w:t>
                  </w:r>
                </w:p>
              </w:tc>
              <w:tc>
                <w:tcPr>
                  <w:tcW w:w="921" w:type="dxa"/>
                </w:tcPr>
                <w:p w14:paraId="7367B82F" w14:textId="475B79CC" w:rsidR="002A6E24" w:rsidRPr="009F4E3F" w:rsidRDefault="00521753" w:rsidP="002A6E24">
                  <w:pPr>
                    <w:jc w:val="center"/>
                    <w:rPr>
                      <w:sz w:val="12"/>
                      <w:szCs w:val="12"/>
                    </w:rPr>
                  </w:pPr>
                  <w:r w:rsidRPr="009F4E3F">
                    <w:rPr>
                      <w:sz w:val="12"/>
                      <w:szCs w:val="12"/>
                    </w:rPr>
                    <w:t>8.59%</w:t>
                  </w:r>
                </w:p>
              </w:tc>
              <w:tc>
                <w:tcPr>
                  <w:tcW w:w="921" w:type="dxa"/>
                </w:tcPr>
                <w:p w14:paraId="6D11D424" w14:textId="1B5C6778" w:rsidR="002A6E24" w:rsidRPr="009F4E3F" w:rsidRDefault="00521753" w:rsidP="002A6E24">
                  <w:pPr>
                    <w:jc w:val="center"/>
                    <w:rPr>
                      <w:sz w:val="12"/>
                      <w:szCs w:val="12"/>
                    </w:rPr>
                  </w:pPr>
                  <w:r w:rsidRPr="009F4E3F">
                    <w:rPr>
                      <w:sz w:val="12"/>
                      <w:szCs w:val="12"/>
                    </w:rPr>
                    <w:t>16.33%</w:t>
                  </w:r>
                </w:p>
              </w:tc>
              <w:tc>
                <w:tcPr>
                  <w:tcW w:w="921" w:type="dxa"/>
                </w:tcPr>
                <w:p w14:paraId="60045D97" w14:textId="42FA30B3" w:rsidR="002A6E24" w:rsidRPr="009F4E3F" w:rsidRDefault="00521753" w:rsidP="002A6E24">
                  <w:pPr>
                    <w:jc w:val="center"/>
                    <w:rPr>
                      <w:sz w:val="12"/>
                      <w:szCs w:val="12"/>
                    </w:rPr>
                  </w:pPr>
                  <w:r w:rsidRPr="009F4E3F">
                    <w:rPr>
                      <w:sz w:val="12"/>
                      <w:szCs w:val="12"/>
                    </w:rPr>
                    <w:t>20.93%</w:t>
                  </w:r>
                </w:p>
              </w:tc>
              <w:tc>
                <w:tcPr>
                  <w:tcW w:w="921" w:type="dxa"/>
                </w:tcPr>
                <w:p w14:paraId="22875514" w14:textId="132B0F28" w:rsidR="002A6E24" w:rsidRPr="009F4E3F" w:rsidRDefault="00521753" w:rsidP="002A6E24">
                  <w:pPr>
                    <w:jc w:val="center"/>
                    <w:rPr>
                      <w:sz w:val="12"/>
                      <w:szCs w:val="12"/>
                    </w:rPr>
                  </w:pPr>
                  <w:r w:rsidRPr="009F4E3F">
                    <w:rPr>
                      <w:sz w:val="12"/>
                      <w:szCs w:val="12"/>
                    </w:rPr>
                    <w:t>17.16%</w:t>
                  </w:r>
                </w:p>
              </w:tc>
            </w:tr>
            <w:tr w:rsidR="002A6E24" w:rsidRPr="009F4E3F" w14:paraId="17F9D92A" w14:textId="77777777" w:rsidTr="00CF6BDE">
              <w:tc>
                <w:tcPr>
                  <w:tcW w:w="1557" w:type="dxa"/>
                </w:tcPr>
                <w:p w14:paraId="3AA11444" w14:textId="6FAB085E" w:rsidR="002A6E24" w:rsidRPr="009F4E3F" w:rsidRDefault="002A6E24" w:rsidP="00830F06">
                  <w:pPr>
                    <w:rPr>
                      <w:sz w:val="12"/>
                      <w:szCs w:val="12"/>
                    </w:rPr>
                  </w:pPr>
                  <w:r w:rsidRPr="009F4E3F">
                    <w:rPr>
                      <w:sz w:val="12"/>
                      <w:szCs w:val="12"/>
                    </w:rPr>
                    <w:t>Net Income Margin</w:t>
                  </w:r>
                </w:p>
              </w:tc>
              <w:tc>
                <w:tcPr>
                  <w:tcW w:w="947" w:type="dxa"/>
                </w:tcPr>
                <w:p w14:paraId="50934D1E" w14:textId="0C543393" w:rsidR="002A6E24" w:rsidRPr="009F4E3F" w:rsidRDefault="00C5728A" w:rsidP="002A6E24">
                  <w:pPr>
                    <w:jc w:val="center"/>
                    <w:rPr>
                      <w:sz w:val="12"/>
                      <w:szCs w:val="12"/>
                    </w:rPr>
                  </w:pPr>
                  <w:r w:rsidRPr="009F4E3F">
                    <w:rPr>
                      <w:sz w:val="12"/>
                      <w:szCs w:val="12"/>
                    </w:rPr>
                    <w:t>27.90%</w:t>
                  </w:r>
                </w:p>
              </w:tc>
              <w:tc>
                <w:tcPr>
                  <w:tcW w:w="1051" w:type="dxa"/>
                </w:tcPr>
                <w:p w14:paraId="3E025EA0" w14:textId="154B4CD2" w:rsidR="002A6E24" w:rsidRPr="009F4E3F" w:rsidRDefault="00C5728A" w:rsidP="002A6E24">
                  <w:pPr>
                    <w:jc w:val="center"/>
                    <w:rPr>
                      <w:sz w:val="12"/>
                      <w:szCs w:val="12"/>
                    </w:rPr>
                  </w:pPr>
                  <w:r w:rsidRPr="009F4E3F">
                    <w:rPr>
                      <w:sz w:val="12"/>
                      <w:szCs w:val="12"/>
                    </w:rPr>
                    <w:t>1.63%</w:t>
                  </w:r>
                </w:p>
              </w:tc>
              <w:tc>
                <w:tcPr>
                  <w:tcW w:w="921" w:type="dxa"/>
                </w:tcPr>
                <w:p w14:paraId="7BF4FB16" w14:textId="75F139FC" w:rsidR="002A6E24" w:rsidRPr="009F4E3F" w:rsidRDefault="00521753" w:rsidP="002A6E24">
                  <w:pPr>
                    <w:jc w:val="center"/>
                    <w:rPr>
                      <w:sz w:val="12"/>
                      <w:szCs w:val="12"/>
                    </w:rPr>
                  </w:pPr>
                  <w:r w:rsidRPr="009F4E3F">
                    <w:rPr>
                      <w:sz w:val="12"/>
                      <w:szCs w:val="12"/>
                    </w:rPr>
                    <w:t>3.96%</w:t>
                  </w:r>
                </w:p>
              </w:tc>
              <w:tc>
                <w:tcPr>
                  <w:tcW w:w="921" w:type="dxa"/>
                </w:tcPr>
                <w:p w14:paraId="00516877" w14:textId="424A6B30" w:rsidR="002A6E24" w:rsidRPr="009F4E3F" w:rsidRDefault="00521753" w:rsidP="002A6E24">
                  <w:pPr>
                    <w:jc w:val="center"/>
                    <w:rPr>
                      <w:sz w:val="12"/>
                      <w:szCs w:val="12"/>
                    </w:rPr>
                  </w:pPr>
                  <w:r w:rsidRPr="009F4E3F">
                    <w:rPr>
                      <w:sz w:val="12"/>
                      <w:szCs w:val="12"/>
                    </w:rPr>
                    <w:t>9.59%</w:t>
                  </w:r>
                </w:p>
              </w:tc>
              <w:tc>
                <w:tcPr>
                  <w:tcW w:w="921" w:type="dxa"/>
                </w:tcPr>
                <w:p w14:paraId="4E215F3E" w14:textId="3BFEE6FB" w:rsidR="002A6E24" w:rsidRPr="009F4E3F" w:rsidRDefault="00521753" w:rsidP="002A6E24">
                  <w:pPr>
                    <w:jc w:val="center"/>
                    <w:rPr>
                      <w:sz w:val="12"/>
                      <w:szCs w:val="12"/>
                    </w:rPr>
                  </w:pPr>
                  <w:r w:rsidRPr="009F4E3F">
                    <w:rPr>
                      <w:sz w:val="12"/>
                      <w:szCs w:val="12"/>
                    </w:rPr>
                    <w:t>12.46%</w:t>
                  </w:r>
                </w:p>
              </w:tc>
              <w:tc>
                <w:tcPr>
                  <w:tcW w:w="921" w:type="dxa"/>
                </w:tcPr>
                <w:p w14:paraId="714FA856" w14:textId="3CEFFD28" w:rsidR="002A6E24" w:rsidRPr="009F4E3F" w:rsidRDefault="00521753" w:rsidP="002A6E24">
                  <w:pPr>
                    <w:jc w:val="center"/>
                    <w:rPr>
                      <w:sz w:val="12"/>
                      <w:szCs w:val="12"/>
                    </w:rPr>
                  </w:pPr>
                  <w:r w:rsidRPr="009F4E3F">
                    <w:rPr>
                      <w:sz w:val="12"/>
                      <w:szCs w:val="12"/>
                    </w:rPr>
                    <w:t>9.75%</w:t>
                  </w:r>
                </w:p>
              </w:tc>
            </w:tr>
            <w:tr w:rsidR="002A6E24" w:rsidRPr="009F4E3F" w14:paraId="22A784BE" w14:textId="77777777" w:rsidTr="00CF6BDE">
              <w:tc>
                <w:tcPr>
                  <w:tcW w:w="1557" w:type="dxa"/>
                </w:tcPr>
                <w:p w14:paraId="670CE5B7" w14:textId="6816DBCD" w:rsidR="002A6E24" w:rsidRPr="009F4E3F" w:rsidRDefault="002A6E24" w:rsidP="00804E00">
                  <w:pPr>
                    <w:rPr>
                      <w:sz w:val="12"/>
                      <w:szCs w:val="12"/>
                    </w:rPr>
                  </w:pPr>
                  <w:r w:rsidRPr="009F4E3F">
                    <w:rPr>
                      <w:sz w:val="12"/>
                      <w:szCs w:val="12"/>
                    </w:rPr>
                    <w:t>D/E</w:t>
                  </w:r>
                </w:p>
              </w:tc>
              <w:tc>
                <w:tcPr>
                  <w:tcW w:w="947" w:type="dxa"/>
                </w:tcPr>
                <w:p w14:paraId="74D585ED" w14:textId="69233626" w:rsidR="002A6E24" w:rsidRPr="009F4E3F" w:rsidRDefault="00C5728A" w:rsidP="002A6E24">
                  <w:pPr>
                    <w:jc w:val="center"/>
                    <w:rPr>
                      <w:sz w:val="12"/>
                      <w:szCs w:val="12"/>
                    </w:rPr>
                  </w:pPr>
                  <w:r w:rsidRPr="009F4E3F">
                    <w:rPr>
                      <w:sz w:val="12"/>
                      <w:szCs w:val="12"/>
                    </w:rPr>
                    <w:t>97.41%</w:t>
                  </w:r>
                </w:p>
              </w:tc>
              <w:tc>
                <w:tcPr>
                  <w:tcW w:w="1051" w:type="dxa"/>
                </w:tcPr>
                <w:p w14:paraId="3E7FDD3E" w14:textId="06E14D03" w:rsidR="002A6E24" w:rsidRPr="009F4E3F" w:rsidRDefault="00C5728A" w:rsidP="002A6E24">
                  <w:pPr>
                    <w:jc w:val="center"/>
                    <w:rPr>
                      <w:sz w:val="12"/>
                      <w:szCs w:val="12"/>
                    </w:rPr>
                  </w:pPr>
                  <w:r w:rsidRPr="009F4E3F">
                    <w:rPr>
                      <w:sz w:val="12"/>
                      <w:szCs w:val="12"/>
                    </w:rPr>
                    <w:t>110.94%</w:t>
                  </w:r>
                </w:p>
              </w:tc>
              <w:tc>
                <w:tcPr>
                  <w:tcW w:w="921" w:type="dxa"/>
                </w:tcPr>
                <w:p w14:paraId="4A576F03" w14:textId="5DCFB66E" w:rsidR="002A6E24" w:rsidRPr="009F4E3F" w:rsidRDefault="00521753" w:rsidP="002A6E24">
                  <w:pPr>
                    <w:jc w:val="center"/>
                    <w:rPr>
                      <w:sz w:val="12"/>
                      <w:szCs w:val="12"/>
                    </w:rPr>
                  </w:pPr>
                  <w:r w:rsidRPr="009F4E3F">
                    <w:rPr>
                      <w:sz w:val="12"/>
                      <w:szCs w:val="12"/>
                    </w:rPr>
                    <w:t>105.75%</w:t>
                  </w:r>
                </w:p>
              </w:tc>
              <w:tc>
                <w:tcPr>
                  <w:tcW w:w="921" w:type="dxa"/>
                </w:tcPr>
                <w:p w14:paraId="174A979D" w14:textId="04967E12" w:rsidR="002A6E24" w:rsidRPr="009F4E3F" w:rsidRDefault="00521753" w:rsidP="002A6E24">
                  <w:pPr>
                    <w:jc w:val="center"/>
                    <w:rPr>
                      <w:sz w:val="12"/>
                      <w:szCs w:val="12"/>
                    </w:rPr>
                  </w:pPr>
                  <w:r w:rsidRPr="009F4E3F">
                    <w:rPr>
                      <w:sz w:val="12"/>
                      <w:szCs w:val="12"/>
                    </w:rPr>
                    <w:t>96.80%</w:t>
                  </w:r>
                </w:p>
              </w:tc>
              <w:tc>
                <w:tcPr>
                  <w:tcW w:w="921" w:type="dxa"/>
                </w:tcPr>
                <w:p w14:paraId="23A72D7D" w14:textId="1C6F1F6E" w:rsidR="002A6E24" w:rsidRPr="009F4E3F" w:rsidRDefault="00521753" w:rsidP="002A6E24">
                  <w:pPr>
                    <w:jc w:val="center"/>
                    <w:rPr>
                      <w:sz w:val="12"/>
                      <w:szCs w:val="12"/>
                    </w:rPr>
                  </w:pPr>
                  <w:r w:rsidRPr="009F4E3F">
                    <w:rPr>
                      <w:sz w:val="12"/>
                      <w:szCs w:val="12"/>
                    </w:rPr>
                    <w:t>85.07%</w:t>
                  </w:r>
                </w:p>
              </w:tc>
              <w:tc>
                <w:tcPr>
                  <w:tcW w:w="921" w:type="dxa"/>
                </w:tcPr>
                <w:p w14:paraId="5F88EAE0" w14:textId="6E157CD9" w:rsidR="002A6E24" w:rsidRPr="009F4E3F" w:rsidRDefault="00521753" w:rsidP="002A6E24">
                  <w:pPr>
                    <w:jc w:val="center"/>
                    <w:rPr>
                      <w:sz w:val="12"/>
                      <w:szCs w:val="12"/>
                    </w:rPr>
                  </w:pPr>
                  <w:r w:rsidRPr="009F4E3F">
                    <w:rPr>
                      <w:sz w:val="12"/>
                      <w:szCs w:val="12"/>
                    </w:rPr>
                    <w:t>76.76%</w:t>
                  </w:r>
                </w:p>
              </w:tc>
            </w:tr>
            <w:tr w:rsidR="002A6E24" w:rsidRPr="009F4E3F" w14:paraId="111BB78D" w14:textId="77777777" w:rsidTr="00CF6BDE">
              <w:tc>
                <w:tcPr>
                  <w:tcW w:w="1557" w:type="dxa"/>
                </w:tcPr>
                <w:p w14:paraId="0F9C400C" w14:textId="50266AAA" w:rsidR="002A6E24" w:rsidRPr="009F4E3F" w:rsidRDefault="002A6E24" w:rsidP="00804E00">
                  <w:pPr>
                    <w:rPr>
                      <w:sz w:val="12"/>
                      <w:szCs w:val="12"/>
                    </w:rPr>
                  </w:pPr>
                  <w:r w:rsidRPr="009F4E3F">
                    <w:rPr>
                      <w:sz w:val="12"/>
                      <w:szCs w:val="12"/>
                    </w:rPr>
                    <w:t xml:space="preserve">Interest Coverage </w:t>
                  </w:r>
                </w:p>
              </w:tc>
              <w:tc>
                <w:tcPr>
                  <w:tcW w:w="947" w:type="dxa"/>
                </w:tcPr>
                <w:p w14:paraId="7851C9B9" w14:textId="687897DD" w:rsidR="002A6E24" w:rsidRPr="009F4E3F" w:rsidRDefault="00C5728A" w:rsidP="002A6E24">
                  <w:pPr>
                    <w:jc w:val="center"/>
                    <w:rPr>
                      <w:sz w:val="12"/>
                      <w:szCs w:val="12"/>
                    </w:rPr>
                  </w:pPr>
                  <w:r w:rsidRPr="009F4E3F">
                    <w:rPr>
                      <w:sz w:val="12"/>
                      <w:szCs w:val="12"/>
                    </w:rPr>
                    <w:t>5.08</w:t>
                  </w:r>
                </w:p>
              </w:tc>
              <w:tc>
                <w:tcPr>
                  <w:tcW w:w="1051" w:type="dxa"/>
                </w:tcPr>
                <w:p w14:paraId="74B4B557" w14:textId="7566DA50" w:rsidR="002A6E24" w:rsidRPr="009F4E3F" w:rsidRDefault="00C5728A" w:rsidP="002A6E24">
                  <w:pPr>
                    <w:jc w:val="center"/>
                    <w:rPr>
                      <w:sz w:val="12"/>
                      <w:szCs w:val="12"/>
                    </w:rPr>
                  </w:pPr>
                  <w:r w:rsidRPr="009F4E3F">
                    <w:rPr>
                      <w:sz w:val="12"/>
                      <w:szCs w:val="12"/>
                    </w:rPr>
                    <w:t>8.03</w:t>
                  </w:r>
                </w:p>
              </w:tc>
              <w:tc>
                <w:tcPr>
                  <w:tcW w:w="921" w:type="dxa"/>
                </w:tcPr>
                <w:p w14:paraId="539DC39D" w14:textId="1233CAE5" w:rsidR="002A6E24" w:rsidRPr="009F4E3F" w:rsidRDefault="00C22E7C" w:rsidP="002A6E24">
                  <w:pPr>
                    <w:jc w:val="center"/>
                    <w:rPr>
                      <w:sz w:val="12"/>
                      <w:szCs w:val="12"/>
                    </w:rPr>
                  </w:pPr>
                  <w:r w:rsidRPr="009F4E3F">
                    <w:rPr>
                      <w:sz w:val="12"/>
                      <w:szCs w:val="12"/>
                    </w:rPr>
                    <w:t>9.74</w:t>
                  </w:r>
                </w:p>
              </w:tc>
              <w:tc>
                <w:tcPr>
                  <w:tcW w:w="921" w:type="dxa"/>
                </w:tcPr>
                <w:p w14:paraId="6666455C" w14:textId="67FB6205" w:rsidR="002A6E24" w:rsidRPr="009F4E3F" w:rsidRDefault="00C22E7C" w:rsidP="002A6E24">
                  <w:pPr>
                    <w:jc w:val="center"/>
                    <w:rPr>
                      <w:sz w:val="12"/>
                      <w:szCs w:val="12"/>
                    </w:rPr>
                  </w:pPr>
                  <w:r w:rsidRPr="009F4E3F">
                    <w:rPr>
                      <w:sz w:val="12"/>
                      <w:szCs w:val="12"/>
                    </w:rPr>
                    <w:t>17.29</w:t>
                  </w:r>
                </w:p>
              </w:tc>
              <w:tc>
                <w:tcPr>
                  <w:tcW w:w="921" w:type="dxa"/>
                </w:tcPr>
                <w:p w14:paraId="7C7FC6C4" w14:textId="31EC47D0" w:rsidR="002A6E24" w:rsidRPr="009F4E3F" w:rsidRDefault="00C22E7C" w:rsidP="002A6E24">
                  <w:pPr>
                    <w:jc w:val="center"/>
                    <w:rPr>
                      <w:sz w:val="12"/>
                      <w:szCs w:val="12"/>
                    </w:rPr>
                  </w:pPr>
                  <w:r w:rsidRPr="009F4E3F">
                    <w:rPr>
                      <w:sz w:val="12"/>
                      <w:szCs w:val="12"/>
                    </w:rPr>
                    <w:t>23.07</w:t>
                  </w:r>
                </w:p>
              </w:tc>
              <w:tc>
                <w:tcPr>
                  <w:tcW w:w="921" w:type="dxa"/>
                </w:tcPr>
                <w:p w14:paraId="4CF94011" w14:textId="1CC1685F" w:rsidR="002A6E24" w:rsidRPr="009F4E3F" w:rsidRDefault="00C22E7C" w:rsidP="002A6E24">
                  <w:pPr>
                    <w:jc w:val="center"/>
                    <w:rPr>
                      <w:sz w:val="12"/>
                      <w:szCs w:val="12"/>
                    </w:rPr>
                  </w:pPr>
                  <w:r w:rsidRPr="009F4E3F">
                    <w:rPr>
                      <w:sz w:val="12"/>
                      <w:szCs w:val="12"/>
                    </w:rPr>
                    <w:t>20.41</w:t>
                  </w:r>
                </w:p>
              </w:tc>
            </w:tr>
            <w:tr w:rsidR="002A6E24" w:rsidRPr="009F4E3F" w14:paraId="4BD993C7" w14:textId="77777777" w:rsidTr="00CF6BDE">
              <w:tc>
                <w:tcPr>
                  <w:tcW w:w="1557" w:type="dxa"/>
                </w:tcPr>
                <w:p w14:paraId="6F5D5ADC" w14:textId="09479BC7" w:rsidR="002A6E24" w:rsidRPr="009F4E3F" w:rsidRDefault="002A6E24" w:rsidP="00804E00">
                  <w:pPr>
                    <w:rPr>
                      <w:sz w:val="12"/>
                      <w:szCs w:val="12"/>
                    </w:rPr>
                  </w:pPr>
                  <w:r w:rsidRPr="009F4E3F">
                    <w:rPr>
                      <w:sz w:val="12"/>
                      <w:szCs w:val="12"/>
                    </w:rPr>
                    <w:t>EPS</w:t>
                  </w:r>
                </w:p>
              </w:tc>
              <w:tc>
                <w:tcPr>
                  <w:tcW w:w="947" w:type="dxa"/>
                </w:tcPr>
                <w:p w14:paraId="6B73A46D" w14:textId="4DBAFD7C" w:rsidR="002A6E24" w:rsidRPr="009F4E3F" w:rsidRDefault="00C22E7C" w:rsidP="002A6E24">
                  <w:pPr>
                    <w:jc w:val="center"/>
                    <w:rPr>
                      <w:sz w:val="12"/>
                      <w:szCs w:val="12"/>
                    </w:rPr>
                  </w:pPr>
                  <w:r w:rsidRPr="009F4E3F">
                    <w:rPr>
                      <w:sz w:val="12"/>
                      <w:szCs w:val="12"/>
                    </w:rPr>
                    <w:t>12.41</w:t>
                  </w:r>
                </w:p>
              </w:tc>
              <w:tc>
                <w:tcPr>
                  <w:tcW w:w="1051" w:type="dxa"/>
                </w:tcPr>
                <w:p w14:paraId="4E77E933" w14:textId="199B4FCC" w:rsidR="002A6E24" w:rsidRPr="009F4E3F" w:rsidRDefault="00C22E7C" w:rsidP="002A6E24">
                  <w:pPr>
                    <w:jc w:val="center"/>
                    <w:rPr>
                      <w:sz w:val="12"/>
                      <w:szCs w:val="12"/>
                    </w:rPr>
                  </w:pPr>
                  <w:r w:rsidRPr="009F4E3F">
                    <w:rPr>
                      <w:sz w:val="12"/>
                      <w:szCs w:val="12"/>
                    </w:rPr>
                    <w:t>0.79</w:t>
                  </w:r>
                </w:p>
              </w:tc>
              <w:tc>
                <w:tcPr>
                  <w:tcW w:w="921" w:type="dxa"/>
                </w:tcPr>
                <w:p w14:paraId="693A3040" w14:textId="42CDC46D" w:rsidR="002A6E24" w:rsidRPr="009F4E3F" w:rsidRDefault="00C22E7C" w:rsidP="002A6E24">
                  <w:pPr>
                    <w:jc w:val="center"/>
                    <w:rPr>
                      <w:sz w:val="12"/>
                      <w:szCs w:val="12"/>
                    </w:rPr>
                  </w:pPr>
                  <w:r w:rsidRPr="009F4E3F">
                    <w:rPr>
                      <w:sz w:val="12"/>
                      <w:szCs w:val="12"/>
                    </w:rPr>
                    <w:t>0.91</w:t>
                  </w:r>
                </w:p>
              </w:tc>
              <w:tc>
                <w:tcPr>
                  <w:tcW w:w="921" w:type="dxa"/>
                </w:tcPr>
                <w:p w14:paraId="785A0893" w14:textId="6AF5611D" w:rsidR="002A6E24" w:rsidRPr="009F4E3F" w:rsidRDefault="00C22E7C" w:rsidP="002A6E24">
                  <w:pPr>
                    <w:jc w:val="center"/>
                    <w:rPr>
                      <w:sz w:val="12"/>
                      <w:szCs w:val="12"/>
                    </w:rPr>
                  </w:pPr>
                  <w:r w:rsidRPr="009F4E3F">
                    <w:rPr>
                      <w:sz w:val="12"/>
                      <w:szCs w:val="12"/>
                    </w:rPr>
                    <w:t>1.85</w:t>
                  </w:r>
                </w:p>
              </w:tc>
              <w:tc>
                <w:tcPr>
                  <w:tcW w:w="921" w:type="dxa"/>
                </w:tcPr>
                <w:p w14:paraId="3107DCE0" w14:textId="629B755E" w:rsidR="002A6E24" w:rsidRPr="009F4E3F" w:rsidRDefault="00C22E7C" w:rsidP="002A6E24">
                  <w:pPr>
                    <w:jc w:val="center"/>
                    <w:rPr>
                      <w:sz w:val="12"/>
                      <w:szCs w:val="12"/>
                    </w:rPr>
                  </w:pPr>
                  <w:r w:rsidRPr="009F4E3F">
                    <w:rPr>
                      <w:sz w:val="12"/>
                      <w:szCs w:val="12"/>
                    </w:rPr>
                    <w:t>1.67</w:t>
                  </w:r>
                </w:p>
              </w:tc>
              <w:tc>
                <w:tcPr>
                  <w:tcW w:w="921" w:type="dxa"/>
                </w:tcPr>
                <w:p w14:paraId="15B13F64" w14:textId="00F27D48" w:rsidR="002A6E24" w:rsidRPr="009F4E3F" w:rsidRDefault="00C22E7C" w:rsidP="002A6E24">
                  <w:pPr>
                    <w:jc w:val="center"/>
                    <w:rPr>
                      <w:sz w:val="12"/>
                      <w:szCs w:val="12"/>
                    </w:rPr>
                  </w:pPr>
                  <w:r w:rsidRPr="009F4E3F">
                    <w:rPr>
                      <w:sz w:val="12"/>
                      <w:szCs w:val="12"/>
                    </w:rPr>
                    <w:t>1,26</w:t>
                  </w:r>
                </w:p>
              </w:tc>
            </w:tr>
            <w:tr w:rsidR="002A6E24" w:rsidRPr="009F4E3F" w14:paraId="3EBC0A0A" w14:textId="77777777" w:rsidTr="00CF6BDE">
              <w:tc>
                <w:tcPr>
                  <w:tcW w:w="1557" w:type="dxa"/>
                </w:tcPr>
                <w:p w14:paraId="61AE1051" w14:textId="1B2FE329" w:rsidR="002A6E24" w:rsidRPr="009F4E3F" w:rsidRDefault="002A6E24" w:rsidP="00804E00">
                  <w:pPr>
                    <w:rPr>
                      <w:sz w:val="12"/>
                      <w:szCs w:val="12"/>
                    </w:rPr>
                  </w:pPr>
                  <w:r w:rsidRPr="009F4E3F">
                    <w:rPr>
                      <w:sz w:val="12"/>
                      <w:szCs w:val="12"/>
                    </w:rPr>
                    <w:t xml:space="preserve">PE Ratio </w:t>
                  </w:r>
                </w:p>
              </w:tc>
              <w:tc>
                <w:tcPr>
                  <w:tcW w:w="947" w:type="dxa"/>
                </w:tcPr>
                <w:p w14:paraId="6DB4D0DC" w14:textId="64E7EBB1" w:rsidR="002A6E24" w:rsidRPr="009F4E3F" w:rsidRDefault="00C22E7C" w:rsidP="002A6E24">
                  <w:pPr>
                    <w:jc w:val="center"/>
                    <w:rPr>
                      <w:sz w:val="12"/>
                      <w:szCs w:val="12"/>
                    </w:rPr>
                  </w:pPr>
                  <w:r w:rsidRPr="009F4E3F">
                    <w:rPr>
                      <w:sz w:val="12"/>
                      <w:szCs w:val="12"/>
                    </w:rPr>
                    <w:t>8.87</w:t>
                  </w:r>
                </w:p>
              </w:tc>
              <w:tc>
                <w:tcPr>
                  <w:tcW w:w="1051" w:type="dxa"/>
                </w:tcPr>
                <w:p w14:paraId="4CBD752B" w14:textId="3049CDAD" w:rsidR="002A6E24" w:rsidRPr="009F4E3F" w:rsidRDefault="00C22E7C" w:rsidP="002A6E24">
                  <w:pPr>
                    <w:jc w:val="center"/>
                    <w:rPr>
                      <w:sz w:val="12"/>
                      <w:szCs w:val="12"/>
                    </w:rPr>
                  </w:pPr>
                  <w:r w:rsidRPr="009F4E3F">
                    <w:rPr>
                      <w:sz w:val="12"/>
                      <w:szCs w:val="12"/>
                    </w:rPr>
                    <w:t>15.06</w:t>
                  </w:r>
                </w:p>
              </w:tc>
              <w:tc>
                <w:tcPr>
                  <w:tcW w:w="921" w:type="dxa"/>
                </w:tcPr>
                <w:p w14:paraId="1B44C62B" w14:textId="6D6FEFE3" w:rsidR="002A6E24" w:rsidRPr="009F4E3F" w:rsidRDefault="00C22E7C" w:rsidP="002A6E24">
                  <w:pPr>
                    <w:jc w:val="center"/>
                    <w:rPr>
                      <w:sz w:val="12"/>
                      <w:szCs w:val="12"/>
                    </w:rPr>
                  </w:pPr>
                  <w:r w:rsidRPr="009F4E3F">
                    <w:rPr>
                      <w:sz w:val="12"/>
                      <w:szCs w:val="12"/>
                    </w:rPr>
                    <w:t>12.93</w:t>
                  </w:r>
                </w:p>
              </w:tc>
              <w:tc>
                <w:tcPr>
                  <w:tcW w:w="921" w:type="dxa"/>
                </w:tcPr>
                <w:p w14:paraId="38732767" w14:textId="7A52BF50" w:rsidR="002A6E24" w:rsidRPr="009F4E3F" w:rsidRDefault="00C22E7C" w:rsidP="002A6E24">
                  <w:pPr>
                    <w:jc w:val="center"/>
                    <w:rPr>
                      <w:sz w:val="12"/>
                      <w:szCs w:val="12"/>
                    </w:rPr>
                  </w:pPr>
                  <w:r w:rsidRPr="009F4E3F">
                    <w:rPr>
                      <w:sz w:val="12"/>
                      <w:szCs w:val="12"/>
                    </w:rPr>
                    <w:t>11.11</w:t>
                  </w:r>
                </w:p>
              </w:tc>
              <w:tc>
                <w:tcPr>
                  <w:tcW w:w="921" w:type="dxa"/>
                </w:tcPr>
                <w:p w14:paraId="34BB74B5" w14:textId="538256F9" w:rsidR="002A6E24" w:rsidRPr="009F4E3F" w:rsidRDefault="00C22E7C" w:rsidP="002A6E24">
                  <w:pPr>
                    <w:jc w:val="center"/>
                    <w:rPr>
                      <w:sz w:val="12"/>
                      <w:szCs w:val="12"/>
                    </w:rPr>
                  </w:pPr>
                  <w:r w:rsidRPr="009F4E3F">
                    <w:rPr>
                      <w:sz w:val="12"/>
                      <w:szCs w:val="12"/>
                    </w:rPr>
                    <w:t>10.59</w:t>
                  </w:r>
                </w:p>
              </w:tc>
              <w:tc>
                <w:tcPr>
                  <w:tcW w:w="921" w:type="dxa"/>
                </w:tcPr>
                <w:p w14:paraId="167918E0" w14:textId="4A4F727C" w:rsidR="002A6E24" w:rsidRPr="009F4E3F" w:rsidRDefault="00C22E7C" w:rsidP="002A6E24">
                  <w:pPr>
                    <w:jc w:val="center"/>
                    <w:rPr>
                      <w:sz w:val="12"/>
                      <w:szCs w:val="12"/>
                    </w:rPr>
                  </w:pPr>
                  <w:r w:rsidRPr="009F4E3F">
                    <w:rPr>
                      <w:sz w:val="12"/>
                      <w:szCs w:val="12"/>
                    </w:rPr>
                    <w:t>10.95</w:t>
                  </w:r>
                </w:p>
              </w:tc>
            </w:tr>
            <w:tr w:rsidR="00C22E7C" w:rsidRPr="009F4E3F" w14:paraId="235E2086" w14:textId="77777777" w:rsidTr="00CF6BDE">
              <w:tc>
                <w:tcPr>
                  <w:tcW w:w="1557" w:type="dxa"/>
                </w:tcPr>
                <w:p w14:paraId="64A6EBFE" w14:textId="3747C462" w:rsidR="00C22E7C" w:rsidRPr="009F4E3F" w:rsidRDefault="00C22E7C" w:rsidP="00804E00">
                  <w:pPr>
                    <w:rPr>
                      <w:sz w:val="12"/>
                      <w:szCs w:val="12"/>
                    </w:rPr>
                  </w:pPr>
                  <w:r w:rsidRPr="009F4E3F">
                    <w:rPr>
                      <w:sz w:val="12"/>
                      <w:szCs w:val="12"/>
                    </w:rPr>
                    <w:t>Current Ratio</w:t>
                  </w:r>
                </w:p>
              </w:tc>
              <w:tc>
                <w:tcPr>
                  <w:tcW w:w="947" w:type="dxa"/>
                </w:tcPr>
                <w:p w14:paraId="72B86E80" w14:textId="49DA0271" w:rsidR="00C22E7C" w:rsidRPr="009F4E3F" w:rsidRDefault="00C22E7C" w:rsidP="002A6E24">
                  <w:pPr>
                    <w:jc w:val="center"/>
                    <w:rPr>
                      <w:sz w:val="12"/>
                      <w:szCs w:val="12"/>
                    </w:rPr>
                  </w:pPr>
                  <w:r w:rsidRPr="009F4E3F">
                    <w:rPr>
                      <w:sz w:val="12"/>
                      <w:szCs w:val="12"/>
                    </w:rPr>
                    <w:t>0.68</w:t>
                  </w:r>
                </w:p>
              </w:tc>
              <w:tc>
                <w:tcPr>
                  <w:tcW w:w="1051" w:type="dxa"/>
                </w:tcPr>
                <w:p w14:paraId="28740EAD" w14:textId="4B9C7ED8" w:rsidR="00C22E7C" w:rsidRPr="009F4E3F" w:rsidRDefault="00C22E7C" w:rsidP="002A6E24">
                  <w:pPr>
                    <w:jc w:val="center"/>
                    <w:rPr>
                      <w:sz w:val="12"/>
                      <w:szCs w:val="12"/>
                    </w:rPr>
                  </w:pPr>
                  <w:r w:rsidRPr="009F4E3F">
                    <w:rPr>
                      <w:sz w:val="12"/>
                      <w:szCs w:val="12"/>
                    </w:rPr>
                    <w:t>0.74</w:t>
                  </w:r>
                </w:p>
              </w:tc>
              <w:tc>
                <w:tcPr>
                  <w:tcW w:w="921" w:type="dxa"/>
                </w:tcPr>
                <w:p w14:paraId="0763C52A" w14:textId="236C236A" w:rsidR="00C22E7C" w:rsidRPr="009F4E3F" w:rsidRDefault="00C22E7C" w:rsidP="002A6E24">
                  <w:pPr>
                    <w:jc w:val="center"/>
                    <w:rPr>
                      <w:sz w:val="12"/>
                      <w:szCs w:val="12"/>
                    </w:rPr>
                  </w:pPr>
                  <w:r w:rsidRPr="009F4E3F">
                    <w:rPr>
                      <w:sz w:val="12"/>
                      <w:szCs w:val="12"/>
                    </w:rPr>
                    <w:t>0.71</w:t>
                  </w:r>
                </w:p>
              </w:tc>
              <w:tc>
                <w:tcPr>
                  <w:tcW w:w="921" w:type="dxa"/>
                </w:tcPr>
                <w:p w14:paraId="198F8638" w14:textId="069759CD" w:rsidR="00C22E7C" w:rsidRPr="009F4E3F" w:rsidRDefault="00C22E7C" w:rsidP="002A6E24">
                  <w:pPr>
                    <w:jc w:val="center"/>
                    <w:rPr>
                      <w:sz w:val="12"/>
                      <w:szCs w:val="12"/>
                    </w:rPr>
                  </w:pPr>
                  <w:r w:rsidRPr="009F4E3F">
                    <w:rPr>
                      <w:sz w:val="12"/>
                      <w:szCs w:val="12"/>
                    </w:rPr>
                    <w:t>0.67</w:t>
                  </w:r>
                </w:p>
              </w:tc>
              <w:tc>
                <w:tcPr>
                  <w:tcW w:w="921" w:type="dxa"/>
                </w:tcPr>
                <w:p w14:paraId="321CE165" w14:textId="775CBB1A" w:rsidR="00C22E7C" w:rsidRPr="009F4E3F" w:rsidRDefault="00C22E7C" w:rsidP="002A6E24">
                  <w:pPr>
                    <w:jc w:val="center"/>
                    <w:rPr>
                      <w:sz w:val="12"/>
                      <w:szCs w:val="12"/>
                    </w:rPr>
                  </w:pPr>
                  <w:r w:rsidRPr="009F4E3F">
                    <w:rPr>
                      <w:sz w:val="12"/>
                      <w:szCs w:val="12"/>
                    </w:rPr>
                    <w:t>0.68</w:t>
                  </w:r>
                </w:p>
              </w:tc>
              <w:tc>
                <w:tcPr>
                  <w:tcW w:w="921" w:type="dxa"/>
                </w:tcPr>
                <w:p w14:paraId="18FFAB5F" w14:textId="3B82C60A" w:rsidR="00C22E7C" w:rsidRPr="009F4E3F" w:rsidRDefault="00C22E7C" w:rsidP="002A6E24">
                  <w:pPr>
                    <w:jc w:val="center"/>
                    <w:rPr>
                      <w:sz w:val="12"/>
                      <w:szCs w:val="12"/>
                    </w:rPr>
                  </w:pPr>
                  <w:r w:rsidRPr="009F4E3F">
                    <w:rPr>
                      <w:sz w:val="12"/>
                      <w:szCs w:val="12"/>
                    </w:rPr>
                    <w:t>0.52</w:t>
                  </w:r>
                </w:p>
              </w:tc>
            </w:tr>
            <w:tr w:rsidR="00C22E7C" w:rsidRPr="009F4E3F" w14:paraId="6A512B42" w14:textId="77777777" w:rsidTr="00CF6BDE">
              <w:tc>
                <w:tcPr>
                  <w:tcW w:w="1557" w:type="dxa"/>
                </w:tcPr>
                <w:p w14:paraId="30EB3D41" w14:textId="4D4E57F8" w:rsidR="00C22E7C" w:rsidRPr="009F4E3F" w:rsidRDefault="00C22E7C" w:rsidP="00804E00">
                  <w:pPr>
                    <w:rPr>
                      <w:sz w:val="12"/>
                      <w:szCs w:val="12"/>
                    </w:rPr>
                  </w:pPr>
                  <w:r w:rsidRPr="009F4E3F">
                    <w:rPr>
                      <w:sz w:val="12"/>
                      <w:szCs w:val="12"/>
                    </w:rPr>
                    <w:t>ROE</w:t>
                  </w:r>
                </w:p>
              </w:tc>
              <w:tc>
                <w:tcPr>
                  <w:tcW w:w="947" w:type="dxa"/>
                </w:tcPr>
                <w:p w14:paraId="4B99ACE5" w14:textId="1A6440AA" w:rsidR="00C22E7C" w:rsidRPr="009F4E3F" w:rsidRDefault="00C22E7C" w:rsidP="002A6E24">
                  <w:pPr>
                    <w:jc w:val="center"/>
                    <w:rPr>
                      <w:sz w:val="12"/>
                      <w:szCs w:val="12"/>
                    </w:rPr>
                  </w:pPr>
                  <w:r w:rsidRPr="009F4E3F">
                    <w:rPr>
                      <w:sz w:val="12"/>
                      <w:szCs w:val="12"/>
                    </w:rPr>
                    <w:t>N/A</w:t>
                  </w:r>
                </w:p>
              </w:tc>
              <w:tc>
                <w:tcPr>
                  <w:tcW w:w="1051" w:type="dxa"/>
                </w:tcPr>
                <w:p w14:paraId="618AB591" w14:textId="131172EE" w:rsidR="00C22E7C" w:rsidRPr="009F4E3F" w:rsidRDefault="00C22E7C" w:rsidP="002A6E24">
                  <w:pPr>
                    <w:jc w:val="center"/>
                    <w:rPr>
                      <w:sz w:val="12"/>
                      <w:szCs w:val="12"/>
                    </w:rPr>
                  </w:pPr>
                  <w:r w:rsidRPr="009F4E3F">
                    <w:rPr>
                      <w:sz w:val="12"/>
                      <w:szCs w:val="12"/>
                    </w:rPr>
                    <w:t>6.44</w:t>
                  </w:r>
                </w:p>
              </w:tc>
              <w:tc>
                <w:tcPr>
                  <w:tcW w:w="921" w:type="dxa"/>
                </w:tcPr>
                <w:p w14:paraId="2164567E" w14:textId="1293C3EE" w:rsidR="00C22E7C" w:rsidRPr="009F4E3F" w:rsidRDefault="00C22E7C" w:rsidP="002A6E24">
                  <w:pPr>
                    <w:jc w:val="center"/>
                    <w:rPr>
                      <w:sz w:val="12"/>
                      <w:szCs w:val="12"/>
                    </w:rPr>
                  </w:pPr>
                  <w:r w:rsidRPr="009F4E3F">
                    <w:rPr>
                      <w:sz w:val="12"/>
                      <w:szCs w:val="12"/>
                    </w:rPr>
                    <w:t>11.52</w:t>
                  </w:r>
                </w:p>
              </w:tc>
              <w:tc>
                <w:tcPr>
                  <w:tcW w:w="921" w:type="dxa"/>
                </w:tcPr>
                <w:p w14:paraId="2156D8F2" w14:textId="49D04E56" w:rsidR="00C22E7C" w:rsidRPr="009F4E3F" w:rsidRDefault="00C22E7C" w:rsidP="002A6E24">
                  <w:pPr>
                    <w:jc w:val="center"/>
                    <w:rPr>
                      <w:sz w:val="12"/>
                      <w:szCs w:val="12"/>
                    </w:rPr>
                  </w:pPr>
                  <w:r w:rsidRPr="009F4E3F">
                    <w:rPr>
                      <w:sz w:val="12"/>
                      <w:szCs w:val="12"/>
                    </w:rPr>
                    <w:t>17.24</w:t>
                  </w:r>
                </w:p>
              </w:tc>
              <w:tc>
                <w:tcPr>
                  <w:tcW w:w="921" w:type="dxa"/>
                </w:tcPr>
                <w:p w14:paraId="1BCD8618" w14:textId="575A2104" w:rsidR="00C22E7C" w:rsidRPr="009F4E3F" w:rsidRDefault="00C22E7C" w:rsidP="002A6E24">
                  <w:pPr>
                    <w:jc w:val="center"/>
                    <w:rPr>
                      <w:sz w:val="12"/>
                      <w:szCs w:val="12"/>
                    </w:rPr>
                  </w:pPr>
                  <w:r w:rsidRPr="009F4E3F">
                    <w:rPr>
                      <w:sz w:val="12"/>
                      <w:szCs w:val="12"/>
                    </w:rPr>
                    <w:t>25.03</w:t>
                  </w:r>
                </w:p>
              </w:tc>
              <w:tc>
                <w:tcPr>
                  <w:tcW w:w="921" w:type="dxa"/>
                </w:tcPr>
                <w:p w14:paraId="369E19D1" w14:textId="37B1863F" w:rsidR="00C22E7C" w:rsidRPr="009F4E3F" w:rsidRDefault="00C22E7C" w:rsidP="002A6E24">
                  <w:pPr>
                    <w:jc w:val="center"/>
                    <w:rPr>
                      <w:sz w:val="12"/>
                      <w:szCs w:val="12"/>
                    </w:rPr>
                  </w:pPr>
                  <w:r w:rsidRPr="009F4E3F">
                    <w:rPr>
                      <w:sz w:val="12"/>
                      <w:szCs w:val="12"/>
                    </w:rPr>
                    <w:t>46.04</w:t>
                  </w:r>
                </w:p>
              </w:tc>
            </w:tr>
            <w:tr w:rsidR="00C22E7C" w:rsidRPr="009F4E3F" w14:paraId="059E3A59" w14:textId="77777777" w:rsidTr="00CF6BDE">
              <w:tc>
                <w:tcPr>
                  <w:tcW w:w="1557" w:type="dxa"/>
                </w:tcPr>
                <w:p w14:paraId="49C83FCA" w14:textId="51919CFC" w:rsidR="00C22E7C" w:rsidRPr="009F4E3F" w:rsidRDefault="00C22E7C" w:rsidP="00804E00">
                  <w:pPr>
                    <w:rPr>
                      <w:sz w:val="12"/>
                      <w:szCs w:val="12"/>
                    </w:rPr>
                  </w:pPr>
                  <w:r w:rsidRPr="009F4E3F">
                    <w:rPr>
                      <w:sz w:val="12"/>
                      <w:szCs w:val="12"/>
                    </w:rPr>
                    <w:t>ROA</w:t>
                  </w:r>
                </w:p>
              </w:tc>
              <w:tc>
                <w:tcPr>
                  <w:tcW w:w="947" w:type="dxa"/>
                </w:tcPr>
                <w:p w14:paraId="2243F7CF" w14:textId="1F72DEA4" w:rsidR="00C22E7C" w:rsidRPr="009F4E3F" w:rsidRDefault="00C22E7C" w:rsidP="002A6E24">
                  <w:pPr>
                    <w:jc w:val="center"/>
                    <w:rPr>
                      <w:sz w:val="12"/>
                      <w:szCs w:val="12"/>
                    </w:rPr>
                  </w:pPr>
                  <w:r w:rsidRPr="009F4E3F">
                    <w:rPr>
                      <w:sz w:val="12"/>
                      <w:szCs w:val="12"/>
                    </w:rPr>
                    <w:t>21.78</w:t>
                  </w:r>
                </w:p>
              </w:tc>
              <w:tc>
                <w:tcPr>
                  <w:tcW w:w="1051" w:type="dxa"/>
                </w:tcPr>
                <w:p w14:paraId="2486885B" w14:textId="14D40CAD" w:rsidR="00C22E7C" w:rsidRPr="009F4E3F" w:rsidRDefault="00C22E7C" w:rsidP="002A6E24">
                  <w:pPr>
                    <w:jc w:val="center"/>
                    <w:rPr>
                      <w:sz w:val="12"/>
                      <w:szCs w:val="12"/>
                    </w:rPr>
                  </w:pPr>
                  <w:r w:rsidRPr="009F4E3F">
                    <w:rPr>
                      <w:sz w:val="12"/>
                      <w:szCs w:val="12"/>
                    </w:rPr>
                    <w:t>1.24</w:t>
                  </w:r>
                </w:p>
              </w:tc>
              <w:tc>
                <w:tcPr>
                  <w:tcW w:w="921" w:type="dxa"/>
                </w:tcPr>
                <w:p w14:paraId="5829E1D3" w14:textId="3077F907" w:rsidR="00C22E7C" w:rsidRPr="009F4E3F" w:rsidRDefault="00C22E7C" w:rsidP="002A6E24">
                  <w:pPr>
                    <w:jc w:val="center"/>
                    <w:rPr>
                      <w:sz w:val="12"/>
                      <w:szCs w:val="12"/>
                    </w:rPr>
                  </w:pPr>
                  <w:r w:rsidRPr="009F4E3F">
                    <w:rPr>
                      <w:sz w:val="12"/>
                      <w:szCs w:val="12"/>
                    </w:rPr>
                    <w:t>2.25</w:t>
                  </w:r>
                </w:p>
              </w:tc>
              <w:tc>
                <w:tcPr>
                  <w:tcW w:w="921" w:type="dxa"/>
                </w:tcPr>
                <w:p w14:paraId="59C94287" w14:textId="059948BB" w:rsidR="00C22E7C" w:rsidRPr="009F4E3F" w:rsidRDefault="00C22E7C" w:rsidP="002A6E24">
                  <w:pPr>
                    <w:jc w:val="center"/>
                    <w:rPr>
                      <w:sz w:val="12"/>
                      <w:szCs w:val="12"/>
                    </w:rPr>
                  </w:pPr>
                  <w:r w:rsidRPr="009F4E3F">
                    <w:rPr>
                      <w:sz w:val="12"/>
                      <w:szCs w:val="12"/>
                    </w:rPr>
                    <w:t>3.57</w:t>
                  </w:r>
                </w:p>
              </w:tc>
              <w:tc>
                <w:tcPr>
                  <w:tcW w:w="921" w:type="dxa"/>
                </w:tcPr>
                <w:p w14:paraId="190A1DF2" w14:textId="6487D079" w:rsidR="00C22E7C" w:rsidRPr="009F4E3F" w:rsidRDefault="00C22E7C" w:rsidP="002A6E24">
                  <w:pPr>
                    <w:jc w:val="center"/>
                    <w:rPr>
                      <w:sz w:val="12"/>
                      <w:szCs w:val="12"/>
                    </w:rPr>
                  </w:pPr>
                  <w:r w:rsidRPr="009F4E3F">
                    <w:rPr>
                      <w:sz w:val="12"/>
                      <w:szCs w:val="12"/>
                    </w:rPr>
                    <w:t>5.37</w:t>
                  </w:r>
                </w:p>
              </w:tc>
              <w:tc>
                <w:tcPr>
                  <w:tcW w:w="921" w:type="dxa"/>
                </w:tcPr>
                <w:p w14:paraId="342B8BC8" w14:textId="411ADCD3" w:rsidR="00C22E7C" w:rsidRPr="009F4E3F" w:rsidRDefault="00C22E7C" w:rsidP="002A6E24">
                  <w:pPr>
                    <w:jc w:val="center"/>
                    <w:rPr>
                      <w:sz w:val="12"/>
                      <w:szCs w:val="12"/>
                    </w:rPr>
                  </w:pPr>
                  <w:r w:rsidRPr="009F4E3F">
                    <w:rPr>
                      <w:sz w:val="12"/>
                      <w:szCs w:val="12"/>
                    </w:rPr>
                    <w:t>8.44</w:t>
                  </w:r>
                </w:p>
              </w:tc>
            </w:tr>
            <w:tr w:rsidR="00C22E7C" w:rsidRPr="009F4E3F" w14:paraId="3DD5E939" w14:textId="77777777" w:rsidTr="00CF6BDE">
              <w:tc>
                <w:tcPr>
                  <w:tcW w:w="1557" w:type="dxa"/>
                </w:tcPr>
                <w:p w14:paraId="5964CDC4" w14:textId="5A404BDB" w:rsidR="00C22E7C" w:rsidRPr="009F4E3F" w:rsidRDefault="00C22E7C" w:rsidP="00804E00">
                  <w:pPr>
                    <w:rPr>
                      <w:sz w:val="12"/>
                      <w:szCs w:val="12"/>
                    </w:rPr>
                  </w:pPr>
                  <w:r w:rsidRPr="009F4E3F">
                    <w:rPr>
                      <w:sz w:val="12"/>
                      <w:szCs w:val="12"/>
                    </w:rPr>
                    <w:t xml:space="preserve">Dividend Per share </w:t>
                  </w:r>
                </w:p>
              </w:tc>
              <w:tc>
                <w:tcPr>
                  <w:tcW w:w="947" w:type="dxa"/>
                </w:tcPr>
                <w:p w14:paraId="0B36B8CA" w14:textId="25F70D2F" w:rsidR="00C22E7C" w:rsidRPr="009F4E3F" w:rsidRDefault="00C22E7C" w:rsidP="002A6E24">
                  <w:pPr>
                    <w:jc w:val="center"/>
                    <w:rPr>
                      <w:sz w:val="12"/>
                      <w:szCs w:val="12"/>
                    </w:rPr>
                  </w:pPr>
                  <w:r w:rsidRPr="009F4E3F">
                    <w:rPr>
                      <w:sz w:val="12"/>
                      <w:szCs w:val="12"/>
                    </w:rPr>
                    <w:t>0.12</w:t>
                  </w:r>
                </w:p>
              </w:tc>
              <w:tc>
                <w:tcPr>
                  <w:tcW w:w="1051" w:type="dxa"/>
                </w:tcPr>
                <w:p w14:paraId="4D5BD607" w14:textId="11C190BB" w:rsidR="00C22E7C" w:rsidRPr="009F4E3F" w:rsidRDefault="00C22E7C" w:rsidP="002A6E24">
                  <w:pPr>
                    <w:jc w:val="center"/>
                    <w:rPr>
                      <w:sz w:val="12"/>
                      <w:szCs w:val="12"/>
                    </w:rPr>
                  </w:pPr>
                  <w:r w:rsidRPr="009F4E3F">
                    <w:rPr>
                      <w:sz w:val="12"/>
                      <w:szCs w:val="12"/>
                    </w:rPr>
                    <w:t>0.30</w:t>
                  </w:r>
                </w:p>
              </w:tc>
              <w:tc>
                <w:tcPr>
                  <w:tcW w:w="921" w:type="dxa"/>
                </w:tcPr>
                <w:p w14:paraId="572EB0AB" w14:textId="3E96732D" w:rsidR="00C22E7C" w:rsidRPr="009F4E3F" w:rsidRDefault="00C22E7C" w:rsidP="002A6E24">
                  <w:pPr>
                    <w:jc w:val="center"/>
                    <w:rPr>
                      <w:sz w:val="12"/>
                      <w:szCs w:val="12"/>
                    </w:rPr>
                  </w:pPr>
                  <w:r w:rsidRPr="009F4E3F">
                    <w:rPr>
                      <w:sz w:val="12"/>
                      <w:szCs w:val="12"/>
                    </w:rPr>
                    <w:t>0.09</w:t>
                  </w:r>
                </w:p>
              </w:tc>
              <w:tc>
                <w:tcPr>
                  <w:tcW w:w="921" w:type="dxa"/>
                </w:tcPr>
                <w:p w14:paraId="353C8011" w14:textId="2CCD6E19" w:rsidR="00C22E7C" w:rsidRPr="009F4E3F" w:rsidRDefault="00C22E7C" w:rsidP="002A6E24">
                  <w:pPr>
                    <w:jc w:val="center"/>
                    <w:rPr>
                      <w:sz w:val="12"/>
                      <w:szCs w:val="12"/>
                    </w:rPr>
                  </w:pPr>
                  <w:r w:rsidRPr="009F4E3F">
                    <w:rPr>
                      <w:sz w:val="12"/>
                      <w:szCs w:val="12"/>
                    </w:rPr>
                    <w:t>0.09</w:t>
                  </w:r>
                </w:p>
              </w:tc>
              <w:tc>
                <w:tcPr>
                  <w:tcW w:w="921" w:type="dxa"/>
                </w:tcPr>
                <w:p w14:paraId="6D09CDE3" w14:textId="60058C5F" w:rsidR="00C22E7C" w:rsidRPr="009F4E3F" w:rsidRDefault="00C22E7C" w:rsidP="002A6E24">
                  <w:pPr>
                    <w:jc w:val="center"/>
                    <w:rPr>
                      <w:sz w:val="12"/>
                      <w:szCs w:val="12"/>
                    </w:rPr>
                  </w:pPr>
                  <w:r w:rsidRPr="009F4E3F">
                    <w:rPr>
                      <w:sz w:val="12"/>
                      <w:szCs w:val="12"/>
                    </w:rPr>
                    <w:t>0.14</w:t>
                  </w:r>
                </w:p>
              </w:tc>
              <w:tc>
                <w:tcPr>
                  <w:tcW w:w="921" w:type="dxa"/>
                </w:tcPr>
                <w:p w14:paraId="2C2C62C5" w14:textId="4FE709CD" w:rsidR="00C22E7C" w:rsidRPr="009F4E3F" w:rsidRDefault="00C22E7C" w:rsidP="002A6E24">
                  <w:pPr>
                    <w:jc w:val="center"/>
                    <w:rPr>
                      <w:sz w:val="12"/>
                      <w:szCs w:val="12"/>
                    </w:rPr>
                  </w:pPr>
                  <w:r w:rsidRPr="009F4E3F">
                    <w:rPr>
                      <w:sz w:val="12"/>
                      <w:szCs w:val="12"/>
                    </w:rPr>
                    <w:t>0.14</w:t>
                  </w:r>
                </w:p>
              </w:tc>
            </w:tr>
          </w:tbl>
          <w:p w14:paraId="6F98E45C" w14:textId="77777777" w:rsidR="00830F06" w:rsidRPr="009F4E3F" w:rsidRDefault="00830F06" w:rsidP="00443ED9">
            <w:pPr>
              <w:jc w:val="both"/>
              <w:rPr>
                <w:b/>
                <w:sz w:val="12"/>
                <w:szCs w:val="12"/>
              </w:rPr>
            </w:pPr>
          </w:p>
        </w:tc>
        <w:tc>
          <w:tcPr>
            <w:tcW w:w="4320" w:type="dxa"/>
          </w:tcPr>
          <w:p w14:paraId="3276E349" w14:textId="77777777" w:rsidR="00830F06" w:rsidRPr="009F4E3F" w:rsidRDefault="00830F06" w:rsidP="00443ED9">
            <w:pPr>
              <w:jc w:val="both"/>
              <w:rPr>
                <w:b/>
                <w:sz w:val="12"/>
                <w:szCs w:val="12"/>
              </w:rPr>
            </w:pPr>
          </w:p>
          <w:tbl>
            <w:tblPr>
              <w:tblStyle w:val="TableGrid"/>
              <w:tblW w:w="0" w:type="auto"/>
              <w:tblLook w:val="04A0" w:firstRow="1" w:lastRow="0" w:firstColumn="1" w:lastColumn="0" w:noHBand="0" w:noVBand="1"/>
            </w:tblPr>
            <w:tblGrid>
              <w:gridCol w:w="1908"/>
              <w:gridCol w:w="1129"/>
              <w:gridCol w:w="1080"/>
            </w:tblGrid>
            <w:tr w:rsidR="0060598F" w:rsidRPr="009F4E3F" w14:paraId="4C54BF94" w14:textId="77777777" w:rsidTr="0060598F">
              <w:tc>
                <w:tcPr>
                  <w:tcW w:w="1908" w:type="dxa"/>
                  <w:shd w:val="clear" w:color="auto" w:fill="DBE5F1" w:themeFill="accent1" w:themeFillTint="33"/>
                </w:tcPr>
                <w:p w14:paraId="15FA463B" w14:textId="77777777" w:rsidR="00830F06" w:rsidRPr="009F4E3F" w:rsidRDefault="00830F06" w:rsidP="00830F06">
                  <w:pPr>
                    <w:rPr>
                      <w:sz w:val="12"/>
                      <w:szCs w:val="12"/>
                    </w:rPr>
                  </w:pPr>
                </w:p>
              </w:tc>
              <w:tc>
                <w:tcPr>
                  <w:tcW w:w="1129" w:type="dxa"/>
                  <w:shd w:val="clear" w:color="auto" w:fill="DBE5F1" w:themeFill="accent1" w:themeFillTint="33"/>
                </w:tcPr>
                <w:p w14:paraId="3D650FB0" w14:textId="3E38A502" w:rsidR="00830F06" w:rsidRPr="009F4E3F" w:rsidRDefault="00830F06" w:rsidP="00C62359">
                  <w:pPr>
                    <w:rPr>
                      <w:sz w:val="12"/>
                      <w:szCs w:val="12"/>
                    </w:rPr>
                  </w:pPr>
                  <w:r w:rsidRPr="009F4E3F">
                    <w:rPr>
                      <w:sz w:val="12"/>
                      <w:szCs w:val="12"/>
                    </w:rPr>
                    <w:t>20</w:t>
                  </w:r>
                  <w:r w:rsidR="00C62359" w:rsidRPr="009F4E3F">
                    <w:rPr>
                      <w:sz w:val="12"/>
                      <w:szCs w:val="12"/>
                    </w:rPr>
                    <w:t>11</w:t>
                  </w:r>
                  <w:r w:rsidRPr="009F4E3F">
                    <w:rPr>
                      <w:sz w:val="12"/>
                      <w:szCs w:val="12"/>
                    </w:rPr>
                    <w:t>-1</w:t>
                  </w:r>
                  <w:r w:rsidR="00C62359" w:rsidRPr="009F4E3F">
                    <w:rPr>
                      <w:sz w:val="12"/>
                      <w:szCs w:val="12"/>
                    </w:rPr>
                    <w:t>4</w:t>
                  </w:r>
                </w:p>
              </w:tc>
              <w:tc>
                <w:tcPr>
                  <w:tcW w:w="1080" w:type="dxa"/>
                  <w:shd w:val="clear" w:color="auto" w:fill="DBE5F1" w:themeFill="accent1" w:themeFillTint="33"/>
                </w:tcPr>
                <w:p w14:paraId="6917AD00" w14:textId="659D4113" w:rsidR="00830F06" w:rsidRPr="009F4E3F" w:rsidRDefault="00C62359" w:rsidP="009F74C2">
                  <w:pPr>
                    <w:rPr>
                      <w:sz w:val="12"/>
                      <w:szCs w:val="12"/>
                    </w:rPr>
                  </w:pPr>
                  <w:r w:rsidRPr="009F4E3F">
                    <w:rPr>
                      <w:sz w:val="12"/>
                      <w:szCs w:val="12"/>
                    </w:rPr>
                    <w:t>2016</w:t>
                  </w:r>
                  <w:r w:rsidR="00830F06" w:rsidRPr="009F4E3F">
                    <w:rPr>
                      <w:sz w:val="12"/>
                      <w:szCs w:val="12"/>
                    </w:rPr>
                    <w:t>-</w:t>
                  </w:r>
                  <w:r w:rsidRPr="009F4E3F">
                    <w:rPr>
                      <w:sz w:val="12"/>
                      <w:szCs w:val="12"/>
                    </w:rPr>
                    <w:t>21</w:t>
                  </w:r>
                </w:p>
              </w:tc>
            </w:tr>
            <w:tr w:rsidR="0060598F" w:rsidRPr="009F4E3F" w14:paraId="5A9DD5F4" w14:textId="77777777" w:rsidTr="000F7E2C">
              <w:tc>
                <w:tcPr>
                  <w:tcW w:w="1908" w:type="dxa"/>
                </w:tcPr>
                <w:p w14:paraId="6A465DCA" w14:textId="72272EAA" w:rsidR="00830F06" w:rsidRPr="009F4E3F" w:rsidRDefault="002F3CA6" w:rsidP="00830F06">
                  <w:pPr>
                    <w:rPr>
                      <w:sz w:val="12"/>
                      <w:szCs w:val="12"/>
                    </w:rPr>
                  </w:pPr>
                  <w:r w:rsidRPr="009F4E3F">
                    <w:rPr>
                      <w:sz w:val="12"/>
                      <w:szCs w:val="12"/>
                    </w:rPr>
                    <w:t>Avg.  Revenue G</w:t>
                  </w:r>
                  <w:r w:rsidR="00830F06" w:rsidRPr="009F4E3F">
                    <w:rPr>
                      <w:sz w:val="12"/>
                      <w:szCs w:val="12"/>
                    </w:rPr>
                    <w:t xml:space="preserve">rowth </w:t>
                  </w:r>
                </w:p>
              </w:tc>
              <w:tc>
                <w:tcPr>
                  <w:tcW w:w="1129" w:type="dxa"/>
                </w:tcPr>
                <w:p w14:paraId="28890419" w14:textId="28E0B279" w:rsidR="00830F06" w:rsidRPr="009F4E3F" w:rsidRDefault="00C62359" w:rsidP="00C62359">
                  <w:pPr>
                    <w:jc w:val="center"/>
                    <w:rPr>
                      <w:sz w:val="12"/>
                      <w:szCs w:val="12"/>
                    </w:rPr>
                  </w:pPr>
                  <w:r w:rsidRPr="009F4E3F">
                    <w:rPr>
                      <w:sz w:val="12"/>
                      <w:szCs w:val="12"/>
                    </w:rPr>
                    <w:t>5%</w:t>
                  </w:r>
                </w:p>
              </w:tc>
              <w:tc>
                <w:tcPr>
                  <w:tcW w:w="1080" w:type="dxa"/>
                </w:tcPr>
                <w:p w14:paraId="2B6EF445" w14:textId="4F2B8820" w:rsidR="00830F06" w:rsidRPr="009F4E3F" w:rsidRDefault="00C62359" w:rsidP="00C62359">
                  <w:pPr>
                    <w:jc w:val="center"/>
                    <w:rPr>
                      <w:sz w:val="12"/>
                      <w:szCs w:val="12"/>
                    </w:rPr>
                  </w:pPr>
                  <w:r w:rsidRPr="009F4E3F">
                    <w:rPr>
                      <w:sz w:val="12"/>
                      <w:szCs w:val="12"/>
                    </w:rPr>
                    <w:t>0%</w:t>
                  </w:r>
                </w:p>
              </w:tc>
            </w:tr>
            <w:tr w:rsidR="0060598F" w:rsidRPr="009F4E3F" w14:paraId="49A71F37" w14:textId="77777777" w:rsidTr="000F7E2C">
              <w:tc>
                <w:tcPr>
                  <w:tcW w:w="1908" w:type="dxa"/>
                </w:tcPr>
                <w:p w14:paraId="7425D824" w14:textId="64361ECD" w:rsidR="00830F06" w:rsidRPr="009F4E3F" w:rsidRDefault="00830F06" w:rsidP="00830F06">
                  <w:pPr>
                    <w:rPr>
                      <w:sz w:val="12"/>
                      <w:szCs w:val="12"/>
                    </w:rPr>
                  </w:pPr>
                  <w:r w:rsidRPr="009F4E3F">
                    <w:rPr>
                      <w:sz w:val="12"/>
                      <w:szCs w:val="12"/>
                    </w:rPr>
                    <w:t>Avg</w:t>
                  </w:r>
                  <w:r w:rsidR="002F3CA6" w:rsidRPr="009F4E3F">
                    <w:rPr>
                      <w:sz w:val="12"/>
                      <w:szCs w:val="12"/>
                    </w:rPr>
                    <w:t>.</w:t>
                  </w:r>
                  <w:r w:rsidRPr="009F4E3F">
                    <w:rPr>
                      <w:sz w:val="12"/>
                      <w:szCs w:val="12"/>
                    </w:rPr>
                    <w:t xml:space="preserve">  EBITDA Margin </w:t>
                  </w:r>
                </w:p>
              </w:tc>
              <w:tc>
                <w:tcPr>
                  <w:tcW w:w="1129" w:type="dxa"/>
                </w:tcPr>
                <w:p w14:paraId="6AE1C97F" w14:textId="541207FE" w:rsidR="00830F06" w:rsidRPr="009F4E3F" w:rsidRDefault="00C62359" w:rsidP="00C62359">
                  <w:pPr>
                    <w:jc w:val="center"/>
                    <w:rPr>
                      <w:sz w:val="12"/>
                      <w:szCs w:val="12"/>
                    </w:rPr>
                  </w:pPr>
                  <w:r w:rsidRPr="009F4E3F">
                    <w:rPr>
                      <w:sz w:val="12"/>
                      <w:szCs w:val="12"/>
                    </w:rPr>
                    <w:t>15%</w:t>
                  </w:r>
                </w:p>
              </w:tc>
              <w:tc>
                <w:tcPr>
                  <w:tcW w:w="1080" w:type="dxa"/>
                </w:tcPr>
                <w:p w14:paraId="72FC070B" w14:textId="52C98958" w:rsidR="00830F06" w:rsidRPr="009F4E3F" w:rsidRDefault="00C62359" w:rsidP="00C62359">
                  <w:pPr>
                    <w:jc w:val="center"/>
                    <w:rPr>
                      <w:sz w:val="12"/>
                      <w:szCs w:val="12"/>
                    </w:rPr>
                  </w:pPr>
                  <w:r w:rsidRPr="009F4E3F">
                    <w:rPr>
                      <w:sz w:val="12"/>
                      <w:szCs w:val="12"/>
                    </w:rPr>
                    <w:t>21%</w:t>
                  </w:r>
                </w:p>
              </w:tc>
            </w:tr>
            <w:tr w:rsidR="0060598F" w:rsidRPr="009F4E3F" w14:paraId="5B01660D" w14:textId="77777777" w:rsidTr="000F7E2C">
              <w:tc>
                <w:tcPr>
                  <w:tcW w:w="1908" w:type="dxa"/>
                </w:tcPr>
                <w:p w14:paraId="2B656250" w14:textId="38CF8CA6" w:rsidR="00830F06" w:rsidRPr="009F4E3F" w:rsidRDefault="00830F06" w:rsidP="00B73900">
                  <w:pPr>
                    <w:rPr>
                      <w:sz w:val="12"/>
                      <w:szCs w:val="12"/>
                    </w:rPr>
                  </w:pPr>
                  <w:r w:rsidRPr="009F4E3F">
                    <w:rPr>
                      <w:sz w:val="12"/>
                      <w:szCs w:val="12"/>
                    </w:rPr>
                    <w:t>Avg</w:t>
                  </w:r>
                  <w:r w:rsidR="002F3CA6" w:rsidRPr="009F4E3F">
                    <w:rPr>
                      <w:sz w:val="12"/>
                      <w:szCs w:val="12"/>
                    </w:rPr>
                    <w:t>.</w:t>
                  </w:r>
                  <w:r w:rsidRPr="009F4E3F">
                    <w:rPr>
                      <w:sz w:val="12"/>
                      <w:szCs w:val="12"/>
                    </w:rPr>
                    <w:t xml:space="preserve">  </w:t>
                  </w:r>
                  <w:r w:rsidR="00B73900" w:rsidRPr="009F4E3F">
                    <w:rPr>
                      <w:sz w:val="12"/>
                      <w:szCs w:val="12"/>
                    </w:rPr>
                    <w:t>NOPAT</w:t>
                  </w:r>
                  <w:r w:rsidRPr="009F4E3F">
                    <w:rPr>
                      <w:sz w:val="12"/>
                      <w:szCs w:val="12"/>
                    </w:rPr>
                    <w:t xml:space="preserve"> </w:t>
                  </w:r>
                  <w:r w:rsidR="00B73900" w:rsidRPr="009F4E3F">
                    <w:rPr>
                      <w:sz w:val="12"/>
                      <w:szCs w:val="12"/>
                    </w:rPr>
                    <w:t>Margin</w:t>
                  </w:r>
                </w:p>
              </w:tc>
              <w:tc>
                <w:tcPr>
                  <w:tcW w:w="1129" w:type="dxa"/>
                </w:tcPr>
                <w:p w14:paraId="6B796F07" w14:textId="18A6C84B" w:rsidR="00830F06" w:rsidRPr="009F4E3F" w:rsidRDefault="00C62359" w:rsidP="00C62359">
                  <w:pPr>
                    <w:jc w:val="center"/>
                    <w:rPr>
                      <w:sz w:val="12"/>
                      <w:szCs w:val="12"/>
                    </w:rPr>
                  </w:pPr>
                  <w:r w:rsidRPr="009F4E3F">
                    <w:rPr>
                      <w:sz w:val="12"/>
                      <w:szCs w:val="12"/>
                    </w:rPr>
                    <w:t>8%</w:t>
                  </w:r>
                </w:p>
              </w:tc>
              <w:tc>
                <w:tcPr>
                  <w:tcW w:w="1080" w:type="dxa"/>
                </w:tcPr>
                <w:p w14:paraId="2CA542D3" w14:textId="515E981F" w:rsidR="00830F06" w:rsidRPr="009F4E3F" w:rsidRDefault="00C62359" w:rsidP="00C62359">
                  <w:pPr>
                    <w:jc w:val="center"/>
                    <w:rPr>
                      <w:sz w:val="12"/>
                      <w:szCs w:val="12"/>
                    </w:rPr>
                  </w:pPr>
                  <w:r w:rsidRPr="009F4E3F">
                    <w:rPr>
                      <w:sz w:val="12"/>
                      <w:szCs w:val="12"/>
                    </w:rPr>
                    <w:t>13%</w:t>
                  </w:r>
                </w:p>
              </w:tc>
            </w:tr>
            <w:tr w:rsidR="00830F06" w:rsidRPr="009F4E3F" w14:paraId="42F79EE5" w14:textId="77777777" w:rsidTr="000F7E2C">
              <w:tc>
                <w:tcPr>
                  <w:tcW w:w="3037" w:type="dxa"/>
                  <w:gridSpan w:val="2"/>
                </w:tcPr>
                <w:p w14:paraId="11317549" w14:textId="77777777" w:rsidR="00830F06" w:rsidRPr="009F4E3F" w:rsidRDefault="00830F06" w:rsidP="00830F06">
                  <w:pPr>
                    <w:rPr>
                      <w:sz w:val="12"/>
                      <w:szCs w:val="12"/>
                    </w:rPr>
                  </w:pPr>
                  <w:r w:rsidRPr="009F4E3F">
                    <w:rPr>
                      <w:sz w:val="12"/>
                      <w:szCs w:val="12"/>
                    </w:rPr>
                    <w:t>Cost of Debt</w:t>
                  </w:r>
                </w:p>
              </w:tc>
              <w:tc>
                <w:tcPr>
                  <w:tcW w:w="1080" w:type="dxa"/>
                </w:tcPr>
                <w:p w14:paraId="316D237F" w14:textId="5DA6868D" w:rsidR="00830F06" w:rsidRPr="009F4E3F" w:rsidRDefault="00D03AA4" w:rsidP="00C62359">
                  <w:pPr>
                    <w:jc w:val="center"/>
                    <w:rPr>
                      <w:sz w:val="12"/>
                      <w:szCs w:val="12"/>
                    </w:rPr>
                  </w:pPr>
                  <w:r w:rsidRPr="009F4E3F">
                    <w:rPr>
                      <w:sz w:val="12"/>
                      <w:szCs w:val="12"/>
                    </w:rPr>
                    <w:t>1.59%</w:t>
                  </w:r>
                </w:p>
              </w:tc>
            </w:tr>
            <w:tr w:rsidR="00830F06" w:rsidRPr="009F4E3F" w14:paraId="67214880" w14:textId="77777777" w:rsidTr="000F7E2C">
              <w:tc>
                <w:tcPr>
                  <w:tcW w:w="3037" w:type="dxa"/>
                  <w:gridSpan w:val="2"/>
                </w:tcPr>
                <w:p w14:paraId="30979647" w14:textId="77777777" w:rsidR="00830F06" w:rsidRPr="009F4E3F" w:rsidRDefault="00830F06" w:rsidP="00830F06">
                  <w:pPr>
                    <w:rPr>
                      <w:sz w:val="12"/>
                      <w:szCs w:val="12"/>
                    </w:rPr>
                  </w:pPr>
                  <w:r w:rsidRPr="009F4E3F">
                    <w:rPr>
                      <w:sz w:val="12"/>
                      <w:szCs w:val="12"/>
                    </w:rPr>
                    <w:t>Tax Rate</w:t>
                  </w:r>
                </w:p>
              </w:tc>
              <w:tc>
                <w:tcPr>
                  <w:tcW w:w="1080" w:type="dxa"/>
                </w:tcPr>
                <w:p w14:paraId="426CE887" w14:textId="5884A95C" w:rsidR="00830F06" w:rsidRPr="009F4E3F" w:rsidRDefault="00D03AA4" w:rsidP="00C62359">
                  <w:pPr>
                    <w:jc w:val="center"/>
                    <w:rPr>
                      <w:sz w:val="12"/>
                      <w:szCs w:val="12"/>
                    </w:rPr>
                  </w:pPr>
                  <w:r w:rsidRPr="009F4E3F">
                    <w:rPr>
                      <w:sz w:val="12"/>
                      <w:szCs w:val="12"/>
                    </w:rPr>
                    <w:t>36.76%</w:t>
                  </w:r>
                </w:p>
              </w:tc>
            </w:tr>
            <w:tr w:rsidR="00830F06" w:rsidRPr="009F4E3F" w14:paraId="0F9564DE" w14:textId="77777777" w:rsidTr="000F7E2C">
              <w:tc>
                <w:tcPr>
                  <w:tcW w:w="3037" w:type="dxa"/>
                  <w:gridSpan w:val="2"/>
                </w:tcPr>
                <w:p w14:paraId="02E73EF4" w14:textId="77777777" w:rsidR="00830F06" w:rsidRPr="009F4E3F" w:rsidRDefault="00830F06" w:rsidP="00830F06">
                  <w:pPr>
                    <w:rPr>
                      <w:sz w:val="12"/>
                      <w:szCs w:val="12"/>
                    </w:rPr>
                  </w:pPr>
                  <w:r w:rsidRPr="009F4E3F">
                    <w:rPr>
                      <w:sz w:val="12"/>
                      <w:szCs w:val="12"/>
                    </w:rPr>
                    <w:t xml:space="preserve">Cost of Equity </w:t>
                  </w:r>
                </w:p>
              </w:tc>
              <w:tc>
                <w:tcPr>
                  <w:tcW w:w="1080" w:type="dxa"/>
                </w:tcPr>
                <w:p w14:paraId="7C66D20E" w14:textId="74621BF7" w:rsidR="00830F06" w:rsidRPr="009F4E3F" w:rsidRDefault="00D03AA4" w:rsidP="00C62359">
                  <w:pPr>
                    <w:jc w:val="center"/>
                    <w:rPr>
                      <w:sz w:val="12"/>
                      <w:szCs w:val="12"/>
                    </w:rPr>
                  </w:pPr>
                  <w:r w:rsidRPr="009F4E3F">
                    <w:rPr>
                      <w:sz w:val="12"/>
                      <w:szCs w:val="12"/>
                    </w:rPr>
                    <w:t>11.09%</w:t>
                  </w:r>
                </w:p>
              </w:tc>
            </w:tr>
            <w:tr w:rsidR="00830F06" w:rsidRPr="009F4E3F" w14:paraId="19A1F6C8" w14:textId="77777777" w:rsidTr="000F7E2C">
              <w:tc>
                <w:tcPr>
                  <w:tcW w:w="3037" w:type="dxa"/>
                  <w:gridSpan w:val="2"/>
                </w:tcPr>
                <w:p w14:paraId="714B53EA" w14:textId="77777777" w:rsidR="00830F06" w:rsidRPr="009F4E3F" w:rsidRDefault="00830F06" w:rsidP="00830F06">
                  <w:pPr>
                    <w:rPr>
                      <w:sz w:val="12"/>
                      <w:szCs w:val="12"/>
                    </w:rPr>
                  </w:pPr>
                  <w:r w:rsidRPr="009F4E3F">
                    <w:rPr>
                      <w:sz w:val="12"/>
                      <w:szCs w:val="12"/>
                    </w:rPr>
                    <w:t>WACC</w:t>
                  </w:r>
                </w:p>
              </w:tc>
              <w:tc>
                <w:tcPr>
                  <w:tcW w:w="1080" w:type="dxa"/>
                </w:tcPr>
                <w:p w14:paraId="71DF2BD8" w14:textId="72D7C1FF" w:rsidR="00830F06" w:rsidRPr="009F4E3F" w:rsidRDefault="00D03AA4" w:rsidP="00C62359">
                  <w:pPr>
                    <w:jc w:val="center"/>
                    <w:rPr>
                      <w:sz w:val="12"/>
                      <w:szCs w:val="12"/>
                    </w:rPr>
                  </w:pPr>
                  <w:r w:rsidRPr="009F4E3F">
                    <w:rPr>
                      <w:sz w:val="12"/>
                      <w:szCs w:val="12"/>
                    </w:rPr>
                    <w:t>9.40%</w:t>
                  </w:r>
                </w:p>
              </w:tc>
            </w:tr>
            <w:tr w:rsidR="00830F06" w:rsidRPr="009F4E3F" w14:paraId="48232758" w14:textId="77777777" w:rsidTr="002D3CFC">
              <w:trPr>
                <w:trHeight w:val="197"/>
              </w:trPr>
              <w:tc>
                <w:tcPr>
                  <w:tcW w:w="3037" w:type="dxa"/>
                  <w:gridSpan w:val="2"/>
                </w:tcPr>
                <w:p w14:paraId="75850D20" w14:textId="0C27CA3A" w:rsidR="00830F06" w:rsidRPr="009F4E3F" w:rsidRDefault="0012425D" w:rsidP="0012425D">
                  <w:pPr>
                    <w:rPr>
                      <w:sz w:val="12"/>
                      <w:szCs w:val="12"/>
                    </w:rPr>
                  </w:pPr>
                  <w:r w:rsidRPr="009F4E3F">
                    <w:rPr>
                      <w:sz w:val="12"/>
                      <w:szCs w:val="12"/>
                    </w:rPr>
                    <w:t>Perpetuity Growth Rate (Terminal)</w:t>
                  </w:r>
                </w:p>
              </w:tc>
              <w:tc>
                <w:tcPr>
                  <w:tcW w:w="1080" w:type="dxa"/>
                </w:tcPr>
                <w:p w14:paraId="0C5586DB" w14:textId="5A3A49CC" w:rsidR="00830F06" w:rsidRPr="009F4E3F" w:rsidRDefault="00D03AA4" w:rsidP="00C62359">
                  <w:pPr>
                    <w:jc w:val="center"/>
                    <w:rPr>
                      <w:sz w:val="12"/>
                      <w:szCs w:val="12"/>
                    </w:rPr>
                  </w:pPr>
                  <w:r w:rsidRPr="009F4E3F">
                    <w:rPr>
                      <w:sz w:val="12"/>
                      <w:szCs w:val="12"/>
                    </w:rPr>
                    <w:t>2.00%</w:t>
                  </w:r>
                </w:p>
              </w:tc>
            </w:tr>
          </w:tbl>
          <w:p w14:paraId="4363BD08" w14:textId="681172B1" w:rsidR="009F0D12" w:rsidRPr="009F4E3F" w:rsidRDefault="009F0D12" w:rsidP="009F0D12">
            <w:pPr>
              <w:jc w:val="both"/>
              <w:rPr>
                <w:b/>
                <w:sz w:val="12"/>
                <w:szCs w:val="12"/>
              </w:rPr>
            </w:pPr>
            <w:r w:rsidRPr="009F4E3F">
              <w:rPr>
                <w:b/>
                <w:sz w:val="12"/>
                <w:szCs w:val="12"/>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9F4E3F" w14:paraId="2502AA66" w14:textId="77777777" w:rsidTr="00675736">
              <w:tc>
                <w:tcPr>
                  <w:tcW w:w="1363" w:type="dxa"/>
                  <w:shd w:val="clear" w:color="auto" w:fill="DBE5F1" w:themeFill="accent1" w:themeFillTint="33"/>
                </w:tcPr>
                <w:p w14:paraId="6457A1D0" w14:textId="092E0230" w:rsidR="009F0D12" w:rsidRPr="009F4E3F" w:rsidRDefault="009F0D12" w:rsidP="009F0D12">
                  <w:pPr>
                    <w:jc w:val="both"/>
                    <w:rPr>
                      <w:sz w:val="12"/>
                      <w:szCs w:val="12"/>
                    </w:rPr>
                  </w:pPr>
                  <w:r w:rsidRPr="009F4E3F">
                    <w:rPr>
                      <w:sz w:val="12"/>
                      <w:szCs w:val="12"/>
                    </w:rPr>
                    <w:t xml:space="preserve">Buy: </w:t>
                  </w:r>
                  <w:r w:rsidR="00D03AA4" w:rsidRPr="009F4E3F">
                    <w:rPr>
                      <w:sz w:val="12"/>
                      <w:szCs w:val="12"/>
                    </w:rPr>
                    <w:t xml:space="preserve"> 14</w:t>
                  </w:r>
                </w:p>
              </w:tc>
              <w:tc>
                <w:tcPr>
                  <w:tcW w:w="1363" w:type="dxa"/>
                  <w:shd w:val="clear" w:color="auto" w:fill="DBE5F1" w:themeFill="accent1" w:themeFillTint="33"/>
                </w:tcPr>
                <w:p w14:paraId="10E79476" w14:textId="45168E34" w:rsidR="009F0D12" w:rsidRPr="009F4E3F" w:rsidRDefault="009F0D12" w:rsidP="009F0D12">
                  <w:pPr>
                    <w:jc w:val="both"/>
                    <w:rPr>
                      <w:sz w:val="12"/>
                      <w:szCs w:val="12"/>
                    </w:rPr>
                  </w:pPr>
                  <w:r w:rsidRPr="009F4E3F">
                    <w:rPr>
                      <w:sz w:val="12"/>
                      <w:szCs w:val="12"/>
                    </w:rPr>
                    <w:t xml:space="preserve">Hold: </w:t>
                  </w:r>
                  <w:r w:rsidR="00D03AA4" w:rsidRPr="009F4E3F">
                    <w:rPr>
                      <w:sz w:val="12"/>
                      <w:szCs w:val="12"/>
                    </w:rPr>
                    <w:t xml:space="preserve">  0</w:t>
                  </w:r>
                </w:p>
              </w:tc>
              <w:tc>
                <w:tcPr>
                  <w:tcW w:w="1363" w:type="dxa"/>
                  <w:shd w:val="clear" w:color="auto" w:fill="DBE5F1" w:themeFill="accent1" w:themeFillTint="33"/>
                </w:tcPr>
                <w:p w14:paraId="1F373BED" w14:textId="53C7F8AC" w:rsidR="009F0D12" w:rsidRPr="009F4E3F" w:rsidRDefault="009F0D12" w:rsidP="009F0D12">
                  <w:pPr>
                    <w:jc w:val="both"/>
                    <w:rPr>
                      <w:sz w:val="12"/>
                      <w:szCs w:val="12"/>
                    </w:rPr>
                  </w:pPr>
                  <w:r w:rsidRPr="009F4E3F">
                    <w:rPr>
                      <w:sz w:val="12"/>
                      <w:szCs w:val="12"/>
                    </w:rPr>
                    <w:t xml:space="preserve">Sell: </w:t>
                  </w:r>
                  <w:r w:rsidR="00D03AA4" w:rsidRPr="009F4E3F">
                    <w:rPr>
                      <w:sz w:val="12"/>
                      <w:szCs w:val="12"/>
                    </w:rPr>
                    <w:t xml:space="preserve"> 0</w:t>
                  </w:r>
                </w:p>
              </w:tc>
            </w:tr>
          </w:tbl>
          <w:p w14:paraId="724FC07A" w14:textId="77777777" w:rsidR="009F0D12" w:rsidRPr="009F4E3F" w:rsidRDefault="009F0D12" w:rsidP="009F0D12">
            <w:pPr>
              <w:jc w:val="both"/>
              <w:rPr>
                <w:b/>
                <w:sz w:val="12"/>
                <w:szCs w:val="12"/>
              </w:rPr>
            </w:pPr>
          </w:p>
          <w:tbl>
            <w:tblPr>
              <w:tblStyle w:val="TableGrid"/>
              <w:tblW w:w="4117" w:type="dxa"/>
              <w:tblLook w:val="04A0" w:firstRow="1" w:lastRow="0" w:firstColumn="1" w:lastColumn="0" w:noHBand="0" w:noVBand="1"/>
            </w:tblPr>
            <w:tblGrid>
              <w:gridCol w:w="1507"/>
              <w:gridCol w:w="1221"/>
              <w:gridCol w:w="1389"/>
            </w:tblGrid>
            <w:tr w:rsidR="009F0D12" w:rsidRPr="009F4E3F" w14:paraId="0A705346" w14:textId="77777777" w:rsidTr="00F042AA">
              <w:tc>
                <w:tcPr>
                  <w:tcW w:w="1507" w:type="dxa"/>
                  <w:shd w:val="clear" w:color="auto" w:fill="DBE5F1" w:themeFill="accent1" w:themeFillTint="33"/>
                </w:tcPr>
                <w:p w14:paraId="7897F5B6" w14:textId="77777777" w:rsidR="009F0D12" w:rsidRPr="009F4E3F" w:rsidRDefault="009F0D12" w:rsidP="009F0D12">
                  <w:pPr>
                    <w:jc w:val="both"/>
                    <w:rPr>
                      <w:sz w:val="12"/>
                      <w:szCs w:val="12"/>
                    </w:rPr>
                  </w:pPr>
                </w:p>
              </w:tc>
              <w:tc>
                <w:tcPr>
                  <w:tcW w:w="1221" w:type="dxa"/>
                  <w:shd w:val="clear" w:color="auto" w:fill="DBE5F1" w:themeFill="accent1" w:themeFillTint="33"/>
                </w:tcPr>
                <w:p w14:paraId="78BA4ECF" w14:textId="77777777" w:rsidR="009F0D12" w:rsidRPr="009F4E3F" w:rsidRDefault="009F0D12" w:rsidP="009F0D12">
                  <w:pPr>
                    <w:jc w:val="both"/>
                    <w:rPr>
                      <w:sz w:val="12"/>
                      <w:szCs w:val="12"/>
                    </w:rPr>
                  </w:pPr>
                  <w:r w:rsidRPr="009F4E3F">
                    <w:rPr>
                      <w:sz w:val="12"/>
                      <w:szCs w:val="12"/>
                    </w:rPr>
                    <w:t xml:space="preserve">Rating </w:t>
                  </w:r>
                </w:p>
              </w:tc>
              <w:tc>
                <w:tcPr>
                  <w:tcW w:w="1389" w:type="dxa"/>
                  <w:shd w:val="clear" w:color="auto" w:fill="DBE5F1" w:themeFill="accent1" w:themeFillTint="33"/>
                </w:tcPr>
                <w:p w14:paraId="1E6E599B" w14:textId="69E23BCF" w:rsidR="009F0D12" w:rsidRPr="009F4E3F" w:rsidRDefault="00E40BA9" w:rsidP="009F0D12">
                  <w:pPr>
                    <w:jc w:val="both"/>
                    <w:rPr>
                      <w:sz w:val="12"/>
                      <w:szCs w:val="12"/>
                    </w:rPr>
                  </w:pPr>
                  <w:r w:rsidRPr="009F4E3F">
                    <w:rPr>
                      <w:sz w:val="12"/>
                      <w:szCs w:val="12"/>
                    </w:rPr>
                    <w:t>Target</w:t>
                  </w:r>
                </w:p>
              </w:tc>
            </w:tr>
            <w:tr w:rsidR="009F0D12" w:rsidRPr="009F4E3F" w14:paraId="18B2C8FA" w14:textId="77777777" w:rsidTr="00F042AA">
              <w:tc>
                <w:tcPr>
                  <w:tcW w:w="1507" w:type="dxa"/>
                </w:tcPr>
                <w:p w14:paraId="12374E3E" w14:textId="4C4A02B5" w:rsidR="009F0D12" w:rsidRPr="009F4E3F" w:rsidRDefault="00F042AA" w:rsidP="009F0D12">
                  <w:pPr>
                    <w:jc w:val="both"/>
                    <w:rPr>
                      <w:sz w:val="12"/>
                      <w:szCs w:val="12"/>
                    </w:rPr>
                  </w:pPr>
                  <w:r w:rsidRPr="009F4E3F">
                    <w:rPr>
                      <w:sz w:val="12"/>
                      <w:szCs w:val="12"/>
                    </w:rPr>
                    <w:t>S&amp;P Net</w:t>
                  </w:r>
                  <w:r w:rsidR="009F0D12" w:rsidRPr="009F4E3F">
                    <w:rPr>
                      <w:sz w:val="12"/>
                      <w:szCs w:val="12"/>
                    </w:rPr>
                    <w:t xml:space="preserve">Advantage </w:t>
                  </w:r>
                </w:p>
              </w:tc>
              <w:tc>
                <w:tcPr>
                  <w:tcW w:w="1221" w:type="dxa"/>
                </w:tcPr>
                <w:p w14:paraId="6EC161A2" w14:textId="154EF36C" w:rsidR="009F0D12" w:rsidRPr="009F4E3F" w:rsidRDefault="00D03AA4" w:rsidP="009F0D12">
                  <w:pPr>
                    <w:jc w:val="both"/>
                    <w:rPr>
                      <w:sz w:val="12"/>
                      <w:szCs w:val="12"/>
                    </w:rPr>
                  </w:pPr>
                  <w:r w:rsidRPr="009F4E3F">
                    <w:rPr>
                      <w:sz w:val="12"/>
                      <w:szCs w:val="12"/>
                    </w:rPr>
                    <w:t>Strong Buy</w:t>
                  </w:r>
                </w:p>
              </w:tc>
              <w:tc>
                <w:tcPr>
                  <w:tcW w:w="1389" w:type="dxa"/>
                </w:tcPr>
                <w:p w14:paraId="0BCB7E23" w14:textId="10DD3F11" w:rsidR="009F0D12" w:rsidRPr="009F4E3F" w:rsidRDefault="00D03AA4" w:rsidP="00E40BA9">
                  <w:pPr>
                    <w:jc w:val="both"/>
                    <w:rPr>
                      <w:sz w:val="12"/>
                      <w:szCs w:val="12"/>
                    </w:rPr>
                  </w:pPr>
                  <w:r w:rsidRPr="009F4E3F">
                    <w:rPr>
                      <w:sz w:val="12"/>
                      <w:szCs w:val="12"/>
                    </w:rPr>
                    <w:t>$70.00 (12-month)</w:t>
                  </w:r>
                </w:p>
              </w:tc>
            </w:tr>
            <w:tr w:rsidR="009F0D12" w:rsidRPr="009F4E3F" w14:paraId="35B4D85C" w14:textId="77777777" w:rsidTr="00F042AA">
              <w:trPr>
                <w:trHeight w:val="215"/>
              </w:trPr>
              <w:tc>
                <w:tcPr>
                  <w:tcW w:w="1507" w:type="dxa"/>
                </w:tcPr>
                <w:p w14:paraId="1DD4E482" w14:textId="3CAABB83" w:rsidR="009F0D12" w:rsidRPr="009F4E3F" w:rsidRDefault="00F042AA" w:rsidP="00F042AA">
                  <w:pPr>
                    <w:jc w:val="both"/>
                    <w:rPr>
                      <w:sz w:val="12"/>
                      <w:szCs w:val="12"/>
                    </w:rPr>
                  </w:pPr>
                  <w:r w:rsidRPr="009F4E3F">
                    <w:rPr>
                      <w:sz w:val="12"/>
                      <w:szCs w:val="12"/>
                    </w:rPr>
                    <w:t>Mornings</w:t>
                  </w:r>
                  <w:r w:rsidR="0029559F" w:rsidRPr="009F4E3F">
                    <w:rPr>
                      <w:sz w:val="12"/>
                      <w:szCs w:val="12"/>
                    </w:rPr>
                    <w:t>tar</w:t>
                  </w:r>
                </w:p>
              </w:tc>
              <w:tc>
                <w:tcPr>
                  <w:tcW w:w="1221" w:type="dxa"/>
                </w:tcPr>
                <w:p w14:paraId="0B4EFFDC" w14:textId="0D67466C" w:rsidR="009F0D12" w:rsidRPr="009F4E3F" w:rsidRDefault="00493CF7" w:rsidP="009F0D12">
                  <w:pPr>
                    <w:jc w:val="both"/>
                    <w:rPr>
                      <w:sz w:val="12"/>
                      <w:szCs w:val="12"/>
                    </w:rPr>
                  </w:pPr>
                  <w:r w:rsidRPr="009F4E3F">
                    <w:rPr>
                      <w:sz w:val="12"/>
                      <w:szCs w:val="12"/>
                    </w:rPr>
                    <w:t>No Coverage</w:t>
                  </w:r>
                </w:p>
              </w:tc>
              <w:tc>
                <w:tcPr>
                  <w:tcW w:w="1389" w:type="dxa"/>
                </w:tcPr>
                <w:p w14:paraId="70BA49F9" w14:textId="2FC98EA4" w:rsidR="009F0D12" w:rsidRPr="009F4E3F" w:rsidRDefault="009F0D12" w:rsidP="009F0D12">
                  <w:pPr>
                    <w:jc w:val="both"/>
                    <w:rPr>
                      <w:sz w:val="12"/>
                      <w:szCs w:val="12"/>
                    </w:rPr>
                  </w:pPr>
                </w:p>
              </w:tc>
            </w:tr>
            <w:tr w:rsidR="009F0D12" w:rsidRPr="009F4E3F" w14:paraId="0BBF9B66" w14:textId="77777777" w:rsidTr="00F042AA">
              <w:trPr>
                <w:trHeight w:val="215"/>
              </w:trPr>
              <w:tc>
                <w:tcPr>
                  <w:tcW w:w="1507" w:type="dxa"/>
                </w:tcPr>
                <w:p w14:paraId="0E7E15E7" w14:textId="50B93F2B" w:rsidR="009F0D12" w:rsidRPr="009F4E3F" w:rsidRDefault="009F0D12" w:rsidP="009F0D12">
                  <w:pPr>
                    <w:jc w:val="both"/>
                    <w:rPr>
                      <w:sz w:val="12"/>
                      <w:szCs w:val="12"/>
                    </w:rPr>
                  </w:pPr>
                  <w:r w:rsidRPr="009F4E3F">
                    <w:rPr>
                      <w:sz w:val="12"/>
                      <w:szCs w:val="12"/>
                    </w:rPr>
                    <w:t xml:space="preserve">Value Line </w:t>
                  </w:r>
                </w:p>
              </w:tc>
              <w:tc>
                <w:tcPr>
                  <w:tcW w:w="1221" w:type="dxa"/>
                </w:tcPr>
                <w:p w14:paraId="161AF23F" w14:textId="0EA1B256" w:rsidR="0001176B" w:rsidRPr="009F4E3F" w:rsidRDefault="002A6E24" w:rsidP="009F0D12">
                  <w:pPr>
                    <w:jc w:val="both"/>
                    <w:rPr>
                      <w:sz w:val="12"/>
                      <w:szCs w:val="12"/>
                    </w:rPr>
                  </w:pPr>
                  <w:r w:rsidRPr="009F4E3F">
                    <w:rPr>
                      <w:sz w:val="12"/>
                      <w:szCs w:val="12"/>
                    </w:rPr>
                    <w:t>Timeliness – 2</w:t>
                  </w:r>
                </w:p>
              </w:tc>
              <w:tc>
                <w:tcPr>
                  <w:tcW w:w="1389" w:type="dxa"/>
                </w:tcPr>
                <w:p w14:paraId="22CC1EA0" w14:textId="4F231341" w:rsidR="009F0D12" w:rsidRPr="009F4E3F" w:rsidRDefault="002A6E24" w:rsidP="009F0D12">
                  <w:pPr>
                    <w:jc w:val="both"/>
                    <w:rPr>
                      <w:sz w:val="12"/>
                      <w:szCs w:val="12"/>
                    </w:rPr>
                  </w:pPr>
                  <w:r w:rsidRPr="009F4E3F">
                    <w:rPr>
                      <w:sz w:val="12"/>
                      <w:szCs w:val="12"/>
                    </w:rPr>
                    <w:t>$55.00 - $80.00</w:t>
                  </w:r>
                </w:p>
              </w:tc>
            </w:tr>
          </w:tbl>
          <w:p w14:paraId="577D83D9" w14:textId="094C4AF8" w:rsidR="002D3CFC" w:rsidRPr="009F4E3F" w:rsidRDefault="002D3CFC" w:rsidP="00443ED9">
            <w:pPr>
              <w:jc w:val="both"/>
              <w:rPr>
                <w:b/>
                <w:sz w:val="12"/>
                <w:szCs w:val="12"/>
              </w:rPr>
            </w:pPr>
          </w:p>
        </w:tc>
      </w:tr>
    </w:tbl>
    <w:p w14:paraId="2B589A9D" w14:textId="77777777" w:rsidR="00830F06" w:rsidRPr="009F4E3F" w:rsidRDefault="00830F06" w:rsidP="00443ED9">
      <w:pPr>
        <w:ind w:left="-1440"/>
        <w:jc w:val="both"/>
        <w:rPr>
          <w:b/>
          <w:sz w:val="12"/>
          <w:szCs w:val="12"/>
        </w:rPr>
      </w:pPr>
    </w:p>
    <w:tbl>
      <w:tblPr>
        <w:tblStyle w:val="TableGrid"/>
        <w:tblW w:w="11808" w:type="dxa"/>
        <w:tblInd w:w="-1440" w:type="dxa"/>
        <w:tblLook w:val="04A0" w:firstRow="1" w:lastRow="0" w:firstColumn="1" w:lastColumn="0" w:noHBand="0" w:noVBand="1"/>
      </w:tblPr>
      <w:tblGrid>
        <w:gridCol w:w="7483"/>
        <w:gridCol w:w="4392"/>
      </w:tblGrid>
      <w:tr w:rsidR="004F2EAA" w:rsidRPr="009F4E3F" w14:paraId="660DEC2C" w14:textId="77777777" w:rsidTr="00034A52">
        <w:tc>
          <w:tcPr>
            <w:tcW w:w="7488" w:type="dxa"/>
            <w:shd w:val="clear" w:color="auto" w:fill="365F91" w:themeFill="accent1" w:themeFillShade="BF"/>
          </w:tcPr>
          <w:p w14:paraId="1BAF6900" w14:textId="27A2E398" w:rsidR="004F2EAA" w:rsidRPr="009F4E3F" w:rsidRDefault="004F2EAA" w:rsidP="004F2EAA">
            <w:pPr>
              <w:rPr>
                <w:b/>
                <w:color w:val="FFFFFF" w:themeColor="background1"/>
                <w:sz w:val="12"/>
                <w:szCs w:val="12"/>
              </w:rPr>
            </w:pPr>
            <w:r w:rsidRPr="009F4E3F">
              <w:rPr>
                <w:b/>
                <w:color w:val="FFFFFF" w:themeColor="background1"/>
                <w:sz w:val="12"/>
                <w:szCs w:val="12"/>
              </w:rPr>
              <w:t>Relative Valuation</w:t>
            </w:r>
          </w:p>
        </w:tc>
        <w:tc>
          <w:tcPr>
            <w:tcW w:w="4320" w:type="dxa"/>
            <w:shd w:val="clear" w:color="auto" w:fill="365F91" w:themeFill="accent1" w:themeFillShade="BF"/>
          </w:tcPr>
          <w:p w14:paraId="335BDBD9" w14:textId="160EB620" w:rsidR="004F2EAA" w:rsidRPr="009F4E3F" w:rsidRDefault="000E0407" w:rsidP="000F7E2C">
            <w:pPr>
              <w:jc w:val="both"/>
              <w:rPr>
                <w:b/>
                <w:color w:val="FFFFFF" w:themeColor="background1"/>
                <w:sz w:val="12"/>
                <w:szCs w:val="12"/>
              </w:rPr>
            </w:pPr>
            <w:r w:rsidRPr="009F4E3F">
              <w:rPr>
                <w:b/>
                <w:color w:val="FFFFFF" w:themeColor="background1"/>
                <w:sz w:val="12"/>
                <w:szCs w:val="12"/>
              </w:rPr>
              <w:t>Total Return</w:t>
            </w:r>
          </w:p>
        </w:tc>
      </w:tr>
      <w:tr w:rsidR="004F2EAA" w:rsidRPr="009F4E3F" w14:paraId="2AA141CB" w14:textId="77777777" w:rsidTr="000F7E2C">
        <w:tc>
          <w:tcPr>
            <w:tcW w:w="7488" w:type="dxa"/>
          </w:tcPr>
          <w:p w14:paraId="3F2A33BE" w14:textId="77777777" w:rsidR="004F2EAA" w:rsidRPr="009F4E3F" w:rsidRDefault="004F2EAA" w:rsidP="000F7E2C">
            <w:pPr>
              <w:jc w:val="both"/>
              <w:rPr>
                <w:b/>
                <w:sz w:val="12"/>
                <w:szCs w:val="12"/>
              </w:rPr>
            </w:pPr>
          </w:p>
          <w:tbl>
            <w:tblPr>
              <w:tblStyle w:val="TableGrid"/>
              <w:tblW w:w="7257" w:type="dxa"/>
              <w:tblLook w:val="04A0" w:firstRow="1" w:lastRow="0" w:firstColumn="1" w:lastColumn="0" w:noHBand="0" w:noVBand="1"/>
            </w:tblPr>
            <w:tblGrid>
              <w:gridCol w:w="1677"/>
              <w:gridCol w:w="815"/>
              <w:gridCol w:w="804"/>
              <w:gridCol w:w="885"/>
              <w:gridCol w:w="953"/>
              <w:gridCol w:w="981"/>
              <w:gridCol w:w="1142"/>
            </w:tblGrid>
            <w:tr w:rsidR="008C2798" w:rsidRPr="009F4E3F" w14:paraId="03A7F5D8" w14:textId="77777777" w:rsidTr="0089190C">
              <w:tc>
                <w:tcPr>
                  <w:tcW w:w="1677" w:type="dxa"/>
                  <w:shd w:val="clear" w:color="auto" w:fill="DBE5F1" w:themeFill="accent1" w:themeFillTint="33"/>
                </w:tcPr>
                <w:p w14:paraId="18F981FE" w14:textId="6A48FFE7" w:rsidR="004F2EAA" w:rsidRPr="009F4E3F" w:rsidRDefault="004F2EAA" w:rsidP="004F2EAA">
                  <w:pPr>
                    <w:rPr>
                      <w:sz w:val="12"/>
                      <w:szCs w:val="12"/>
                    </w:rPr>
                  </w:pPr>
                </w:p>
              </w:tc>
              <w:tc>
                <w:tcPr>
                  <w:tcW w:w="815" w:type="dxa"/>
                  <w:shd w:val="clear" w:color="auto" w:fill="DBE5F1" w:themeFill="accent1" w:themeFillTint="33"/>
                </w:tcPr>
                <w:p w14:paraId="36FCBD39" w14:textId="57509EDB" w:rsidR="004F2EAA" w:rsidRPr="009F4E3F" w:rsidRDefault="005F4653" w:rsidP="004F2EAA">
                  <w:pPr>
                    <w:rPr>
                      <w:sz w:val="12"/>
                      <w:szCs w:val="12"/>
                    </w:rPr>
                  </w:pPr>
                  <w:r w:rsidRPr="009F4E3F">
                    <w:rPr>
                      <w:sz w:val="12"/>
                      <w:szCs w:val="12"/>
                    </w:rPr>
                    <w:t>AAL US</w:t>
                  </w:r>
                </w:p>
              </w:tc>
              <w:tc>
                <w:tcPr>
                  <w:tcW w:w="804" w:type="dxa"/>
                  <w:shd w:val="clear" w:color="auto" w:fill="DBE5F1" w:themeFill="accent1" w:themeFillTint="33"/>
                </w:tcPr>
                <w:p w14:paraId="18F40648" w14:textId="375AA3FA" w:rsidR="004F2EAA" w:rsidRPr="009F4E3F" w:rsidRDefault="005F4653" w:rsidP="004F2EAA">
                  <w:pPr>
                    <w:rPr>
                      <w:sz w:val="12"/>
                      <w:szCs w:val="12"/>
                    </w:rPr>
                  </w:pPr>
                  <w:r w:rsidRPr="009F4E3F">
                    <w:rPr>
                      <w:sz w:val="12"/>
                      <w:szCs w:val="12"/>
                    </w:rPr>
                    <w:t>UAL US</w:t>
                  </w:r>
                </w:p>
              </w:tc>
              <w:tc>
                <w:tcPr>
                  <w:tcW w:w="885" w:type="dxa"/>
                  <w:shd w:val="clear" w:color="auto" w:fill="DBE5F1" w:themeFill="accent1" w:themeFillTint="33"/>
                </w:tcPr>
                <w:p w14:paraId="64A1B213" w14:textId="71135878" w:rsidR="004F2EAA" w:rsidRPr="009F4E3F" w:rsidRDefault="005F4653" w:rsidP="004F2EAA">
                  <w:pPr>
                    <w:rPr>
                      <w:sz w:val="12"/>
                      <w:szCs w:val="12"/>
                    </w:rPr>
                  </w:pPr>
                  <w:r w:rsidRPr="009F4E3F">
                    <w:rPr>
                      <w:sz w:val="12"/>
                      <w:szCs w:val="12"/>
                    </w:rPr>
                    <w:t>ALK US</w:t>
                  </w:r>
                </w:p>
              </w:tc>
              <w:tc>
                <w:tcPr>
                  <w:tcW w:w="953" w:type="dxa"/>
                  <w:shd w:val="clear" w:color="auto" w:fill="DBE5F1" w:themeFill="accent1" w:themeFillTint="33"/>
                </w:tcPr>
                <w:p w14:paraId="2A396C67" w14:textId="46AB8CB9" w:rsidR="004F2EAA" w:rsidRPr="009F4E3F" w:rsidRDefault="005F4653" w:rsidP="004F2EAA">
                  <w:pPr>
                    <w:rPr>
                      <w:sz w:val="12"/>
                      <w:szCs w:val="12"/>
                    </w:rPr>
                  </w:pPr>
                  <w:r w:rsidRPr="009F4E3F">
                    <w:rPr>
                      <w:sz w:val="12"/>
                      <w:szCs w:val="12"/>
                    </w:rPr>
                    <w:t>CPA US</w:t>
                  </w:r>
                </w:p>
              </w:tc>
              <w:tc>
                <w:tcPr>
                  <w:tcW w:w="981" w:type="dxa"/>
                  <w:shd w:val="clear" w:color="auto" w:fill="DBE5F1" w:themeFill="accent1" w:themeFillTint="33"/>
                </w:tcPr>
                <w:p w14:paraId="78007BAA" w14:textId="79199DAD" w:rsidR="004F2EAA" w:rsidRPr="009F4E3F" w:rsidRDefault="005B16A4" w:rsidP="004F2EAA">
                  <w:pPr>
                    <w:rPr>
                      <w:sz w:val="12"/>
                      <w:szCs w:val="12"/>
                    </w:rPr>
                  </w:pPr>
                  <w:r w:rsidRPr="009F4E3F">
                    <w:rPr>
                      <w:sz w:val="12"/>
                      <w:szCs w:val="12"/>
                    </w:rPr>
                    <w:t>Ind.</w:t>
                  </w:r>
                  <w:r w:rsidR="004F2EAA" w:rsidRPr="009F4E3F">
                    <w:rPr>
                      <w:sz w:val="12"/>
                      <w:szCs w:val="12"/>
                    </w:rPr>
                    <w:t xml:space="preserve"> Average </w:t>
                  </w:r>
                </w:p>
              </w:tc>
              <w:tc>
                <w:tcPr>
                  <w:tcW w:w="1142" w:type="dxa"/>
                  <w:shd w:val="clear" w:color="auto" w:fill="DBE5F1" w:themeFill="accent1" w:themeFillTint="33"/>
                </w:tcPr>
                <w:p w14:paraId="45951734" w14:textId="135DAB8C" w:rsidR="004F2EAA" w:rsidRPr="009F4E3F" w:rsidRDefault="005F4653" w:rsidP="004F2EAA">
                  <w:pPr>
                    <w:rPr>
                      <w:b/>
                      <w:sz w:val="12"/>
                      <w:szCs w:val="12"/>
                    </w:rPr>
                  </w:pPr>
                  <w:r w:rsidRPr="009F4E3F">
                    <w:rPr>
                      <w:b/>
                      <w:sz w:val="12"/>
                      <w:szCs w:val="12"/>
                    </w:rPr>
                    <w:t>DAL US</w:t>
                  </w:r>
                </w:p>
              </w:tc>
            </w:tr>
            <w:tr w:rsidR="004F2EAA" w:rsidRPr="009F4E3F" w14:paraId="5DA42BF7" w14:textId="77777777" w:rsidTr="0089190C">
              <w:tc>
                <w:tcPr>
                  <w:tcW w:w="1677" w:type="dxa"/>
                </w:tcPr>
                <w:p w14:paraId="5D8F0BAD" w14:textId="77777777" w:rsidR="004F2EAA" w:rsidRPr="009F4E3F" w:rsidRDefault="004F2EAA" w:rsidP="004F2EAA">
                  <w:pPr>
                    <w:rPr>
                      <w:sz w:val="12"/>
                      <w:szCs w:val="12"/>
                    </w:rPr>
                  </w:pPr>
                  <w:r w:rsidRPr="009F4E3F">
                    <w:rPr>
                      <w:sz w:val="12"/>
                      <w:szCs w:val="12"/>
                    </w:rPr>
                    <w:t>P/E</w:t>
                  </w:r>
                </w:p>
              </w:tc>
              <w:tc>
                <w:tcPr>
                  <w:tcW w:w="815" w:type="dxa"/>
                </w:tcPr>
                <w:p w14:paraId="53BFCC21" w14:textId="72AF0162" w:rsidR="00010293" w:rsidRPr="009F4E3F" w:rsidRDefault="00010293" w:rsidP="00010293">
                  <w:pPr>
                    <w:jc w:val="center"/>
                    <w:rPr>
                      <w:sz w:val="12"/>
                      <w:szCs w:val="12"/>
                    </w:rPr>
                  </w:pPr>
                  <w:r w:rsidRPr="009F4E3F">
                    <w:rPr>
                      <w:sz w:val="12"/>
                      <w:szCs w:val="12"/>
                    </w:rPr>
                    <w:t>4.64</w:t>
                  </w:r>
                </w:p>
              </w:tc>
              <w:tc>
                <w:tcPr>
                  <w:tcW w:w="804" w:type="dxa"/>
                </w:tcPr>
                <w:p w14:paraId="0006F77E" w14:textId="3ED50CA8" w:rsidR="004F2EAA" w:rsidRPr="009F4E3F" w:rsidRDefault="00010293" w:rsidP="005F4653">
                  <w:pPr>
                    <w:jc w:val="center"/>
                    <w:rPr>
                      <w:sz w:val="12"/>
                      <w:szCs w:val="12"/>
                    </w:rPr>
                  </w:pPr>
                  <w:r w:rsidRPr="009F4E3F">
                    <w:rPr>
                      <w:sz w:val="12"/>
                      <w:szCs w:val="12"/>
                    </w:rPr>
                    <w:t>4.81</w:t>
                  </w:r>
                </w:p>
              </w:tc>
              <w:tc>
                <w:tcPr>
                  <w:tcW w:w="885" w:type="dxa"/>
                </w:tcPr>
                <w:p w14:paraId="265146A9" w14:textId="0E534CD8" w:rsidR="004F2EAA" w:rsidRPr="009F4E3F" w:rsidRDefault="00010293" w:rsidP="005F4653">
                  <w:pPr>
                    <w:jc w:val="center"/>
                    <w:rPr>
                      <w:sz w:val="12"/>
                      <w:szCs w:val="12"/>
                    </w:rPr>
                  </w:pPr>
                  <w:r w:rsidRPr="009F4E3F">
                    <w:rPr>
                      <w:sz w:val="12"/>
                      <w:szCs w:val="12"/>
                    </w:rPr>
                    <w:t>12.36</w:t>
                  </w:r>
                </w:p>
              </w:tc>
              <w:tc>
                <w:tcPr>
                  <w:tcW w:w="953" w:type="dxa"/>
                </w:tcPr>
                <w:p w14:paraId="1710897B" w14:textId="2CB7BCB5" w:rsidR="004F2EAA" w:rsidRPr="009F4E3F" w:rsidRDefault="00010293" w:rsidP="005F4653">
                  <w:pPr>
                    <w:jc w:val="center"/>
                    <w:rPr>
                      <w:sz w:val="12"/>
                      <w:szCs w:val="12"/>
                    </w:rPr>
                  </w:pPr>
                  <w:r w:rsidRPr="009F4E3F">
                    <w:rPr>
                      <w:sz w:val="12"/>
                      <w:szCs w:val="12"/>
                    </w:rPr>
                    <w:t>6.03</w:t>
                  </w:r>
                </w:p>
              </w:tc>
              <w:tc>
                <w:tcPr>
                  <w:tcW w:w="981" w:type="dxa"/>
                </w:tcPr>
                <w:p w14:paraId="7076EAC1" w14:textId="1FCF351C" w:rsidR="004F2EAA" w:rsidRPr="009F4E3F" w:rsidRDefault="00010293" w:rsidP="005F4653">
                  <w:pPr>
                    <w:jc w:val="center"/>
                    <w:rPr>
                      <w:sz w:val="12"/>
                      <w:szCs w:val="12"/>
                    </w:rPr>
                  </w:pPr>
                  <w:r w:rsidRPr="009F4E3F">
                    <w:rPr>
                      <w:sz w:val="12"/>
                      <w:szCs w:val="12"/>
                    </w:rPr>
                    <w:t>10.97</w:t>
                  </w:r>
                </w:p>
              </w:tc>
              <w:tc>
                <w:tcPr>
                  <w:tcW w:w="1142" w:type="dxa"/>
                </w:tcPr>
                <w:p w14:paraId="1D18DB5C" w14:textId="4A8278B8" w:rsidR="004F2EAA" w:rsidRPr="009F4E3F" w:rsidRDefault="00010293" w:rsidP="005F4653">
                  <w:pPr>
                    <w:jc w:val="center"/>
                    <w:rPr>
                      <w:b/>
                      <w:sz w:val="12"/>
                      <w:szCs w:val="12"/>
                    </w:rPr>
                  </w:pPr>
                  <w:r w:rsidRPr="009F4E3F">
                    <w:rPr>
                      <w:b/>
                      <w:sz w:val="12"/>
                      <w:szCs w:val="12"/>
                    </w:rPr>
                    <w:t>10.95</w:t>
                  </w:r>
                </w:p>
              </w:tc>
            </w:tr>
            <w:tr w:rsidR="004F2EAA" w:rsidRPr="009F4E3F" w14:paraId="3CF28431" w14:textId="77777777" w:rsidTr="0089190C">
              <w:tc>
                <w:tcPr>
                  <w:tcW w:w="1677" w:type="dxa"/>
                </w:tcPr>
                <w:p w14:paraId="7E3790DF" w14:textId="7F3C3983" w:rsidR="004F2EAA" w:rsidRPr="009F4E3F" w:rsidRDefault="004F2EAA" w:rsidP="004F2EAA">
                  <w:pPr>
                    <w:rPr>
                      <w:sz w:val="12"/>
                      <w:szCs w:val="12"/>
                    </w:rPr>
                  </w:pPr>
                  <w:r w:rsidRPr="009F4E3F">
                    <w:rPr>
                      <w:sz w:val="12"/>
                      <w:szCs w:val="12"/>
                    </w:rPr>
                    <w:t>P/B</w:t>
                  </w:r>
                </w:p>
              </w:tc>
              <w:tc>
                <w:tcPr>
                  <w:tcW w:w="815" w:type="dxa"/>
                </w:tcPr>
                <w:p w14:paraId="34BDBBAA" w14:textId="6B354657" w:rsidR="004F2EAA" w:rsidRPr="009F4E3F" w:rsidRDefault="00010293" w:rsidP="005F4653">
                  <w:pPr>
                    <w:jc w:val="center"/>
                    <w:rPr>
                      <w:sz w:val="12"/>
                      <w:szCs w:val="12"/>
                    </w:rPr>
                  </w:pPr>
                  <w:r w:rsidRPr="009F4E3F">
                    <w:rPr>
                      <w:sz w:val="12"/>
                      <w:szCs w:val="12"/>
                    </w:rPr>
                    <w:t>4.74</w:t>
                  </w:r>
                </w:p>
              </w:tc>
              <w:tc>
                <w:tcPr>
                  <w:tcW w:w="804" w:type="dxa"/>
                </w:tcPr>
                <w:p w14:paraId="6DD53DF3" w14:textId="75D86945" w:rsidR="004F2EAA" w:rsidRPr="009F4E3F" w:rsidRDefault="00010293" w:rsidP="005F4653">
                  <w:pPr>
                    <w:jc w:val="center"/>
                    <w:rPr>
                      <w:sz w:val="12"/>
                      <w:szCs w:val="12"/>
                    </w:rPr>
                  </w:pPr>
                  <w:r w:rsidRPr="009F4E3F">
                    <w:rPr>
                      <w:sz w:val="12"/>
                      <w:szCs w:val="12"/>
                    </w:rPr>
                    <w:t>2.32</w:t>
                  </w:r>
                </w:p>
              </w:tc>
              <w:tc>
                <w:tcPr>
                  <w:tcW w:w="885" w:type="dxa"/>
                </w:tcPr>
                <w:p w14:paraId="28B68146" w14:textId="0A4B6B0A" w:rsidR="004F2EAA" w:rsidRPr="009F4E3F" w:rsidRDefault="00010293" w:rsidP="005F4653">
                  <w:pPr>
                    <w:jc w:val="center"/>
                    <w:rPr>
                      <w:sz w:val="12"/>
                      <w:szCs w:val="12"/>
                    </w:rPr>
                  </w:pPr>
                  <w:r w:rsidRPr="009F4E3F">
                    <w:rPr>
                      <w:sz w:val="12"/>
                      <w:szCs w:val="12"/>
                    </w:rPr>
                    <w:t>4.18</w:t>
                  </w:r>
                </w:p>
              </w:tc>
              <w:tc>
                <w:tcPr>
                  <w:tcW w:w="953" w:type="dxa"/>
                </w:tcPr>
                <w:p w14:paraId="7C8A26C7" w14:textId="0A561290" w:rsidR="004F2EAA" w:rsidRPr="009F4E3F" w:rsidRDefault="00010293" w:rsidP="005F4653">
                  <w:pPr>
                    <w:jc w:val="center"/>
                    <w:rPr>
                      <w:sz w:val="12"/>
                      <w:szCs w:val="12"/>
                    </w:rPr>
                  </w:pPr>
                  <w:r w:rsidRPr="009F4E3F">
                    <w:rPr>
                      <w:sz w:val="12"/>
                      <w:szCs w:val="12"/>
                    </w:rPr>
                    <w:t>0.86</w:t>
                  </w:r>
                </w:p>
              </w:tc>
              <w:tc>
                <w:tcPr>
                  <w:tcW w:w="981" w:type="dxa"/>
                </w:tcPr>
                <w:p w14:paraId="5AFEA404" w14:textId="2312CD12" w:rsidR="004F2EAA" w:rsidRPr="009F4E3F" w:rsidRDefault="00010293" w:rsidP="005F4653">
                  <w:pPr>
                    <w:jc w:val="center"/>
                    <w:rPr>
                      <w:sz w:val="12"/>
                      <w:szCs w:val="12"/>
                    </w:rPr>
                  </w:pPr>
                  <w:r w:rsidRPr="009F4E3F">
                    <w:rPr>
                      <w:sz w:val="12"/>
                      <w:szCs w:val="12"/>
                    </w:rPr>
                    <w:t>2.51</w:t>
                  </w:r>
                </w:p>
              </w:tc>
              <w:tc>
                <w:tcPr>
                  <w:tcW w:w="1142" w:type="dxa"/>
                </w:tcPr>
                <w:p w14:paraId="75E713E1" w14:textId="2616029D" w:rsidR="004F2EAA" w:rsidRPr="009F4E3F" w:rsidRDefault="00010293" w:rsidP="00010293">
                  <w:pPr>
                    <w:jc w:val="center"/>
                    <w:rPr>
                      <w:b/>
                      <w:sz w:val="12"/>
                      <w:szCs w:val="12"/>
                    </w:rPr>
                  </w:pPr>
                  <w:r w:rsidRPr="009F4E3F">
                    <w:rPr>
                      <w:b/>
                      <w:sz w:val="12"/>
                      <w:szCs w:val="12"/>
                    </w:rPr>
                    <w:t>3.67</w:t>
                  </w:r>
                </w:p>
              </w:tc>
            </w:tr>
            <w:tr w:rsidR="004F2EAA" w:rsidRPr="009F4E3F" w14:paraId="0617F604" w14:textId="77777777" w:rsidTr="0089190C">
              <w:tc>
                <w:tcPr>
                  <w:tcW w:w="1677" w:type="dxa"/>
                </w:tcPr>
                <w:p w14:paraId="3EC6238B" w14:textId="77777777" w:rsidR="004F2EAA" w:rsidRPr="009F4E3F" w:rsidRDefault="004F2EAA" w:rsidP="004F2EAA">
                  <w:pPr>
                    <w:rPr>
                      <w:sz w:val="12"/>
                      <w:szCs w:val="12"/>
                    </w:rPr>
                  </w:pPr>
                  <w:r w:rsidRPr="009F4E3F">
                    <w:rPr>
                      <w:sz w:val="12"/>
                      <w:szCs w:val="12"/>
                    </w:rPr>
                    <w:t xml:space="preserve">Dividend Yield </w:t>
                  </w:r>
                </w:p>
              </w:tc>
              <w:tc>
                <w:tcPr>
                  <w:tcW w:w="815" w:type="dxa"/>
                </w:tcPr>
                <w:p w14:paraId="524E59DF" w14:textId="2351EC34" w:rsidR="004F2EAA" w:rsidRPr="009F4E3F" w:rsidRDefault="00010293" w:rsidP="005F4653">
                  <w:pPr>
                    <w:jc w:val="center"/>
                    <w:rPr>
                      <w:sz w:val="12"/>
                      <w:szCs w:val="12"/>
                    </w:rPr>
                  </w:pPr>
                  <w:r w:rsidRPr="009F4E3F">
                    <w:rPr>
                      <w:sz w:val="12"/>
                      <w:szCs w:val="12"/>
                    </w:rPr>
                    <w:t>1.05%</w:t>
                  </w:r>
                </w:p>
              </w:tc>
              <w:tc>
                <w:tcPr>
                  <w:tcW w:w="804" w:type="dxa"/>
                </w:tcPr>
                <w:p w14:paraId="22DA99B4" w14:textId="41C4DA5E" w:rsidR="004F2EAA" w:rsidRPr="009F4E3F" w:rsidRDefault="00010293" w:rsidP="005F4653">
                  <w:pPr>
                    <w:jc w:val="center"/>
                    <w:rPr>
                      <w:sz w:val="12"/>
                      <w:szCs w:val="12"/>
                    </w:rPr>
                  </w:pPr>
                  <w:r w:rsidRPr="009F4E3F">
                    <w:rPr>
                      <w:sz w:val="12"/>
                      <w:szCs w:val="12"/>
                    </w:rPr>
                    <w:t>N/A</w:t>
                  </w:r>
                </w:p>
              </w:tc>
              <w:tc>
                <w:tcPr>
                  <w:tcW w:w="885" w:type="dxa"/>
                </w:tcPr>
                <w:p w14:paraId="37475220" w14:textId="7CF5625B" w:rsidR="004F2EAA" w:rsidRPr="009F4E3F" w:rsidRDefault="00010293" w:rsidP="00010293">
                  <w:pPr>
                    <w:jc w:val="center"/>
                    <w:rPr>
                      <w:sz w:val="12"/>
                      <w:szCs w:val="12"/>
                    </w:rPr>
                  </w:pPr>
                  <w:r w:rsidRPr="009F4E3F">
                    <w:rPr>
                      <w:sz w:val="12"/>
                      <w:szCs w:val="12"/>
                    </w:rPr>
                    <w:t>1.18%</w:t>
                  </w:r>
                </w:p>
              </w:tc>
              <w:tc>
                <w:tcPr>
                  <w:tcW w:w="953" w:type="dxa"/>
                </w:tcPr>
                <w:p w14:paraId="46267742" w14:textId="0EF45B3F" w:rsidR="004F2EAA" w:rsidRPr="009F4E3F" w:rsidRDefault="00010293" w:rsidP="005F4653">
                  <w:pPr>
                    <w:jc w:val="center"/>
                    <w:rPr>
                      <w:sz w:val="12"/>
                      <w:szCs w:val="12"/>
                    </w:rPr>
                  </w:pPr>
                  <w:r w:rsidRPr="009F4E3F">
                    <w:rPr>
                      <w:sz w:val="12"/>
                      <w:szCs w:val="12"/>
                    </w:rPr>
                    <w:t>7.26%</w:t>
                  </w:r>
                </w:p>
              </w:tc>
              <w:tc>
                <w:tcPr>
                  <w:tcW w:w="981" w:type="dxa"/>
                </w:tcPr>
                <w:p w14:paraId="4CB9EC74" w14:textId="4F5D2AD2" w:rsidR="004F2EAA" w:rsidRPr="009F4E3F" w:rsidRDefault="00010293" w:rsidP="005F4653">
                  <w:pPr>
                    <w:jc w:val="center"/>
                    <w:rPr>
                      <w:sz w:val="12"/>
                      <w:szCs w:val="12"/>
                    </w:rPr>
                  </w:pPr>
                  <w:r w:rsidRPr="009F4E3F">
                    <w:rPr>
                      <w:sz w:val="12"/>
                      <w:szCs w:val="12"/>
                    </w:rPr>
                    <w:t>1.69%</w:t>
                  </w:r>
                </w:p>
              </w:tc>
              <w:tc>
                <w:tcPr>
                  <w:tcW w:w="1142" w:type="dxa"/>
                </w:tcPr>
                <w:p w14:paraId="13B0F0F0" w14:textId="081094B7" w:rsidR="004F2EAA" w:rsidRPr="009F4E3F" w:rsidRDefault="00EC606F" w:rsidP="005F4653">
                  <w:pPr>
                    <w:jc w:val="center"/>
                    <w:rPr>
                      <w:b/>
                      <w:sz w:val="12"/>
                      <w:szCs w:val="12"/>
                    </w:rPr>
                  </w:pPr>
                  <w:r w:rsidRPr="009F4E3F">
                    <w:rPr>
                      <w:b/>
                      <w:sz w:val="12"/>
                      <w:szCs w:val="12"/>
                    </w:rPr>
                    <w:t>1.0</w:t>
                  </w:r>
                  <w:r w:rsidR="00010293" w:rsidRPr="009F4E3F">
                    <w:rPr>
                      <w:b/>
                      <w:sz w:val="12"/>
                      <w:szCs w:val="12"/>
                    </w:rPr>
                    <w:t>3%</w:t>
                  </w:r>
                </w:p>
              </w:tc>
            </w:tr>
            <w:tr w:rsidR="004F2EAA" w:rsidRPr="009F4E3F" w14:paraId="4505851E" w14:textId="77777777" w:rsidTr="0089190C">
              <w:tc>
                <w:tcPr>
                  <w:tcW w:w="1677" w:type="dxa"/>
                </w:tcPr>
                <w:p w14:paraId="6045AE39" w14:textId="77777777" w:rsidR="004F2EAA" w:rsidRPr="009F4E3F" w:rsidRDefault="004F2EAA" w:rsidP="004F2EAA">
                  <w:pPr>
                    <w:rPr>
                      <w:sz w:val="12"/>
                      <w:szCs w:val="12"/>
                    </w:rPr>
                  </w:pPr>
                  <w:r w:rsidRPr="009F4E3F">
                    <w:rPr>
                      <w:sz w:val="12"/>
                      <w:szCs w:val="12"/>
                    </w:rPr>
                    <w:t xml:space="preserve">PEG Ratio </w:t>
                  </w:r>
                </w:p>
              </w:tc>
              <w:tc>
                <w:tcPr>
                  <w:tcW w:w="815" w:type="dxa"/>
                </w:tcPr>
                <w:p w14:paraId="6C39B871" w14:textId="6CCB2D4C" w:rsidR="004F2EAA" w:rsidRPr="009F4E3F" w:rsidRDefault="00010293" w:rsidP="005F4653">
                  <w:pPr>
                    <w:jc w:val="center"/>
                    <w:rPr>
                      <w:sz w:val="12"/>
                      <w:szCs w:val="12"/>
                    </w:rPr>
                  </w:pPr>
                  <w:r w:rsidRPr="009F4E3F">
                    <w:rPr>
                      <w:sz w:val="12"/>
                      <w:szCs w:val="12"/>
                    </w:rPr>
                    <w:t>0.63</w:t>
                  </w:r>
                </w:p>
              </w:tc>
              <w:tc>
                <w:tcPr>
                  <w:tcW w:w="804" w:type="dxa"/>
                </w:tcPr>
                <w:p w14:paraId="7D65AAED" w14:textId="4995C0B5" w:rsidR="004F2EAA" w:rsidRPr="009F4E3F" w:rsidRDefault="00010293" w:rsidP="005F4653">
                  <w:pPr>
                    <w:jc w:val="center"/>
                    <w:rPr>
                      <w:sz w:val="12"/>
                      <w:szCs w:val="12"/>
                    </w:rPr>
                  </w:pPr>
                  <w:r w:rsidRPr="009F4E3F">
                    <w:rPr>
                      <w:sz w:val="12"/>
                      <w:szCs w:val="12"/>
                    </w:rPr>
                    <w:t>0.23</w:t>
                  </w:r>
                </w:p>
              </w:tc>
              <w:tc>
                <w:tcPr>
                  <w:tcW w:w="885" w:type="dxa"/>
                </w:tcPr>
                <w:p w14:paraId="405B4B3F" w14:textId="110EC296" w:rsidR="004F2EAA" w:rsidRPr="009F4E3F" w:rsidRDefault="00010293" w:rsidP="005F4653">
                  <w:pPr>
                    <w:jc w:val="center"/>
                    <w:rPr>
                      <w:sz w:val="12"/>
                      <w:szCs w:val="12"/>
                    </w:rPr>
                  </w:pPr>
                  <w:r w:rsidRPr="009F4E3F">
                    <w:rPr>
                      <w:sz w:val="12"/>
                      <w:szCs w:val="12"/>
                    </w:rPr>
                    <w:t>0.39</w:t>
                  </w:r>
                </w:p>
              </w:tc>
              <w:tc>
                <w:tcPr>
                  <w:tcW w:w="953" w:type="dxa"/>
                </w:tcPr>
                <w:p w14:paraId="09628130" w14:textId="7E4BBE5E" w:rsidR="004F2EAA" w:rsidRPr="009F4E3F" w:rsidRDefault="00010293" w:rsidP="005F4653">
                  <w:pPr>
                    <w:jc w:val="center"/>
                    <w:rPr>
                      <w:sz w:val="12"/>
                      <w:szCs w:val="12"/>
                    </w:rPr>
                  </w:pPr>
                  <w:r w:rsidRPr="009F4E3F">
                    <w:rPr>
                      <w:sz w:val="12"/>
                      <w:szCs w:val="12"/>
                    </w:rPr>
                    <w:t>N/A</w:t>
                  </w:r>
                </w:p>
              </w:tc>
              <w:tc>
                <w:tcPr>
                  <w:tcW w:w="981" w:type="dxa"/>
                </w:tcPr>
                <w:p w14:paraId="2302C4FD" w14:textId="3AD32019" w:rsidR="004F2EAA" w:rsidRPr="009F4E3F" w:rsidRDefault="00010293" w:rsidP="005F4653">
                  <w:pPr>
                    <w:jc w:val="center"/>
                    <w:rPr>
                      <w:sz w:val="12"/>
                      <w:szCs w:val="12"/>
                    </w:rPr>
                  </w:pPr>
                  <w:r w:rsidRPr="009F4E3F">
                    <w:rPr>
                      <w:sz w:val="12"/>
                      <w:szCs w:val="12"/>
                    </w:rPr>
                    <w:t>0.62</w:t>
                  </w:r>
                </w:p>
              </w:tc>
              <w:tc>
                <w:tcPr>
                  <w:tcW w:w="1142" w:type="dxa"/>
                </w:tcPr>
                <w:p w14:paraId="3C4BDA61" w14:textId="0C9C4396" w:rsidR="004F2EAA" w:rsidRPr="009F4E3F" w:rsidRDefault="00010293" w:rsidP="005F4653">
                  <w:pPr>
                    <w:jc w:val="center"/>
                    <w:rPr>
                      <w:b/>
                      <w:sz w:val="12"/>
                      <w:szCs w:val="12"/>
                    </w:rPr>
                  </w:pPr>
                  <w:r w:rsidRPr="009F4E3F">
                    <w:rPr>
                      <w:b/>
                      <w:sz w:val="12"/>
                      <w:szCs w:val="12"/>
                    </w:rPr>
                    <w:t>0.27</w:t>
                  </w:r>
                </w:p>
              </w:tc>
            </w:tr>
            <w:tr w:rsidR="004F2EAA" w:rsidRPr="009F4E3F" w14:paraId="06FF3325" w14:textId="77777777" w:rsidTr="0089190C">
              <w:tc>
                <w:tcPr>
                  <w:tcW w:w="1677" w:type="dxa"/>
                </w:tcPr>
                <w:p w14:paraId="7FD0AD7B" w14:textId="054EB047" w:rsidR="004F2EAA" w:rsidRPr="009F4E3F" w:rsidRDefault="004F2EAA" w:rsidP="00FB2352">
                  <w:pPr>
                    <w:rPr>
                      <w:sz w:val="12"/>
                      <w:szCs w:val="12"/>
                    </w:rPr>
                  </w:pPr>
                  <w:r w:rsidRPr="009F4E3F">
                    <w:rPr>
                      <w:sz w:val="12"/>
                      <w:szCs w:val="12"/>
                    </w:rPr>
                    <w:t>EPS</w:t>
                  </w:r>
                  <w:r w:rsidR="00FB2352" w:rsidRPr="009F4E3F">
                    <w:rPr>
                      <w:sz w:val="12"/>
                      <w:szCs w:val="12"/>
                    </w:rPr>
                    <w:t xml:space="preserve"> (Last FY)</w:t>
                  </w:r>
                </w:p>
              </w:tc>
              <w:tc>
                <w:tcPr>
                  <w:tcW w:w="815" w:type="dxa"/>
                </w:tcPr>
                <w:p w14:paraId="039C42DF" w14:textId="0E0D0AD5" w:rsidR="004F2EAA" w:rsidRPr="009F4E3F" w:rsidRDefault="00010293" w:rsidP="005F4653">
                  <w:pPr>
                    <w:jc w:val="center"/>
                    <w:rPr>
                      <w:sz w:val="12"/>
                      <w:szCs w:val="12"/>
                    </w:rPr>
                  </w:pPr>
                  <w:r w:rsidRPr="009F4E3F">
                    <w:rPr>
                      <w:sz w:val="12"/>
                      <w:szCs w:val="12"/>
                    </w:rPr>
                    <w:t>$11.39</w:t>
                  </w:r>
                </w:p>
              </w:tc>
              <w:tc>
                <w:tcPr>
                  <w:tcW w:w="804" w:type="dxa"/>
                </w:tcPr>
                <w:p w14:paraId="1CBE09CE" w14:textId="25653505" w:rsidR="004F2EAA" w:rsidRPr="009F4E3F" w:rsidRDefault="00010293" w:rsidP="005F4653">
                  <w:pPr>
                    <w:jc w:val="center"/>
                    <w:rPr>
                      <w:sz w:val="12"/>
                      <w:szCs w:val="12"/>
                    </w:rPr>
                  </w:pPr>
                  <w:r w:rsidRPr="009F4E3F">
                    <w:rPr>
                      <w:sz w:val="12"/>
                      <w:szCs w:val="12"/>
                    </w:rPr>
                    <w:t>$19.52</w:t>
                  </w:r>
                </w:p>
              </w:tc>
              <w:tc>
                <w:tcPr>
                  <w:tcW w:w="885" w:type="dxa"/>
                </w:tcPr>
                <w:p w14:paraId="418ADE6E" w14:textId="36AFB7AA" w:rsidR="004F2EAA" w:rsidRPr="009F4E3F" w:rsidRDefault="00010293" w:rsidP="005F4653">
                  <w:pPr>
                    <w:jc w:val="center"/>
                    <w:rPr>
                      <w:sz w:val="12"/>
                      <w:szCs w:val="12"/>
                    </w:rPr>
                  </w:pPr>
                  <w:r w:rsidRPr="009F4E3F">
                    <w:rPr>
                      <w:sz w:val="12"/>
                      <w:szCs w:val="12"/>
                    </w:rPr>
                    <w:t>$6.61</w:t>
                  </w:r>
                </w:p>
              </w:tc>
              <w:tc>
                <w:tcPr>
                  <w:tcW w:w="953" w:type="dxa"/>
                </w:tcPr>
                <w:p w14:paraId="0783FD74" w14:textId="0E25CD1A" w:rsidR="004F2EAA" w:rsidRPr="009F4E3F" w:rsidRDefault="00010293" w:rsidP="005F4653">
                  <w:pPr>
                    <w:jc w:val="center"/>
                    <w:rPr>
                      <w:sz w:val="12"/>
                      <w:szCs w:val="12"/>
                    </w:rPr>
                  </w:pPr>
                  <w:r w:rsidRPr="009F4E3F">
                    <w:rPr>
                      <w:sz w:val="12"/>
                      <w:szCs w:val="12"/>
                    </w:rPr>
                    <w:t>$8.15</w:t>
                  </w:r>
                </w:p>
              </w:tc>
              <w:tc>
                <w:tcPr>
                  <w:tcW w:w="981" w:type="dxa"/>
                </w:tcPr>
                <w:p w14:paraId="6D9EF64C" w14:textId="5B3A17D7" w:rsidR="004F2EAA" w:rsidRPr="009F4E3F" w:rsidRDefault="00010293" w:rsidP="005F4653">
                  <w:pPr>
                    <w:jc w:val="center"/>
                    <w:rPr>
                      <w:sz w:val="12"/>
                      <w:szCs w:val="12"/>
                    </w:rPr>
                  </w:pPr>
                  <w:r w:rsidRPr="009F4E3F">
                    <w:rPr>
                      <w:sz w:val="12"/>
                      <w:szCs w:val="12"/>
                    </w:rPr>
                    <w:t>$4.49</w:t>
                  </w:r>
                </w:p>
              </w:tc>
              <w:tc>
                <w:tcPr>
                  <w:tcW w:w="1142" w:type="dxa"/>
                </w:tcPr>
                <w:p w14:paraId="065BB36E" w14:textId="6A98F63F" w:rsidR="004F2EAA" w:rsidRPr="009F4E3F" w:rsidRDefault="00010293" w:rsidP="005F4653">
                  <w:pPr>
                    <w:jc w:val="center"/>
                    <w:rPr>
                      <w:b/>
                      <w:sz w:val="12"/>
                      <w:szCs w:val="12"/>
                    </w:rPr>
                  </w:pPr>
                  <w:r w:rsidRPr="009F4E3F">
                    <w:rPr>
                      <w:b/>
                      <w:sz w:val="12"/>
                      <w:szCs w:val="12"/>
                    </w:rPr>
                    <w:t>$5.68</w:t>
                  </w:r>
                </w:p>
              </w:tc>
            </w:tr>
            <w:tr w:rsidR="004F2EAA" w:rsidRPr="009F4E3F" w14:paraId="777301C1" w14:textId="77777777" w:rsidTr="0089190C">
              <w:tc>
                <w:tcPr>
                  <w:tcW w:w="1677" w:type="dxa"/>
                </w:tcPr>
                <w:p w14:paraId="0759BE0E" w14:textId="4C32979F" w:rsidR="004F2EAA" w:rsidRPr="009F4E3F" w:rsidRDefault="00674795" w:rsidP="008C2798">
                  <w:pPr>
                    <w:rPr>
                      <w:sz w:val="12"/>
                      <w:szCs w:val="12"/>
                    </w:rPr>
                  </w:pPr>
                  <w:r w:rsidRPr="009F4E3F">
                    <w:rPr>
                      <w:sz w:val="12"/>
                      <w:szCs w:val="12"/>
                    </w:rPr>
                    <w:t>Rev</w:t>
                  </w:r>
                  <w:r w:rsidR="00462682" w:rsidRPr="009F4E3F">
                    <w:rPr>
                      <w:sz w:val="12"/>
                      <w:szCs w:val="12"/>
                    </w:rPr>
                    <w:t xml:space="preserve"> Gr</w:t>
                  </w:r>
                  <w:r w:rsidR="00913FF8" w:rsidRPr="009F4E3F">
                    <w:rPr>
                      <w:sz w:val="12"/>
                      <w:szCs w:val="12"/>
                    </w:rPr>
                    <w:t>ow</w:t>
                  </w:r>
                  <w:r w:rsidR="00462682" w:rsidRPr="009F4E3F">
                    <w:rPr>
                      <w:sz w:val="12"/>
                      <w:szCs w:val="12"/>
                    </w:rPr>
                    <w:t xml:space="preserve">th </w:t>
                  </w:r>
                  <w:r w:rsidR="00913FF8" w:rsidRPr="009F4E3F">
                    <w:rPr>
                      <w:sz w:val="12"/>
                      <w:szCs w:val="12"/>
                    </w:rPr>
                    <w:t>(</w:t>
                  </w:r>
                  <w:r w:rsidR="008C2798" w:rsidRPr="009F4E3F">
                    <w:rPr>
                      <w:sz w:val="12"/>
                      <w:szCs w:val="12"/>
                    </w:rPr>
                    <w:t>Last</w:t>
                  </w:r>
                  <w:r w:rsidR="00913FF8" w:rsidRPr="009F4E3F">
                    <w:rPr>
                      <w:sz w:val="12"/>
                      <w:szCs w:val="12"/>
                    </w:rPr>
                    <w:t xml:space="preserve"> </w:t>
                  </w:r>
                  <w:r w:rsidR="008C2798" w:rsidRPr="009F4E3F">
                    <w:rPr>
                      <w:sz w:val="12"/>
                      <w:szCs w:val="12"/>
                    </w:rPr>
                    <w:t>FY</w:t>
                  </w:r>
                  <w:r w:rsidR="00913FF8" w:rsidRPr="009F4E3F">
                    <w:rPr>
                      <w:sz w:val="12"/>
                      <w:szCs w:val="12"/>
                    </w:rPr>
                    <w:t>)</w:t>
                  </w:r>
                </w:p>
              </w:tc>
              <w:tc>
                <w:tcPr>
                  <w:tcW w:w="815" w:type="dxa"/>
                </w:tcPr>
                <w:p w14:paraId="18DCC7A0" w14:textId="5EB17230" w:rsidR="004F2EAA" w:rsidRPr="009F4E3F" w:rsidRDefault="00010293" w:rsidP="005F4653">
                  <w:pPr>
                    <w:jc w:val="center"/>
                    <w:rPr>
                      <w:sz w:val="12"/>
                      <w:szCs w:val="12"/>
                    </w:rPr>
                  </w:pPr>
                  <w:r w:rsidRPr="009F4E3F">
                    <w:rPr>
                      <w:sz w:val="12"/>
                      <w:szCs w:val="12"/>
                    </w:rPr>
                    <w:t>-3.89%</w:t>
                  </w:r>
                </w:p>
              </w:tc>
              <w:tc>
                <w:tcPr>
                  <w:tcW w:w="804" w:type="dxa"/>
                </w:tcPr>
                <w:p w14:paraId="68E302DD" w14:textId="58768888" w:rsidR="004F2EAA" w:rsidRPr="009F4E3F" w:rsidRDefault="00010293" w:rsidP="005F4653">
                  <w:pPr>
                    <w:jc w:val="center"/>
                    <w:rPr>
                      <w:sz w:val="12"/>
                      <w:szCs w:val="12"/>
                    </w:rPr>
                  </w:pPr>
                  <w:r w:rsidRPr="009F4E3F">
                    <w:rPr>
                      <w:sz w:val="12"/>
                      <w:szCs w:val="12"/>
                    </w:rPr>
                    <w:t>-2.67%</w:t>
                  </w:r>
                </w:p>
              </w:tc>
              <w:tc>
                <w:tcPr>
                  <w:tcW w:w="885" w:type="dxa"/>
                </w:tcPr>
                <w:p w14:paraId="67F1CBE6" w14:textId="5660B53A" w:rsidR="004F2EAA" w:rsidRPr="009F4E3F" w:rsidRDefault="00010293" w:rsidP="005F4653">
                  <w:pPr>
                    <w:jc w:val="center"/>
                    <w:rPr>
                      <w:sz w:val="12"/>
                      <w:szCs w:val="12"/>
                    </w:rPr>
                  </w:pPr>
                  <w:r w:rsidRPr="009F4E3F">
                    <w:rPr>
                      <w:sz w:val="12"/>
                      <w:szCs w:val="12"/>
                    </w:rPr>
                    <w:t>4.28%</w:t>
                  </w:r>
                </w:p>
              </w:tc>
              <w:tc>
                <w:tcPr>
                  <w:tcW w:w="953" w:type="dxa"/>
                </w:tcPr>
                <w:p w14:paraId="42281ACF" w14:textId="57155A85" w:rsidR="004F2EAA" w:rsidRPr="009F4E3F" w:rsidRDefault="00010293" w:rsidP="005F4653">
                  <w:pPr>
                    <w:jc w:val="center"/>
                    <w:rPr>
                      <w:sz w:val="12"/>
                      <w:szCs w:val="12"/>
                    </w:rPr>
                  </w:pPr>
                  <w:r w:rsidRPr="009F4E3F">
                    <w:rPr>
                      <w:sz w:val="12"/>
                      <w:szCs w:val="12"/>
                    </w:rPr>
                    <w:t>3.70%</w:t>
                  </w:r>
                </w:p>
              </w:tc>
              <w:tc>
                <w:tcPr>
                  <w:tcW w:w="981" w:type="dxa"/>
                </w:tcPr>
                <w:p w14:paraId="17995264" w14:textId="693E8218" w:rsidR="004F2EAA" w:rsidRPr="009F4E3F" w:rsidRDefault="00010293" w:rsidP="005F4653">
                  <w:pPr>
                    <w:jc w:val="center"/>
                    <w:rPr>
                      <w:sz w:val="12"/>
                      <w:szCs w:val="12"/>
                    </w:rPr>
                  </w:pPr>
                  <w:r w:rsidRPr="009F4E3F">
                    <w:rPr>
                      <w:sz w:val="12"/>
                      <w:szCs w:val="12"/>
                    </w:rPr>
                    <w:t>4.59%</w:t>
                  </w:r>
                </w:p>
              </w:tc>
              <w:tc>
                <w:tcPr>
                  <w:tcW w:w="1142" w:type="dxa"/>
                </w:tcPr>
                <w:p w14:paraId="6FFA7BF9" w14:textId="6C27C0C0" w:rsidR="004F2EAA" w:rsidRPr="009F4E3F" w:rsidRDefault="005F4653" w:rsidP="005F4653">
                  <w:pPr>
                    <w:jc w:val="center"/>
                    <w:rPr>
                      <w:b/>
                      <w:sz w:val="12"/>
                      <w:szCs w:val="12"/>
                    </w:rPr>
                  </w:pPr>
                  <w:r w:rsidRPr="009F4E3F">
                    <w:rPr>
                      <w:b/>
                      <w:sz w:val="12"/>
                      <w:szCs w:val="12"/>
                    </w:rPr>
                    <w:t>0.85%</w:t>
                  </w:r>
                </w:p>
              </w:tc>
            </w:tr>
            <w:tr w:rsidR="004F2EAA" w:rsidRPr="009F4E3F" w14:paraId="616F0554" w14:textId="77777777" w:rsidTr="0089190C">
              <w:tc>
                <w:tcPr>
                  <w:tcW w:w="1677" w:type="dxa"/>
                </w:tcPr>
                <w:p w14:paraId="12174486" w14:textId="2FA7970B" w:rsidR="004F2EAA" w:rsidRPr="009F4E3F" w:rsidRDefault="00462682" w:rsidP="008C2798">
                  <w:pPr>
                    <w:rPr>
                      <w:sz w:val="12"/>
                      <w:szCs w:val="12"/>
                    </w:rPr>
                  </w:pPr>
                  <w:r w:rsidRPr="009F4E3F">
                    <w:rPr>
                      <w:sz w:val="12"/>
                      <w:szCs w:val="12"/>
                    </w:rPr>
                    <w:t>NI</w:t>
                  </w:r>
                  <w:r w:rsidR="004F2EAA" w:rsidRPr="009F4E3F">
                    <w:rPr>
                      <w:sz w:val="12"/>
                      <w:szCs w:val="12"/>
                    </w:rPr>
                    <w:t xml:space="preserve"> </w:t>
                  </w:r>
                  <w:r w:rsidR="00913FF8" w:rsidRPr="009F4E3F">
                    <w:rPr>
                      <w:sz w:val="12"/>
                      <w:szCs w:val="12"/>
                    </w:rPr>
                    <w:t>Growth</w:t>
                  </w:r>
                  <w:r w:rsidR="004F2EAA" w:rsidRPr="009F4E3F">
                    <w:rPr>
                      <w:sz w:val="12"/>
                      <w:szCs w:val="12"/>
                    </w:rPr>
                    <w:t xml:space="preserve"> </w:t>
                  </w:r>
                  <w:r w:rsidR="00913FF8" w:rsidRPr="009F4E3F">
                    <w:rPr>
                      <w:sz w:val="12"/>
                      <w:szCs w:val="12"/>
                    </w:rPr>
                    <w:t>(</w:t>
                  </w:r>
                  <w:r w:rsidR="008C2798" w:rsidRPr="009F4E3F">
                    <w:rPr>
                      <w:sz w:val="12"/>
                      <w:szCs w:val="12"/>
                    </w:rPr>
                    <w:t>Last FY</w:t>
                  </w:r>
                  <w:r w:rsidR="00913FF8" w:rsidRPr="009F4E3F">
                    <w:rPr>
                      <w:sz w:val="12"/>
                      <w:szCs w:val="12"/>
                    </w:rPr>
                    <w:t>)</w:t>
                  </w:r>
                  <w:r w:rsidR="004F2EAA" w:rsidRPr="009F4E3F">
                    <w:rPr>
                      <w:sz w:val="12"/>
                      <w:szCs w:val="12"/>
                    </w:rPr>
                    <w:t xml:space="preserve"> </w:t>
                  </w:r>
                </w:p>
              </w:tc>
              <w:tc>
                <w:tcPr>
                  <w:tcW w:w="815" w:type="dxa"/>
                </w:tcPr>
                <w:p w14:paraId="21AC8274" w14:textId="1E11D47F" w:rsidR="004F2EAA" w:rsidRPr="009F4E3F" w:rsidRDefault="00010293" w:rsidP="005F4653">
                  <w:pPr>
                    <w:jc w:val="center"/>
                    <w:rPr>
                      <w:sz w:val="12"/>
                      <w:szCs w:val="12"/>
                    </w:rPr>
                  </w:pPr>
                  <w:r w:rsidRPr="009F4E3F">
                    <w:rPr>
                      <w:sz w:val="12"/>
                      <w:szCs w:val="12"/>
                    </w:rPr>
                    <w:t>164.05%</w:t>
                  </w:r>
                </w:p>
              </w:tc>
              <w:tc>
                <w:tcPr>
                  <w:tcW w:w="804" w:type="dxa"/>
                </w:tcPr>
                <w:p w14:paraId="72155156" w14:textId="2D11D6B1" w:rsidR="008C2798" w:rsidRPr="009F4E3F" w:rsidRDefault="00010293" w:rsidP="005F4653">
                  <w:pPr>
                    <w:jc w:val="center"/>
                    <w:rPr>
                      <w:sz w:val="12"/>
                      <w:szCs w:val="12"/>
                    </w:rPr>
                  </w:pPr>
                  <w:r w:rsidRPr="009F4E3F">
                    <w:rPr>
                      <w:sz w:val="12"/>
                      <w:szCs w:val="12"/>
                    </w:rPr>
                    <w:t>548.41%</w:t>
                  </w:r>
                </w:p>
              </w:tc>
              <w:tc>
                <w:tcPr>
                  <w:tcW w:w="885" w:type="dxa"/>
                </w:tcPr>
                <w:p w14:paraId="36DE4F19" w14:textId="206613E0" w:rsidR="004F2EAA" w:rsidRPr="009F4E3F" w:rsidRDefault="00010293" w:rsidP="005F4653">
                  <w:pPr>
                    <w:jc w:val="center"/>
                    <w:rPr>
                      <w:sz w:val="12"/>
                      <w:szCs w:val="12"/>
                    </w:rPr>
                  </w:pPr>
                  <w:r w:rsidRPr="009F4E3F">
                    <w:rPr>
                      <w:sz w:val="12"/>
                      <w:szCs w:val="12"/>
                    </w:rPr>
                    <w:t>40.17%</w:t>
                  </w:r>
                </w:p>
              </w:tc>
              <w:tc>
                <w:tcPr>
                  <w:tcW w:w="953" w:type="dxa"/>
                </w:tcPr>
                <w:p w14:paraId="098D397E" w14:textId="07154E79" w:rsidR="004F2EAA" w:rsidRPr="009F4E3F" w:rsidRDefault="00010293" w:rsidP="005F4653">
                  <w:pPr>
                    <w:jc w:val="center"/>
                    <w:rPr>
                      <w:sz w:val="12"/>
                      <w:szCs w:val="12"/>
                    </w:rPr>
                  </w:pPr>
                  <w:r w:rsidRPr="009F4E3F">
                    <w:rPr>
                      <w:sz w:val="12"/>
                      <w:szCs w:val="12"/>
                    </w:rPr>
                    <w:t>-15.39%</w:t>
                  </w:r>
                </w:p>
              </w:tc>
              <w:tc>
                <w:tcPr>
                  <w:tcW w:w="981" w:type="dxa"/>
                </w:tcPr>
                <w:p w14:paraId="09E34E39" w14:textId="3C0731C3" w:rsidR="004F2EAA" w:rsidRPr="009F4E3F" w:rsidRDefault="00E13039" w:rsidP="005F4653">
                  <w:pPr>
                    <w:jc w:val="center"/>
                    <w:rPr>
                      <w:sz w:val="12"/>
                      <w:szCs w:val="12"/>
                    </w:rPr>
                  </w:pPr>
                  <w:r w:rsidRPr="009F4E3F">
                    <w:rPr>
                      <w:sz w:val="12"/>
                      <w:szCs w:val="12"/>
                    </w:rPr>
                    <w:t>370.25%</w:t>
                  </w:r>
                </w:p>
              </w:tc>
              <w:tc>
                <w:tcPr>
                  <w:tcW w:w="1142" w:type="dxa"/>
                </w:tcPr>
                <w:p w14:paraId="703CA411" w14:textId="56ADFF4B" w:rsidR="004F2EAA" w:rsidRPr="009F4E3F" w:rsidRDefault="005F4653" w:rsidP="005F4653">
                  <w:pPr>
                    <w:jc w:val="center"/>
                    <w:rPr>
                      <w:b/>
                      <w:sz w:val="12"/>
                      <w:szCs w:val="12"/>
                    </w:rPr>
                  </w:pPr>
                  <w:r w:rsidRPr="009F4E3F">
                    <w:rPr>
                      <w:b/>
                      <w:sz w:val="12"/>
                      <w:szCs w:val="12"/>
                    </w:rPr>
                    <w:t>586.79%</w:t>
                  </w:r>
                </w:p>
              </w:tc>
            </w:tr>
            <w:tr w:rsidR="004F2EAA" w:rsidRPr="009F4E3F" w14:paraId="339AECB6" w14:textId="77777777" w:rsidTr="0089190C">
              <w:tc>
                <w:tcPr>
                  <w:tcW w:w="1677" w:type="dxa"/>
                </w:tcPr>
                <w:p w14:paraId="7B2C49BE" w14:textId="5C491906" w:rsidR="004F2EAA" w:rsidRPr="009F4E3F" w:rsidRDefault="004F2EAA" w:rsidP="004F2EAA">
                  <w:pPr>
                    <w:rPr>
                      <w:sz w:val="12"/>
                      <w:szCs w:val="12"/>
                    </w:rPr>
                  </w:pPr>
                  <w:r w:rsidRPr="009F4E3F">
                    <w:rPr>
                      <w:sz w:val="12"/>
                      <w:szCs w:val="12"/>
                    </w:rPr>
                    <w:t xml:space="preserve">Operating Margin </w:t>
                  </w:r>
                </w:p>
              </w:tc>
              <w:tc>
                <w:tcPr>
                  <w:tcW w:w="815" w:type="dxa"/>
                </w:tcPr>
                <w:p w14:paraId="6D16033E" w14:textId="7B0CD616" w:rsidR="004F2EAA" w:rsidRPr="009F4E3F" w:rsidRDefault="00E13039" w:rsidP="005F4653">
                  <w:pPr>
                    <w:jc w:val="center"/>
                    <w:rPr>
                      <w:sz w:val="12"/>
                      <w:szCs w:val="12"/>
                    </w:rPr>
                  </w:pPr>
                  <w:r w:rsidRPr="009F4E3F">
                    <w:rPr>
                      <w:sz w:val="12"/>
                      <w:szCs w:val="12"/>
                    </w:rPr>
                    <w:t>20.84%</w:t>
                  </w:r>
                </w:p>
              </w:tc>
              <w:tc>
                <w:tcPr>
                  <w:tcW w:w="804" w:type="dxa"/>
                </w:tcPr>
                <w:p w14:paraId="0087603B" w14:textId="367DF870" w:rsidR="004F2EAA" w:rsidRPr="009F4E3F" w:rsidRDefault="00E13039" w:rsidP="005F4653">
                  <w:pPr>
                    <w:jc w:val="center"/>
                    <w:rPr>
                      <w:sz w:val="12"/>
                      <w:szCs w:val="12"/>
                    </w:rPr>
                  </w:pPr>
                  <w:r w:rsidRPr="009F4E3F">
                    <w:rPr>
                      <w:sz w:val="12"/>
                      <w:szCs w:val="12"/>
                    </w:rPr>
                    <w:t>14.50%</w:t>
                  </w:r>
                </w:p>
              </w:tc>
              <w:tc>
                <w:tcPr>
                  <w:tcW w:w="885" w:type="dxa"/>
                </w:tcPr>
                <w:p w14:paraId="648370E7" w14:textId="19B0B0A3" w:rsidR="004F2EAA" w:rsidRPr="009F4E3F" w:rsidRDefault="00E13039" w:rsidP="005F4653">
                  <w:pPr>
                    <w:jc w:val="center"/>
                    <w:rPr>
                      <w:sz w:val="12"/>
                      <w:szCs w:val="12"/>
                    </w:rPr>
                  </w:pPr>
                  <w:r w:rsidRPr="009F4E3F">
                    <w:rPr>
                      <w:sz w:val="12"/>
                      <w:szCs w:val="12"/>
                    </w:rPr>
                    <w:t>23.76%</w:t>
                  </w:r>
                </w:p>
              </w:tc>
              <w:tc>
                <w:tcPr>
                  <w:tcW w:w="953" w:type="dxa"/>
                </w:tcPr>
                <w:p w14:paraId="218F33F9" w14:textId="2A752FCA" w:rsidR="004F2EAA" w:rsidRPr="009F4E3F" w:rsidRDefault="00E13039" w:rsidP="005F4653">
                  <w:pPr>
                    <w:jc w:val="center"/>
                    <w:rPr>
                      <w:sz w:val="12"/>
                      <w:szCs w:val="12"/>
                    </w:rPr>
                  </w:pPr>
                  <w:r w:rsidRPr="009F4E3F">
                    <w:rPr>
                      <w:sz w:val="12"/>
                      <w:szCs w:val="12"/>
                    </w:rPr>
                    <w:t>19.64%</w:t>
                  </w:r>
                </w:p>
              </w:tc>
              <w:tc>
                <w:tcPr>
                  <w:tcW w:w="981" w:type="dxa"/>
                </w:tcPr>
                <w:p w14:paraId="0DC9A589" w14:textId="6CB7124D" w:rsidR="004F2EAA" w:rsidRPr="009F4E3F" w:rsidRDefault="00E13039" w:rsidP="005F4653">
                  <w:pPr>
                    <w:jc w:val="center"/>
                    <w:rPr>
                      <w:sz w:val="12"/>
                      <w:szCs w:val="12"/>
                    </w:rPr>
                  </w:pPr>
                  <w:r w:rsidRPr="009F4E3F">
                    <w:rPr>
                      <w:sz w:val="12"/>
                      <w:szCs w:val="12"/>
                    </w:rPr>
                    <w:t>13.28%</w:t>
                  </w:r>
                </w:p>
              </w:tc>
              <w:tc>
                <w:tcPr>
                  <w:tcW w:w="1142" w:type="dxa"/>
                </w:tcPr>
                <w:p w14:paraId="0BE03697" w14:textId="67F254D9" w:rsidR="004F2EAA" w:rsidRPr="009F4E3F" w:rsidRDefault="005F4653" w:rsidP="005F4653">
                  <w:pPr>
                    <w:jc w:val="center"/>
                    <w:rPr>
                      <w:b/>
                      <w:sz w:val="12"/>
                      <w:szCs w:val="12"/>
                    </w:rPr>
                  </w:pPr>
                  <w:r w:rsidRPr="009F4E3F">
                    <w:rPr>
                      <w:b/>
                      <w:sz w:val="12"/>
                      <w:szCs w:val="12"/>
                    </w:rPr>
                    <w:t>15.99%</w:t>
                  </w:r>
                </w:p>
              </w:tc>
            </w:tr>
            <w:tr w:rsidR="004F2EAA" w:rsidRPr="009F4E3F" w14:paraId="064AA80D" w14:textId="77777777" w:rsidTr="0089190C">
              <w:tc>
                <w:tcPr>
                  <w:tcW w:w="1677" w:type="dxa"/>
                </w:tcPr>
                <w:p w14:paraId="5977E240" w14:textId="77777777" w:rsidR="004F2EAA" w:rsidRPr="009F4E3F" w:rsidRDefault="004F2EAA" w:rsidP="004F2EAA">
                  <w:pPr>
                    <w:rPr>
                      <w:sz w:val="12"/>
                      <w:szCs w:val="12"/>
                    </w:rPr>
                  </w:pPr>
                  <w:r w:rsidRPr="009F4E3F">
                    <w:rPr>
                      <w:sz w:val="12"/>
                      <w:szCs w:val="12"/>
                    </w:rPr>
                    <w:t xml:space="preserve">Debt / Equity </w:t>
                  </w:r>
                </w:p>
              </w:tc>
              <w:tc>
                <w:tcPr>
                  <w:tcW w:w="815" w:type="dxa"/>
                </w:tcPr>
                <w:p w14:paraId="672F8CCF" w14:textId="4645FD79" w:rsidR="004F2EAA" w:rsidRPr="009F4E3F" w:rsidRDefault="00E13039" w:rsidP="005F4653">
                  <w:pPr>
                    <w:jc w:val="center"/>
                    <w:rPr>
                      <w:sz w:val="12"/>
                      <w:szCs w:val="12"/>
                    </w:rPr>
                  </w:pPr>
                  <w:r w:rsidRPr="009F4E3F">
                    <w:rPr>
                      <w:sz w:val="12"/>
                      <w:szCs w:val="12"/>
                    </w:rPr>
                    <w:t>364.88%</w:t>
                  </w:r>
                </w:p>
              </w:tc>
              <w:tc>
                <w:tcPr>
                  <w:tcW w:w="804" w:type="dxa"/>
                </w:tcPr>
                <w:p w14:paraId="2639E00E" w14:textId="0619DB36" w:rsidR="004F2EAA" w:rsidRPr="009F4E3F" w:rsidRDefault="00E13039" w:rsidP="005F4653">
                  <w:pPr>
                    <w:jc w:val="center"/>
                    <w:rPr>
                      <w:sz w:val="12"/>
                      <w:szCs w:val="12"/>
                    </w:rPr>
                  </w:pPr>
                  <w:r w:rsidRPr="009F4E3F">
                    <w:rPr>
                      <w:sz w:val="12"/>
                      <w:szCs w:val="12"/>
                    </w:rPr>
                    <w:t>505.63%</w:t>
                  </w:r>
                </w:p>
              </w:tc>
              <w:tc>
                <w:tcPr>
                  <w:tcW w:w="885" w:type="dxa"/>
                </w:tcPr>
                <w:p w14:paraId="1555406C" w14:textId="28FB4856" w:rsidR="004F2EAA" w:rsidRPr="009F4E3F" w:rsidRDefault="00E13039" w:rsidP="005F4653">
                  <w:pPr>
                    <w:jc w:val="center"/>
                    <w:rPr>
                      <w:sz w:val="12"/>
                      <w:szCs w:val="12"/>
                    </w:rPr>
                  </w:pPr>
                  <w:r w:rsidRPr="009F4E3F">
                    <w:rPr>
                      <w:sz w:val="12"/>
                      <w:szCs w:val="12"/>
                    </w:rPr>
                    <w:t>28.45%</w:t>
                  </w:r>
                </w:p>
              </w:tc>
              <w:tc>
                <w:tcPr>
                  <w:tcW w:w="953" w:type="dxa"/>
                </w:tcPr>
                <w:p w14:paraId="02951FB8" w14:textId="4B12DB0A" w:rsidR="004F2EAA" w:rsidRPr="009F4E3F" w:rsidRDefault="00E13039" w:rsidP="005F4653">
                  <w:pPr>
                    <w:jc w:val="center"/>
                    <w:rPr>
                      <w:sz w:val="12"/>
                      <w:szCs w:val="12"/>
                    </w:rPr>
                  </w:pPr>
                  <w:r w:rsidRPr="009F4E3F">
                    <w:rPr>
                      <w:sz w:val="12"/>
                      <w:szCs w:val="12"/>
                    </w:rPr>
                    <w:t>53.81%</w:t>
                  </w:r>
                </w:p>
              </w:tc>
              <w:tc>
                <w:tcPr>
                  <w:tcW w:w="981" w:type="dxa"/>
                </w:tcPr>
                <w:p w14:paraId="2DEE76F7" w14:textId="2D69F9A2" w:rsidR="004F2EAA" w:rsidRPr="009F4E3F" w:rsidRDefault="00E13039" w:rsidP="005F4653">
                  <w:pPr>
                    <w:jc w:val="center"/>
                    <w:rPr>
                      <w:sz w:val="12"/>
                      <w:szCs w:val="12"/>
                    </w:rPr>
                  </w:pPr>
                  <w:r w:rsidRPr="009F4E3F">
                    <w:rPr>
                      <w:sz w:val="12"/>
                      <w:szCs w:val="12"/>
                    </w:rPr>
                    <w:t>107.27%</w:t>
                  </w:r>
                </w:p>
              </w:tc>
              <w:tc>
                <w:tcPr>
                  <w:tcW w:w="1142" w:type="dxa"/>
                </w:tcPr>
                <w:p w14:paraId="3056A026" w14:textId="67028D44" w:rsidR="004F2EAA" w:rsidRPr="009F4E3F" w:rsidRDefault="005F4653" w:rsidP="005F4653">
                  <w:pPr>
                    <w:jc w:val="center"/>
                    <w:rPr>
                      <w:b/>
                      <w:sz w:val="12"/>
                      <w:szCs w:val="12"/>
                    </w:rPr>
                  </w:pPr>
                  <w:r w:rsidRPr="009F4E3F">
                    <w:rPr>
                      <w:b/>
                      <w:sz w:val="12"/>
                      <w:szCs w:val="12"/>
                    </w:rPr>
                    <w:t>76.76%</w:t>
                  </w:r>
                </w:p>
              </w:tc>
            </w:tr>
            <w:tr w:rsidR="004F2EAA" w:rsidRPr="009F4E3F" w14:paraId="36B329ED" w14:textId="77777777" w:rsidTr="0089190C">
              <w:tc>
                <w:tcPr>
                  <w:tcW w:w="1677" w:type="dxa"/>
                </w:tcPr>
                <w:p w14:paraId="791DB0D1" w14:textId="77777777" w:rsidR="004F2EAA" w:rsidRPr="009F4E3F" w:rsidRDefault="004F2EAA" w:rsidP="004F2EAA">
                  <w:pPr>
                    <w:rPr>
                      <w:sz w:val="12"/>
                      <w:szCs w:val="12"/>
                    </w:rPr>
                  </w:pPr>
                  <w:r w:rsidRPr="009F4E3F">
                    <w:rPr>
                      <w:sz w:val="12"/>
                      <w:szCs w:val="12"/>
                    </w:rPr>
                    <w:t>Market Cap</w:t>
                  </w:r>
                </w:p>
              </w:tc>
              <w:tc>
                <w:tcPr>
                  <w:tcW w:w="815" w:type="dxa"/>
                </w:tcPr>
                <w:p w14:paraId="031547AD" w14:textId="559A7E03" w:rsidR="004F2EAA" w:rsidRPr="009F4E3F" w:rsidRDefault="00E13039" w:rsidP="005F4653">
                  <w:pPr>
                    <w:jc w:val="center"/>
                    <w:rPr>
                      <w:sz w:val="12"/>
                      <w:szCs w:val="12"/>
                    </w:rPr>
                  </w:pPr>
                  <w:r w:rsidRPr="009F4E3F">
                    <w:rPr>
                      <w:sz w:val="12"/>
                      <w:szCs w:val="12"/>
                    </w:rPr>
                    <w:t>$23.97B</w:t>
                  </w:r>
                </w:p>
              </w:tc>
              <w:tc>
                <w:tcPr>
                  <w:tcW w:w="804" w:type="dxa"/>
                </w:tcPr>
                <w:p w14:paraId="626B742A" w14:textId="22E121D7" w:rsidR="004F2EAA" w:rsidRPr="009F4E3F" w:rsidRDefault="00E13039" w:rsidP="005F4653">
                  <w:pPr>
                    <w:jc w:val="center"/>
                    <w:rPr>
                      <w:sz w:val="12"/>
                      <w:szCs w:val="12"/>
                    </w:rPr>
                  </w:pPr>
                  <w:r w:rsidRPr="009F4E3F">
                    <w:rPr>
                      <w:sz w:val="12"/>
                      <w:szCs w:val="12"/>
                    </w:rPr>
                    <w:t>$18.37B</w:t>
                  </w:r>
                </w:p>
              </w:tc>
              <w:tc>
                <w:tcPr>
                  <w:tcW w:w="885" w:type="dxa"/>
                </w:tcPr>
                <w:p w14:paraId="4F545191" w14:textId="2DD8E29A" w:rsidR="004F2EAA" w:rsidRPr="009F4E3F" w:rsidRDefault="00E13039" w:rsidP="00E13039">
                  <w:pPr>
                    <w:jc w:val="center"/>
                    <w:rPr>
                      <w:sz w:val="12"/>
                      <w:szCs w:val="12"/>
                    </w:rPr>
                  </w:pPr>
                  <w:r w:rsidRPr="009F4E3F">
                    <w:rPr>
                      <w:sz w:val="12"/>
                      <w:szCs w:val="12"/>
                    </w:rPr>
                    <w:t>$8.57B</w:t>
                  </w:r>
                </w:p>
              </w:tc>
              <w:tc>
                <w:tcPr>
                  <w:tcW w:w="953" w:type="dxa"/>
                </w:tcPr>
                <w:p w14:paraId="70C9FE24" w14:textId="7479EF6E" w:rsidR="004F2EAA" w:rsidRPr="009F4E3F" w:rsidRDefault="00E13039" w:rsidP="005F4653">
                  <w:pPr>
                    <w:jc w:val="center"/>
                    <w:rPr>
                      <w:sz w:val="12"/>
                      <w:szCs w:val="12"/>
                    </w:rPr>
                  </w:pPr>
                  <w:r w:rsidRPr="009F4E3F">
                    <w:rPr>
                      <w:sz w:val="12"/>
                      <w:szCs w:val="12"/>
                    </w:rPr>
                    <w:t>$2.08B</w:t>
                  </w:r>
                </w:p>
              </w:tc>
              <w:tc>
                <w:tcPr>
                  <w:tcW w:w="981" w:type="dxa"/>
                </w:tcPr>
                <w:p w14:paraId="10279C73" w14:textId="04E345BA" w:rsidR="004F2EAA" w:rsidRPr="009F4E3F" w:rsidRDefault="00E13039" w:rsidP="005F4653">
                  <w:pPr>
                    <w:jc w:val="center"/>
                    <w:rPr>
                      <w:sz w:val="12"/>
                      <w:szCs w:val="12"/>
                    </w:rPr>
                  </w:pPr>
                  <w:r w:rsidRPr="009F4E3F">
                    <w:rPr>
                      <w:sz w:val="12"/>
                      <w:szCs w:val="12"/>
                    </w:rPr>
                    <w:t>$2.82B</w:t>
                  </w:r>
                </w:p>
              </w:tc>
              <w:tc>
                <w:tcPr>
                  <w:tcW w:w="1142" w:type="dxa"/>
                </w:tcPr>
                <w:p w14:paraId="5AA99482" w14:textId="0B8ACDB7" w:rsidR="004F2EAA" w:rsidRPr="009F4E3F" w:rsidRDefault="005F4653" w:rsidP="005F4653">
                  <w:pPr>
                    <w:jc w:val="center"/>
                    <w:rPr>
                      <w:b/>
                      <w:sz w:val="12"/>
                      <w:szCs w:val="12"/>
                    </w:rPr>
                  </w:pPr>
                  <w:r w:rsidRPr="009F4E3F">
                    <w:rPr>
                      <w:b/>
                      <w:sz w:val="12"/>
                      <w:szCs w:val="12"/>
                    </w:rPr>
                    <w:t>34.46B</w:t>
                  </w:r>
                </w:p>
              </w:tc>
            </w:tr>
          </w:tbl>
          <w:p w14:paraId="640918AE" w14:textId="77777777" w:rsidR="004F2EAA" w:rsidRPr="009F4E3F" w:rsidRDefault="004F2EAA" w:rsidP="000F7E2C">
            <w:pPr>
              <w:jc w:val="both"/>
              <w:rPr>
                <w:b/>
                <w:sz w:val="12"/>
                <w:szCs w:val="12"/>
              </w:rPr>
            </w:pPr>
          </w:p>
          <w:p w14:paraId="79D95697" w14:textId="03C6EC5D" w:rsidR="000362B3" w:rsidRPr="009F4E3F" w:rsidRDefault="00C8063B" w:rsidP="000F7E2C">
            <w:pPr>
              <w:jc w:val="both"/>
              <w:rPr>
                <w:b/>
                <w:sz w:val="12"/>
                <w:szCs w:val="12"/>
              </w:rPr>
            </w:pPr>
            <w:r w:rsidRPr="009F4E3F">
              <w:rPr>
                <w:b/>
                <w:sz w:val="12"/>
                <w:szCs w:val="12"/>
              </w:rPr>
              <w:t>Prepared By:</w:t>
            </w:r>
          </w:p>
          <w:p w14:paraId="67108435" w14:textId="21DBE44E" w:rsidR="000362B3" w:rsidRPr="009F4E3F" w:rsidRDefault="000362B3" w:rsidP="000F7E2C">
            <w:pPr>
              <w:jc w:val="both"/>
              <w:rPr>
                <w:b/>
                <w:sz w:val="12"/>
                <w:szCs w:val="12"/>
              </w:rPr>
            </w:pPr>
            <w:r w:rsidRPr="009F4E3F">
              <w:rPr>
                <w:b/>
                <w:sz w:val="12"/>
                <w:szCs w:val="12"/>
              </w:rPr>
              <w:t xml:space="preserve">Sources: Bloomberg, S&amp;P </w:t>
            </w:r>
            <w:proofErr w:type="spellStart"/>
            <w:r w:rsidRPr="009F4E3F">
              <w:rPr>
                <w:b/>
                <w:sz w:val="12"/>
                <w:szCs w:val="12"/>
              </w:rPr>
              <w:t>NetAdvantage</w:t>
            </w:r>
            <w:proofErr w:type="spellEnd"/>
            <w:r w:rsidRPr="009F4E3F">
              <w:rPr>
                <w:b/>
                <w:sz w:val="12"/>
                <w:szCs w:val="12"/>
              </w:rPr>
              <w:t>, VLIS, Morningstar</w:t>
            </w:r>
          </w:p>
        </w:tc>
        <w:tc>
          <w:tcPr>
            <w:tcW w:w="4320" w:type="dxa"/>
          </w:tcPr>
          <w:p w14:paraId="7FACE228" w14:textId="170AD80A" w:rsidR="004F2EAA" w:rsidRPr="009F4E3F" w:rsidRDefault="004F2EAA" w:rsidP="000F7E2C">
            <w:pPr>
              <w:jc w:val="both"/>
              <w:rPr>
                <w:b/>
                <w:sz w:val="12"/>
                <w:szCs w:val="12"/>
              </w:rPr>
            </w:pPr>
          </w:p>
          <w:tbl>
            <w:tblPr>
              <w:tblStyle w:val="TableGrid"/>
              <w:tblW w:w="4094" w:type="dxa"/>
              <w:tblLook w:val="04A0" w:firstRow="1" w:lastRow="0" w:firstColumn="1" w:lastColumn="0" w:noHBand="0" w:noVBand="1"/>
            </w:tblPr>
            <w:tblGrid>
              <w:gridCol w:w="1422"/>
              <w:gridCol w:w="900"/>
              <w:gridCol w:w="810"/>
              <w:gridCol w:w="962"/>
            </w:tblGrid>
            <w:tr w:rsidR="00EA5213" w:rsidRPr="009F4E3F" w14:paraId="39927E41" w14:textId="77777777" w:rsidTr="0060598F">
              <w:tc>
                <w:tcPr>
                  <w:tcW w:w="1422" w:type="dxa"/>
                  <w:shd w:val="clear" w:color="auto" w:fill="DBE5F1" w:themeFill="accent1" w:themeFillTint="33"/>
                </w:tcPr>
                <w:p w14:paraId="405B542F" w14:textId="7C67957F" w:rsidR="00EA5213" w:rsidRPr="009F4E3F" w:rsidRDefault="00EA5213" w:rsidP="00EA5213">
                  <w:pPr>
                    <w:rPr>
                      <w:sz w:val="12"/>
                      <w:szCs w:val="12"/>
                    </w:rPr>
                  </w:pPr>
                </w:p>
              </w:tc>
              <w:tc>
                <w:tcPr>
                  <w:tcW w:w="900" w:type="dxa"/>
                  <w:shd w:val="clear" w:color="auto" w:fill="DBE5F1" w:themeFill="accent1" w:themeFillTint="33"/>
                </w:tcPr>
                <w:p w14:paraId="0AB96B2A" w14:textId="3AF0ED77" w:rsidR="00EA5213" w:rsidRPr="009F4E3F" w:rsidRDefault="00F54318" w:rsidP="00EA5213">
                  <w:pPr>
                    <w:rPr>
                      <w:sz w:val="12"/>
                      <w:szCs w:val="12"/>
                    </w:rPr>
                  </w:pPr>
                  <w:r w:rsidRPr="009F4E3F">
                    <w:rPr>
                      <w:sz w:val="12"/>
                      <w:szCs w:val="12"/>
                    </w:rPr>
                    <w:t>DAL US</w:t>
                  </w:r>
                  <w:r w:rsidR="00EA5213" w:rsidRPr="009F4E3F">
                    <w:rPr>
                      <w:sz w:val="12"/>
                      <w:szCs w:val="12"/>
                    </w:rPr>
                    <w:t xml:space="preserve">  </w:t>
                  </w:r>
                </w:p>
              </w:tc>
              <w:tc>
                <w:tcPr>
                  <w:tcW w:w="810" w:type="dxa"/>
                  <w:shd w:val="clear" w:color="auto" w:fill="DBE5F1" w:themeFill="accent1" w:themeFillTint="33"/>
                </w:tcPr>
                <w:p w14:paraId="0650E6CE" w14:textId="77777777" w:rsidR="00EA5213" w:rsidRPr="009F4E3F" w:rsidRDefault="00EA5213" w:rsidP="00EA5213">
                  <w:pPr>
                    <w:rPr>
                      <w:sz w:val="12"/>
                      <w:szCs w:val="12"/>
                    </w:rPr>
                  </w:pPr>
                  <w:r w:rsidRPr="009F4E3F">
                    <w:rPr>
                      <w:sz w:val="12"/>
                      <w:szCs w:val="12"/>
                    </w:rPr>
                    <w:t xml:space="preserve">Sector </w:t>
                  </w:r>
                </w:p>
              </w:tc>
              <w:tc>
                <w:tcPr>
                  <w:tcW w:w="962" w:type="dxa"/>
                  <w:shd w:val="clear" w:color="auto" w:fill="DBE5F1" w:themeFill="accent1" w:themeFillTint="33"/>
                </w:tcPr>
                <w:p w14:paraId="68B31751" w14:textId="77777777" w:rsidR="00EA5213" w:rsidRPr="009F4E3F" w:rsidRDefault="00EA5213" w:rsidP="00EA5213">
                  <w:pPr>
                    <w:rPr>
                      <w:sz w:val="12"/>
                      <w:szCs w:val="12"/>
                    </w:rPr>
                  </w:pPr>
                  <w:r w:rsidRPr="009F4E3F">
                    <w:rPr>
                      <w:sz w:val="12"/>
                      <w:szCs w:val="12"/>
                    </w:rPr>
                    <w:t>S&amp;P 500</w:t>
                  </w:r>
                </w:p>
              </w:tc>
            </w:tr>
            <w:tr w:rsidR="00EA5213" w:rsidRPr="009F4E3F" w14:paraId="47681D86" w14:textId="77777777" w:rsidTr="00371C05">
              <w:tc>
                <w:tcPr>
                  <w:tcW w:w="1422" w:type="dxa"/>
                </w:tcPr>
                <w:p w14:paraId="440258CF" w14:textId="77777777" w:rsidR="00EA5213" w:rsidRPr="009F4E3F" w:rsidRDefault="00EA5213" w:rsidP="00EA5213">
                  <w:pPr>
                    <w:rPr>
                      <w:sz w:val="12"/>
                      <w:szCs w:val="12"/>
                    </w:rPr>
                  </w:pPr>
                  <w:r w:rsidRPr="009F4E3F">
                    <w:rPr>
                      <w:sz w:val="12"/>
                      <w:szCs w:val="12"/>
                    </w:rPr>
                    <w:t>YTD</w:t>
                  </w:r>
                </w:p>
              </w:tc>
              <w:tc>
                <w:tcPr>
                  <w:tcW w:w="900" w:type="dxa"/>
                </w:tcPr>
                <w:p w14:paraId="2915C4D5" w14:textId="47D2C153" w:rsidR="00EA5213" w:rsidRPr="009F4E3F" w:rsidRDefault="00F54318" w:rsidP="0089190C">
                  <w:pPr>
                    <w:rPr>
                      <w:sz w:val="12"/>
                      <w:szCs w:val="12"/>
                    </w:rPr>
                  </w:pPr>
                  <w:r w:rsidRPr="009F4E3F">
                    <w:rPr>
                      <w:sz w:val="12"/>
                      <w:szCs w:val="12"/>
                    </w:rPr>
                    <w:t>-13.59%</w:t>
                  </w:r>
                </w:p>
              </w:tc>
              <w:tc>
                <w:tcPr>
                  <w:tcW w:w="810" w:type="dxa"/>
                </w:tcPr>
                <w:p w14:paraId="432CEBBB" w14:textId="7B4F77D9" w:rsidR="00EA5213" w:rsidRPr="009F4E3F" w:rsidRDefault="00F54318" w:rsidP="00EA5213">
                  <w:pPr>
                    <w:rPr>
                      <w:sz w:val="12"/>
                      <w:szCs w:val="12"/>
                    </w:rPr>
                  </w:pPr>
                  <w:r w:rsidRPr="009F4E3F">
                    <w:rPr>
                      <w:sz w:val="12"/>
                      <w:szCs w:val="12"/>
                    </w:rPr>
                    <w:t>-12.68%</w:t>
                  </w:r>
                </w:p>
              </w:tc>
              <w:tc>
                <w:tcPr>
                  <w:tcW w:w="962" w:type="dxa"/>
                </w:tcPr>
                <w:p w14:paraId="2D5C424C" w14:textId="32B5B2D9" w:rsidR="00EA5213" w:rsidRPr="009F4E3F" w:rsidRDefault="00F54318" w:rsidP="00EA5213">
                  <w:pPr>
                    <w:rPr>
                      <w:sz w:val="12"/>
                      <w:szCs w:val="12"/>
                    </w:rPr>
                  </w:pPr>
                  <w:r w:rsidRPr="009F4E3F">
                    <w:rPr>
                      <w:sz w:val="12"/>
                      <w:szCs w:val="12"/>
                    </w:rPr>
                    <w:t>-6.28%</w:t>
                  </w:r>
                </w:p>
              </w:tc>
            </w:tr>
            <w:tr w:rsidR="00EA5213" w:rsidRPr="009F4E3F" w14:paraId="0876038A" w14:textId="77777777" w:rsidTr="00371C05">
              <w:tc>
                <w:tcPr>
                  <w:tcW w:w="1422" w:type="dxa"/>
                </w:tcPr>
                <w:p w14:paraId="1F90980B" w14:textId="78A00C0D" w:rsidR="00EA5213" w:rsidRPr="009F4E3F" w:rsidRDefault="00F54318" w:rsidP="00EA5213">
                  <w:pPr>
                    <w:rPr>
                      <w:sz w:val="12"/>
                      <w:szCs w:val="12"/>
                    </w:rPr>
                  </w:pPr>
                  <w:r w:rsidRPr="009F4E3F">
                    <w:rPr>
                      <w:sz w:val="12"/>
                      <w:szCs w:val="12"/>
                    </w:rPr>
                    <w:t>Last 3 Years</w:t>
                  </w:r>
                  <w:r w:rsidR="00EA5213" w:rsidRPr="009F4E3F">
                    <w:rPr>
                      <w:sz w:val="12"/>
                      <w:szCs w:val="12"/>
                    </w:rPr>
                    <w:t xml:space="preserve"> </w:t>
                  </w:r>
                </w:p>
              </w:tc>
              <w:tc>
                <w:tcPr>
                  <w:tcW w:w="900" w:type="dxa"/>
                </w:tcPr>
                <w:p w14:paraId="0925A661" w14:textId="2EFB4A22" w:rsidR="00EA5213" w:rsidRPr="009F4E3F" w:rsidRDefault="00F54318" w:rsidP="00EA5213">
                  <w:pPr>
                    <w:rPr>
                      <w:sz w:val="12"/>
                      <w:szCs w:val="12"/>
                    </w:rPr>
                  </w:pPr>
                  <w:r w:rsidRPr="009F4E3F">
                    <w:rPr>
                      <w:sz w:val="12"/>
                      <w:szCs w:val="12"/>
                    </w:rPr>
                    <w:t>47.85%</w:t>
                  </w:r>
                </w:p>
              </w:tc>
              <w:tc>
                <w:tcPr>
                  <w:tcW w:w="810" w:type="dxa"/>
                </w:tcPr>
                <w:p w14:paraId="046C9C8D" w14:textId="7957B41E" w:rsidR="00EA5213" w:rsidRPr="009F4E3F" w:rsidRDefault="00F54318" w:rsidP="00EA5213">
                  <w:pPr>
                    <w:rPr>
                      <w:sz w:val="12"/>
                      <w:szCs w:val="12"/>
                    </w:rPr>
                  </w:pPr>
                  <w:r w:rsidRPr="009F4E3F">
                    <w:rPr>
                      <w:sz w:val="12"/>
                      <w:szCs w:val="12"/>
                    </w:rPr>
                    <w:t>19.87%</w:t>
                  </w:r>
                </w:p>
              </w:tc>
              <w:tc>
                <w:tcPr>
                  <w:tcW w:w="962" w:type="dxa"/>
                </w:tcPr>
                <w:p w14:paraId="55BE815F" w14:textId="34A5E4D3" w:rsidR="00EA5213" w:rsidRPr="009F4E3F" w:rsidRDefault="00F54318" w:rsidP="00EA5213">
                  <w:pPr>
                    <w:rPr>
                      <w:sz w:val="12"/>
                      <w:szCs w:val="12"/>
                    </w:rPr>
                  </w:pPr>
                  <w:r w:rsidRPr="009F4E3F">
                    <w:rPr>
                      <w:sz w:val="12"/>
                      <w:szCs w:val="12"/>
                    </w:rPr>
                    <w:t>10.41%</w:t>
                  </w:r>
                </w:p>
              </w:tc>
            </w:tr>
            <w:tr w:rsidR="00EA5213" w:rsidRPr="009F4E3F" w14:paraId="28B8CB1E" w14:textId="77777777" w:rsidTr="00371C05">
              <w:tc>
                <w:tcPr>
                  <w:tcW w:w="1422" w:type="dxa"/>
                </w:tcPr>
                <w:p w14:paraId="3272796F" w14:textId="77777777" w:rsidR="00EA5213" w:rsidRPr="009F4E3F" w:rsidRDefault="00EA5213" w:rsidP="00EA5213">
                  <w:pPr>
                    <w:rPr>
                      <w:sz w:val="12"/>
                      <w:szCs w:val="12"/>
                    </w:rPr>
                  </w:pPr>
                  <w:r w:rsidRPr="009F4E3F">
                    <w:rPr>
                      <w:sz w:val="12"/>
                      <w:szCs w:val="12"/>
                    </w:rPr>
                    <w:t xml:space="preserve">Last 5 Years </w:t>
                  </w:r>
                </w:p>
              </w:tc>
              <w:tc>
                <w:tcPr>
                  <w:tcW w:w="900" w:type="dxa"/>
                </w:tcPr>
                <w:p w14:paraId="6CA968EB" w14:textId="5B484B4B" w:rsidR="00EA5213" w:rsidRPr="009F4E3F" w:rsidRDefault="00F54318" w:rsidP="00F54318">
                  <w:pPr>
                    <w:rPr>
                      <w:sz w:val="12"/>
                      <w:szCs w:val="12"/>
                    </w:rPr>
                  </w:pPr>
                  <w:r w:rsidRPr="009F4E3F">
                    <w:rPr>
                      <w:sz w:val="12"/>
                      <w:szCs w:val="12"/>
                    </w:rPr>
                    <w:t>31.11%</w:t>
                  </w:r>
                </w:p>
              </w:tc>
              <w:tc>
                <w:tcPr>
                  <w:tcW w:w="810" w:type="dxa"/>
                </w:tcPr>
                <w:p w14:paraId="3A2AF828" w14:textId="7F7D5183" w:rsidR="00EA5213" w:rsidRPr="009F4E3F" w:rsidRDefault="00F54318" w:rsidP="00EA5213">
                  <w:pPr>
                    <w:rPr>
                      <w:sz w:val="12"/>
                      <w:szCs w:val="12"/>
                    </w:rPr>
                  </w:pPr>
                  <w:r w:rsidRPr="009F4E3F">
                    <w:rPr>
                      <w:sz w:val="12"/>
                      <w:szCs w:val="12"/>
                    </w:rPr>
                    <w:t>13.46%</w:t>
                  </w:r>
                </w:p>
              </w:tc>
              <w:tc>
                <w:tcPr>
                  <w:tcW w:w="962" w:type="dxa"/>
                </w:tcPr>
                <w:p w14:paraId="1D7EE8E1" w14:textId="05AD038F" w:rsidR="00EA5213" w:rsidRPr="009F4E3F" w:rsidRDefault="00F54318" w:rsidP="00EA5213">
                  <w:pPr>
                    <w:rPr>
                      <w:sz w:val="12"/>
                      <w:szCs w:val="12"/>
                    </w:rPr>
                  </w:pPr>
                  <w:r w:rsidRPr="009F4E3F">
                    <w:rPr>
                      <w:sz w:val="12"/>
                      <w:szCs w:val="12"/>
                    </w:rPr>
                    <w:t>10.23%</w:t>
                  </w:r>
                </w:p>
              </w:tc>
            </w:tr>
          </w:tbl>
          <w:p w14:paraId="51BB9526" w14:textId="77777777" w:rsidR="00096901" w:rsidRPr="009F4E3F" w:rsidRDefault="00096901" w:rsidP="000F7E2C">
            <w:pPr>
              <w:jc w:val="both"/>
              <w:rPr>
                <w:b/>
                <w:sz w:val="12"/>
                <w:szCs w:val="12"/>
              </w:rPr>
            </w:pPr>
          </w:p>
          <w:p w14:paraId="221910A7" w14:textId="368D2A1A" w:rsidR="009F0D12" w:rsidRPr="009F4E3F" w:rsidRDefault="009F0D12" w:rsidP="000F7E2C">
            <w:pPr>
              <w:jc w:val="both"/>
              <w:rPr>
                <w:b/>
                <w:sz w:val="12"/>
                <w:szCs w:val="12"/>
              </w:rPr>
            </w:pPr>
            <w:r w:rsidRPr="009F4E3F">
              <w:rPr>
                <w:b/>
                <w:sz w:val="12"/>
                <w:szCs w:val="12"/>
              </w:rPr>
              <w:t>CSR Characteristics</w:t>
            </w:r>
          </w:p>
          <w:tbl>
            <w:tblPr>
              <w:tblStyle w:val="TableGrid"/>
              <w:tblW w:w="4166" w:type="dxa"/>
              <w:tblLook w:val="04A0" w:firstRow="1" w:lastRow="0" w:firstColumn="1" w:lastColumn="0" w:noHBand="0" w:noVBand="1"/>
            </w:tblPr>
            <w:tblGrid>
              <w:gridCol w:w="2497"/>
              <w:gridCol w:w="862"/>
              <w:gridCol w:w="807"/>
            </w:tblGrid>
            <w:tr w:rsidR="009F0D12" w:rsidRPr="009F4E3F" w14:paraId="45EE1C47" w14:textId="77777777" w:rsidTr="009F0D12">
              <w:tc>
                <w:tcPr>
                  <w:tcW w:w="2497" w:type="dxa"/>
                  <w:shd w:val="clear" w:color="auto" w:fill="DBE5F1" w:themeFill="accent1" w:themeFillTint="33"/>
                </w:tcPr>
                <w:p w14:paraId="48F472B3" w14:textId="77777777" w:rsidR="009F0D12" w:rsidRPr="009F4E3F" w:rsidRDefault="009F0D12" w:rsidP="009F0D12">
                  <w:pPr>
                    <w:rPr>
                      <w:sz w:val="12"/>
                      <w:szCs w:val="12"/>
                    </w:rPr>
                  </w:pPr>
                </w:p>
              </w:tc>
              <w:tc>
                <w:tcPr>
                  <w:tcW w:w="862" w:type="dxa"/>
                  <w:shd w:val="clear" w:color="auto" w:fill="DBE5F1" w:themeFill="accent1" w:themeFillTint="33"/>
                </w:tcPr>
                <w:p w14:paraId="64E10A6D" w14:textId="44610BDA" w:rsidR="009F0D12" w:rsidRPr="009F4E3F" w:rsidRDefault="009F0D12" w:rsidP="009F0D12">
                  <w:pPr>
                    <w:rPr>
                      <w:sz w:val="12"/>
                      <w:szCs w:val="12"/>
                    </w:rPr>
                  </w:pPr>
                  <w:r w:rsidRPr="009F4E3F">
                    <w:rPr>
                      <w:sz w:val="12"/>
                      <w:szCs w:val="12"/>
                    </w:rPr>
                    <w:t xml:space="preserve">Company </w:t>
                  </w:r>
                </w:p>
              </w:tc>
              <w:tc>
                <w:tcPr>
                  <w:tcW w:w="807" w:type="dxa"/>
                  <w:shd w:val="clear" w:color="auto" w:fill="DBE5F1" w:themeFill="accent1" w:themeFillTint="33"/>
                </w:tcPr>
                <w:p w14:paraId="2859E9CA" w14:textId="46E55C19" w:rsidR="009F0D12" w:rsidRPr="009F4E3F" w:rsidRDefault="009F0D12" w:rsidP="009F0D12">
                  <w:pPr>
                    <w:rPr>
                      <w:sz w:val="12"/>
                      <w:szCs w:val="12"/>
                    </w:rPr>
                  </w:pPr>
                  <w:r w:rsidRPr="009F4E3F">
                    <w:rPr>
                      <w:sz w:val="12"/>
                      <w:szCs w:val="12"/>
                    </w:rPr>
                    <w:t xml:space="preserve">Industry  </w:t>
                  </w:r>
                </w:p>
              </w:tc>
            </w:tr>
            <w:tr w:rsidR="009F0D12" w:rsidRPr="009F4E3F" w14:paraId="7789B7FE" w14:textId="77777777" w:rsidTr="009F0D12">
              <w:tc>
                <w:tcPr>
                  <w:tcW w:w="2497" w:type="dxa"/>
                </w:tcPr>
                <w:p w14:paraId="6E37B1E0" w14:textId="321D190E" w:rsidR="009F0D12" w:rsidRPr="009F4E3F" w:rsidRDefault="00BA7CED" w:rsidP="009F0D12">
                  <w:pPr>
                    <w:rPr>
                      <w:sz w:val="12"/>
                      <w:szCs w:val="12"/>
                    </w:rPr>
                  </w:pPr>
                  <w:r w:rsidRPr="009F4E3F">
                    <w:rPr>
                      <w:sz w:val="12"/>
                      <w:szCs w:val="12"/>
                    </w:rPr>
                    <w:t>ESG Disclosure</w:t>
                  </w:r>
                </w:p>
              </w:tc>
              <w:tc>
                <w:tcPr>
                  <w:tcW w:w="862" w:type="dxa"/>
                </w:tcPr>
                <w:p w14:paraId="69AFC6D3" w14:textId="668E0FD4" w:rsidR="009F0D12" w:rsidRPr="009F4E3F" w:rsidRDefault="005F4653" w:rsidP="0001176B">
                  <w:pPr>
                    <w:jc w:val="center"/>
                    <w:rPr>
                      <w:sz w:val="12"/>
                      <w:szCs w:val="12"/>
                    </w:rPr>
                  </w:pPr>
                  <w:r w:rsidRPr="009F4E3F">
                    <w:rPr>
                      <w:sz w:val="12"/>
                      <w:szCs w:val="12"/>
                    </w:rPr>
                    <w:t>47.93</w:t>
                  </w:r>
                </w:p>
              </w:tc>
              <w:tc>
                <w:tcPr>
                  <w:tcW w:w="807" w:type="dxa"/>
                </w:tcPr>
                <w:p w14:paraId="176B6E96" w14:textId="730226D5" w:rsidR="009F0D12" w:rsidRPr="009F4E3F" w:rsidRDefault="005F4653" w:rsidP="0001176B">
                  <w:pPr>
                    <w:jc w:val="center"/>
                    <w:rPr>
                      <w:sz w:val="12"/>
                      <w:szCs w:val="12"/>
                    </w:rPr>
                  </w:pPr>
                  <w:r w:rsidRPr="009F4E3F">
                    <w:rPr>
                      <w:sz w:val="12"/>
                      <w:szCs w:val="12"/>
                    </w:rPr>
                    <w:t>27.92</w:t>
                  </w:r>
                </w:p>
              </w:tc>
            </w:tr>
            <w:tr w:rsidR="00BA7CED" w:rsidRPr="009F4E3F" w14:paraId="56095003" w14:textId="77777777" w:rsidTr="009F0D12">
              <w:tc>
                <w:tcPr>
                  <w:tcW w:w="2497" w:type="dxa"/>
                </w:tcPr>
                <w:p w14:paraId="01F06376" w14:textId="3ABF203A" w:rsidR="00BA7CED" w:rsidRPr="009F4E3F" w:rsidRDefault="00E02ABF" w:rsidP="009F0D12">
                  <w:pPr>
                    <w:rPr>
                      <w:sz w:val="12"/>
                      <w:szCs w:val="12"/>
                    </w:rPr>
                  </w:pPr>
                  <w:r w:rsidRPr="009F4E3F">
                    <w:rPr>
                      <w:sz w:val="12"/>
                      <w:szCs w:val="12"/>
                    </w:rPr>
                    <w:t>Governance Disclosure Score</w:t>
                  </w:r>
                </w:p>
              </w:tc>
              <w:tc>
                <w:tcPr>
                  <w:tcW w:w="862" w:type="dxa"/>
                </w:tcPr>
                <w:p w14:paraId="7E2457FE" w14:textId="3498AC05" w:rsidR="00BA7CED" w:rsidRPr="009F4E3F" w:rsidRDefault="005F4653" w:rsidP="0001176B">
                  <w:pPr>
                    <w:jc w:val="center"/>
                    <w:rPr>
                      <w:sz w:val="12"/>
                      <w:szCs w:val="12"/>
                    </w:rPr>
                  </w:pPr>
                  <w:r w:rsidRPr="009F4E3F">
                    <w:rPr>
                      <w:sz w:val="12"/>
                      <w:szCs w:val="12"/>
                    </w:rPr>
                    <w:t>62.50</w:t>
                  </w:r>
                </w:p>
              </w:tc>
              <w:tc>
                <w:tcPr>
                  <w:tcW w:w="807" w:type="dxa"/>
                </w:tcPr>
                <w:p w14:paraId="535098F8" w14:textId="600C125B" w:rsidR="00BA7CED" w:rsidRPr="009F4E3F" w:rsidRDefault="005F4653" w:rsidP="0001176B">
                  <w:pPr>
                    <w:jc w:val="center"/>
                    <w:rPr>
                      <w:sz w:val="12"/>
                      <w:szCs w:val="12"/>
                    </w:rPr>
                  </w:pPr>
                  <w:r w:rsidRPr="009F4E3F">
                    <w:rPr>
                      <w:sz w:val="12"/>
                      <w:szCs w:val="12"/>
                    </w:rPr>
                    <w:t>47.62</w:t>
                  </w:r>
                </w:p>
              </w:tc>
            </w:tr>
            <w:tr w:rsidR="009F0D12" w:rsidRPr="009F4E3F" w14:paraId="2AED786D" w14:textId="77777777" w:rsidTr="009F0D12">
              <w:tc>
                <w:tcPr>
                  <w:tcW w:w="2497" w:type="dxa"/>
                </w:tcPr>
                <w:p w14:paraId="1512DF1C" w14:textId="514427D6" w:rsidR="009F0D12" w:rsidRPr="009F4E3F" w:rsidRDefault="00E02ABF" w:rsidP="009F0D12">
                  <w:pPr>
                    <w:rPr>
                      <w:sz w:val="12"/>
                      <w:szCs w:val="12"/>
                    </w:rPr>
                  </w:pPr>
                  <w:r w:rsidRPr="009F4E3F">
                    <w:rPr>
                      <w:sz w:val="12"/>
                      <w:szCs w:val="12"/>
                    </w:rPr>
                    <w:t>Social Disclosure Score</w:t>
                  </w:r>
                </w:p>
              </w:tc>
              <w:tc>
                <w:tcPr>
                  <w:tcW w:w="862" w:type="dxa"/>
                </w:tcPr>
                <w:p w14:paraId="1005E3B5" w14:textId="4A292565" w:rsidR="009F0D12" w:rsidRPr="009F4E3F" w:rsidRDefault="005F4653" w:rsidP="0001176B">
                  <w:pPr>
                    <w:jc w:val="center"/>
                    <w:rPr>
                      <w:sz w:val="12"/>
                      <w:szCs w:val="12"/>
                    </w:rPr>
                  </w:pPr>
                  <w:r w:rsidRPr="009F4E3F">
                    <w:rPr>
                      <w:sz w:val="12"/>
                      <w:szCs w:val="12"/>
                    </w:rPr>
                    <w:t>33.33</w:t>
                  </w:r>
                </w:p>
              </w:tc>
              <w:tc>
                <w:tcPr>
                  <w:tcW w:w="807" w:type="dxa"/>
                </w:tcPr>
                <w:p w14:paraId="4CFD4283" w14:textId="278C6298" w:rsidR="009F0D12" w:rsidRPr="009F4E3F" w:rsidRDefault="005F4653" w:rsidP="0001176B">
                  <w:pPr>
                    <w:jc w:val="center"/>
                    <w:rPr>
                      <w:sz w:val="12"/>
                      <w:szCs w:val="12"/>
                    </w:rPr>
                  </w:pPr>
                  <w:r w:rsidRPr="009F4E3F">
                    <w:rPr>
                      <w:sz w:val="12"/>
                      <w:szCs w:val="12"/>
                    </w:rPr>
                    <w:t>27.32</w:t>
                  </w:r>
                </w:p>
              </w:tc>
            </w:tr>
            <w:tr w:rsidR="00E02ABF" w:rsidRPr="009F4E3F" w14:paraId="51ECD4C4" w14:textId="77777777" w:rsidTr="009F0D12">
              <w:tc>
                <w:tcPr>
                  <w:tcW w:w="2497" w:type="dxa"/>
                </w:tcPr>
                <w:p w14:paraId="141C9522" w14:textId="183B7621" w:rsidR="00E02ABF" w:rsidRPr="009F4E3F" w:rsidRDefault="00E02ABF" w:rsidP="009F0D12">
                  <w:pPr>
                    <w:rPr>
                      <w:sz w:val="12"/>
                      <w:szCs w:val="12"/>
                    </w:rPr>
                  </w:pPr>
                  <w:r w:rsidRPr="009F4E3F">
                    <w:rPr>
                      <w:sz w:val="12"/>
                      <w:szCs w:val="12"/>
                    </w:rPr>
                    <w:t>Environmental Disclosure Score</w:t>
                  </w:r>
                </w:p>
              </w:tc>
              <w:tc>
                <w:tcPr>
                  <w:tcW w:w="862" w:type="dxa"/>
                </w:tcPr>
                <w:p w14:paraId="2791F153" w14:textId="4FAF1EF6" w:rsidR="00E02ABF" w:rsidRPr="009F4E3F" w:rsidRDefault="005F4653" w:rsidP="0001176B">
                  <w:pPr>
                    <w:jc w:val="center"/>
                    <w:rPr>
                      <w:sz w:val="12"/>
                      <w:szCs w:val="12"/>
                    </w:rPr>
                  </w:pPr>
                  <w:r w:rsidRPr="009F4E3F">
                    <w:rPr>
                      <w:sz w:val="12"/>
                      <w:szCs w:val="12"/>
                    </w:rPr>
                    <w:t>48.06</w:t>
                  </w:r>
                </w:p>
              </w:tc>
              <w:tc>
                <w:tcPr>
                  <w:tcW w:w="807" w:type="dxa"/>
                </w:tcPr>
                <w:p w14:paraId="24E3CAEE" w14:textId="0C43909F" w:rsidR="00E02ABF" w:rsidRPr="009F4E3F" w:rsidRDefault="005F4653" w:rsidP="0001176B">
                  <w:pPr>
                    <w:jc w:val="center"/>
                    <w:rPr>
                      <w:sz w:val="12"/>
                      <w:szCs w:val="12"/>
                    </w:rPr>
                  </w:pPr>
                  <w:r w:rsidRPr="009F4E3F">
                    <w:rPr>
                      <w:sz w:val="12"/>
                      <w:szCs w:val="12"/>
                    </w:rPr>
                    <w:t>28.68</w:t>
                  </w:r>
                </w:p>
              </w:tc>
            </w:tr>
          </w:tbl>
          <w:p w14:paraId="62EFF545" w14:textId="453E5262" w:rsidR="009F0D12" w:rsidRPr="009F4E3F" w:rsidRDefault="009F0D12" w:rsidP="000F7E2C">
            <w:pPr>
              <w:jc w:val="both"/>
              <w:rPr>
                <w:b/>
                <w:sz w:val="12"/>
                <w:szCs w:val="12"/>
              </w:rPr>
            </w:pPr>
          </w:p>
        </w:tc>
      </w:tr>
    </w:tbl>
    <w:p w14:paraId="5C1E381E" w14:textId="36A09156" w:rsidR="00830F06" w:rsidRPr="009F4E3F" w:rsidRDefault="00830F06" w:rsidP="000362B3">
      <w:pPr>
        <w:jc w:val="both"/>
        <w:rPr>
          <w:b/>
          <w:sz w:val="12"/>
          <w:szCs w:val="12"/>
        </w:rPr>
      </w:pPr>
    </w:p>
    <w:sectPr w:rsidR="00830F06" w:rsidRPr="009F4E3F"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UniversLTStd-Bold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535F"/>
    <w:multiLevelType w:val="hybridMultilevel"/>
    <w:tmpl w:val="49E8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975878"/>
    <w:multiLevelType w:val="hybridMultilevel"/>
    <w:tmpl w:val="71B4A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0293"/>
    <w:rsid w:val="0001176B"/>
    <w:rsid w:val="000145A7"/>
    <w:rsid w:val="00022508"/>
    <w:rsid w:val="00026F5E"/>
    <w:rsid w:val="00034A52"/>
    <w:rsid w:val="000362B3"/>
    <w:rsid w:val="00056CE9"/>
    <w:rsid w:val="00066CC4"/>
    <w:rsid w:val="00071029"/>
    <w:rsid w:val="00071F4F"/>
    <w:rsid w:val="00096901"/>
    <w:rsid w:val="000A0372"/>
    <w:rsid w:val="000E0407"/>
    <w:rsid w:val="000E0631"/>
    <w:rsid w:val="000E0C3A"/>
    <w:rsid w:val="0012425D"/>
    <w:rsid w:val="0013332F"/>
    <w:rsid w:val="001366A3"/>
    <w:rsid w:val="0014778C"/>
    <w:rsid w:val="0015239F"/>
    <w:rsid w:val="00197A37"/>
    <w:rsid w:val="001A0951"/>
    <w:rsid w:val="001A4CD7"/>
    <w:rsid w:val="001A54DB"/>
    <w:rsid w:val="001C5C89"/>
    <w:rsid w:val="001E7B80"/>
    <w:rsid w:val="001F411C"/>
    <w:rsid w:val="001F4C8C"/>
    <w:rsid w:val="001F6872"/>
    <w:rsid w:val="00202280"/>
    <w:rsid w:val="00214834"/>
    <w:rsid w:val="002161B8"/>
    <w:rsid w:val="00231ED5"/>
    <w:rsid w:val="00245DD4"/>
    <w:rsid w:val="002535D2"/>
    <w:rsid w:val="00254456"/>
    <w:rsid w:val="00274740"/>
    <w:rsid w:val="0029559F"/>
    <w:rsid w:val="002A6E24"/>
    <w:rsid w:val="002B04FE"/>
    <w:rsid w:val="002D3CFC"/>
    <w:rsid w:val="002F3CA6"/>
    <w:rsid w:val="003073EA"/>
    <w:rsid w:val="003173DA"/>
    <w:rsid w:val="0033512A"/>
    <w:rsid w:val="00371C05"/>
    <w:rsid w:val="00375DB5"/>
    <w:rsid w:val="00384388"/>
    <w:rsid w:val="00392411"/>
    <w:rsid w:val="00392719"/>
    <w:rsid w:val="003B3070"/>
    <w:rsid w:val="003E5DB4"/>
    <w:rsid w:val="003E7CA1"/>
    <w:rsid w:val="00401063"/>
    <w:rsid w:val="00443ED9"/>
    <w:rsid w:val="00462682"/>
    <w:rsid w:val="00493CF7"/>
    <w:rsid w:val="004D3729"/>
    <w:rsid w:val="004D7282"/>
    <w:rsid w:val="004F2EAA"/>
    <w:rsid w:val="004F6F9D"/>
    <w:rsid w:val="0050052A"/>
    <w:rsid w:val="00501519"/>
    <w:rsid w:val="00521753"/>
    <w:rsid w:val="00547B13"/>
    <w:rsid w:val="005509E7"/>
    <w:rsid w:val="0056019E"/>
    <w:rsid w:val="00575123"/>
    <w:rsid w:val="005A335E"/>
    <w:rsid w:val="005B16A4"/>
    <w:rsid w:val="005C11BA"/>
    <w:rsid w:val="005D6DDB"/>
    <w:rsid w:val="005E114B"/>
    <w:rsid w:val="005F4653"/>
    <w:rsid w:val="0060598F"/>
    <w:rsid w:val="00640425"/>
    <w:rsid w:val="00674795"/>
    <w:rsid w:val="006953F0"/>
    <w:rsid w:val="006A37B5"/>
    <w:rsid w:val="006A61A4"/>
    <w:rsid w:val="006C1408"/>
    <w:rsid w:val="006D3F67"/>
    <w:rsid w:val="006E2939"/>
    <w:rsid w:val="006E44B8"/>
    <w:rsid w:val="006E5EA1"/>
    <w:rsid w:val="00704289"/>
    <w:rsid w:val="0076327C"/>
    <w:rsid w:val="00763ECC"/>
    <w:rsid w:val="007B2A6D"/>
    <w:rsid w:val="007B6409"/>
    <w:rsid w:val="007D6A0E"/>
    <w:rsid w:val="007F4659"/>
    <w:rsid w:val="00802DA3"/>
    <w:rsid w:val="00804E00"/>
    <w:rsid w:val="00806665"/>
    <w:rsid w:val="00815FF3"/>
    <w:rsid w:val="00830F06"/>
    <w:rsid w:val="00832142"/>
    <w:rsid w:val="00835134"/>
    <w:rsid w:val="00842C1A"/>
    <w:rsid w:val="00857BC1"/>
    <w:rsid w:val="00874223"/>
    <w:rsid w:val="0089190C"/>
    <w:rsid w:val="008B72AE"/>
    <w:rsid w:val="008B796D"/>
    <w:rsid w:val="008C2798"/>
    <w:rsid w:val="008D49EF"/>
    <w:rsid w:val="00900789"/>
    <w:rsid w:val="009007A6"/>
    <w:rsid w:val="00911AF8"/>
    <w:rsid w:val="00913FF8"/>
    <w:rsid w:val="00915605"/>
    <w:rsid w:val="00920D13"/>
    <w:rsid w:val="00923CAB"/>
    <w:rsid w:val="00924700"/>
    <w:rsid w:val="009A4F52"/>
    <w:rsid w:val="009C57C6"/>
    <w:rsid w:val="009D5A45"/>
    <w:rsid w:val="009D7A72"/>
    <w:rsid w:val="009F0D12"/>
    <w:rsid w:val="009F2E51"/>
    <w:rsid w:val="009F4E3F"/>
    <w:rsid w:val="009F74C2"/>
    <w:rsid w:val="00A008CA"/>
    <w:rsid w:val="00A30926"/>
    <w:rsid w:val="00A56542"/>
    <w:rsid w:val="00A603A6"/>
    <w:rsid w:val="00A63E9D"/>
    <w:rsid w:val="00A8460D"/>
    <w:rsid w:val="00A85575"/>
    <w:rsid w:val="00AA0C48"/>
    <w:rsid w:val="00AA5ED5"/>
    <w:rsid w:val="00AB003F"/>
    <w:rsid w:val="00AB2EAC"/>
    <w:rsid w:val="00AC6D0C"/>
    <w:rsid w:val="00AF2149"/>
    <w:rsid w:val="00B22327"/>
    <w:rsid w:val="00B502EC"/>
    <w:rsid w:val="00B73900"/>
    <w:rsid w:val="00B7642F"/>
    <w:rsid w:val="00B87084"/>
    <w:rsid w:val="00B94DBA"/>
    <w:rsid w:val="00BA6F89"/>
    <w:rsid w:val="00BA7CED"/>
    <w:rsid w:val="00BB3908"/>
    <w:rsid w:val="00BB61F8"/>
    <w:rsid w:val="00BC5E50"/>
    <w:rsid w:val="00BF2DE5"/>
    <w:rsid w:val="00C15E83"/>
    <w:rsid w:val="00C161B3"/>
    <w:rsid w:val="00C2195E"/>
    <w:rsid w:val="00C21EA4"/>
    <w:rsid w:val="00C22E7C"/>
    <w:rsid w:val="00C352F3"/>
    <w:rsid w:val="00C441B3"/>
    <w:rsid w:val="00C5728A"/>
    <w:rsid w:val="00C62359"/>
    <w:rsid w:val="00C8063B"/>
    <w:rsid w:val="00C9117C"/>
    <w:rsid w:val="00CE4435"/>
    <w:rsid w:val="00CF27D4"/>
    <w:rsid w:val="00CF2F28"/>
    <w:rsid w:val="00CF6BDE"/>
    <w:rsid w:val="00D03AA4"/>
    <w:rsid w:val="00D16B81"/>
    <w:rsid w:val="00D34136"/>
    <w:rsid w:val="00D363A8"/>
    <w:rsid w:val="00D570FE"/>
    <w:rsid w:val="00D636EF"/>
    <w:rsid w:val="00D64477"/>
    <w:rsid w:val="00DA56AC"/>
    <w:rsid w:val="00DB5A10"/>
    <w:rsid w:val="00E02ABF"/>
    <w:rsid w:val="00E13039"/>
    <w:rsid w:val="00E14AC6"/>
    <w:rsid w:val="00E349B1"/>
    <w:rsid w:val="00E3542E"/>
    <w:rsid w:val="00E40BA9"/>
    <w:rsid w:val="00E51FAC"/>
    <w:rsid w:val="00E5675C"/>
    <w:rsid w:val="00E8555E"/>
    <w:rsid w:val="00E90970"/>
    <w:rsid w:val="00E96739"/>
    <w:rsid w:val="00EA31B0"/>
    <w:rsid w:val="00EA5213"/>
    <w:rsid w:val="00EC2755"/>
    <w:rsid w:val="00EC606F"/>
    <w:rsid w:val="00EC75B4"/>
    <w:rsid w:val="00EF303F"/>
    <w:rsid w:val="00F042AA"/>
    <w:rsid w:val="00F04E1E"/>
    <w:rsid w:val="00F41BA6"/>
    <w:rsid w:val="00F54318"/>
    <w:rsid w:val="00F557AE"/>
    <w:rsid w:val="00F56067"/>
    <w:rsid w:val="00F65A7F"/>
    <w:rsid w:val="00F77D0C"/>
    <w:rsid w:val="00F856C9"/>
    <w:rsid w:val="00F92EDE"/>
    <w:rsid w:val="00F96F5E"/>
    <w:rsid w:val="00FA7540"/>
    <w:rsid w:val="00FB2352"/>
    <w:rsid w:val="00FC20D0"/>
    <w:rsid w:val="00FC33EF"/>
    <w:rsid w:val="00FC4084"/>
    <w:rsid w:val="00FF2C25"/>
    <w:rsid w:val="00FF480F"/>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6650-14F2-4410-AA06-9C3DA6B3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Alex Sadowski</cp:lastModifiedBy>
  <cp:revision>11</cp:revision>
  <cp:lastPrinted>2015-11-12T19:19:00Z</cp:lastPrinted>
  <dcterms:created xsi:type="dcterms:W3CDTF">2016-02-04T19:19:00Z</dcterms:created>
  <dcterms:modified xsi:type="dcterms:W3CDTF">2016-02-04T21:51:00Z</dcterms:modified>
</cp:coreProperties>
</file>