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5" w:type="dxa"/>
        <w:tblLook w:val="04A0" w:firstRow="1" w:lastRow="0" w:firstColumn="1" w:lastColumn="0" w:noHBand="0" w:noVBand="1"/>
      </w:tblPr>
      <w:tblGrid>
        <w:gridCol w:w="3325"/>
        <w:gridCol w:w="2247"/>
        <w:gridCol w:w="2343"/>
        <w:gridCol w:w="2880"/>
      </w:tblGrid>
      <w:tr w:rsidR="00571012" w:rsidTr="00B74A43">
        <w:tc>
          <w:tcPr>
            <w:tcW w:w="3325" w:type="dxa"/>
          </w:tcPr>
          <w:p w:rsidR="006B50DC" w:rsidRPr="00571012" w:rsidRDefault="007E16B7" w:rsidP="006B50DC">
            <w:pPr>
              <w:rPr>
                <w:sz w:val="20"/>
              </w:rPr>
            </w:pPr>
            <w:r w:rsidRPr="00571012">
              <w:rPr>
                <w:sz w:val="20"/>
              </w:rPr>
              <w:t>Walt Disney Co.</w:t>
            </w:r>
          </w:p>
          <w:p w:rsidR="006B50DC" w:rsidRPr="00571012" w:rsidRDefault="006B50DC" w:rsidP="006B50DC">
            <w:pPr>
              <w:rPr>
                <w:sz w:val="20"/>
              </w:rPr>
            </w:pPr>
            <w:r w:rsidRPr="00571012">
              <w:rPr>
                <w:sz w:val="20"/>
              </w:rPr>
              <w:t xml:space="preserve">Ticker: </w:t>
            </w:r>
            <w:r w:rsidR="007E16B7" w:rsidRPr="00571012">
              <w:rPr>
                <w:sz w:val="20"/>
              </w:rPr>
              <w:t>DIS</w:t>
            </w:r>
            <w:r w:rsidRPr="00571012">
              <w:rPr>
                <w:sz w:val="20"/>
              </w:rPr>
              <w:t xml:space="preserve"> </w:t>
            </w:r>
          </w:p>
          <w:p w:rsidR="006B50DC" w:rsidRPr="00571012" w:rsidRDefault="006B50DC" w:rsidP="006B50DC">
            <w:pPr>
              <w:rPr>
                <w:sz w:val="20"/>
              </w:rPr>
            </w:pPr>
            <w:r w:rsidRPr="00571012">
              <w:rPr>
                <w:sz w:val="20"/>
              </w:rPr>
              <w:t xml:space="preserve">Sector: </w:t>
            </w:r>
            <w:r w:rsidR="007E16B7" w:rsidRPr="00571012">
              <w:rPr>
                <w:sz w:val="20"/>
              </w:rPr>
              <w:t>Consumer Discretionary</w:t>
            </w:r>
          </w:p>
          <w:p w:rsidR="006B50DC" w:rsidRPr="00571012" w:rsidRDefault="007E16B7" w:rsidP="007E16B7">
            <w:pPr>
              <w:rPr>
                <w:sz w:val="20"/>
              </w:rPr>
            </w:pPr>
            <w:r w:rsidRPr="00571012">
              <w:rPr>
                <w:sz w:val="20"/>
              </w:rPr>
              <w:t xml:space="preserve">Industry: </w:t>
            </w:r>
            <w:r w:rsidR="00B74A43" w:rsidRPr="00571012">
              <w:rPr>
                <w:sz w:val="20"/>
              </w:rPr>
              <w:t xml:space="preserve">Media &amp; </w:t>
            </w:r>
            <w:r w:rsidRPr="00571012">
              <w:rPr>
                <w:sz w:val="20"/>
              </w:rPr>
              <w:t>Entertainment</w:t>
            </w:r>
          </w:p>
        </w:tc>
        <w:tc>
          <w:tcPr>
            <w:tcW w:w="2247" w:type="dxa"/>
          </w:tcPr>
          <w:p w:rsidR="006B50DC" w:rsidRPr="00571012" w:rsidRDefault="008C4BC3" w:rsidP="006B50DC">
            <w:pPr>
              <w:rPr>
                <w:sz w:val="20"/>
              </w:rPr>
            </w:pPr>
            <w:r w:rsidRPr="00571012">
              <w:rPr>
                <w:sz w:val="20"/>
              </w:rPr>
              <w:t>Intrinsic Value:</w:t>
            </w:r>
            <w:r w:rsidR="00376776">
              <w:rPr>
                <w:sz w:val="20"/>
              </w:rPr>
              <w:t xml:space="preserve"> 128</w:t>
            </w:r>
          </w:p>
          <w:p w:rsidR="008C4BC3" w:rsidRPr="00571012" w:rsidRDefault="008C4BC3" w:rsidP="006B50DC">
            <w:pPr>
              <w:rPr>
                <w:sz w:val="20"/>
              </w:rPr>
            </w:pPr>
            <w:r w:rsidRPr="00571012">
              <w:rPr>
                <w:sz w:val="20"/>
              </w:rPr>
              <w:t>Current Price:</w:t>
            </w:r>
            <w:r w:rsidR="00301836">
              <w:rPr>
                <w:sz w:val="20"/>
              </w:rPr>
              <w:t xml:space="preserve"> </w:t>
            </w:r>
            <w:r w:rsidR="00571012">
              <w:rPr>
                <w:sz w:val="20"/>
              </w:rPr>
              <w:t>110.09</w:t>
            </w:r>
          </w:p>
          <w:p w:rsidR="008C4BC3" w:rsidRPr="00571012" w:rsidRDefault="008C4BC3" w:rsidP="006B50DC">
            <w:pPr>
              <w:rPr>
                <w:sz w:val="20"/>
              </w:rPr>
            </w:pPr>
            <w:r w:rsidRPr="00571012">
              <w:rPr>
                <w:sz w:val="20"/>
              </w:rPr>
              <w:t>Stop Loss:</w:t>
            </w:r>
            <w:r w:rsidR="0057223D">
              <w:rPr>
                <w:sz w:val="20"/>
              </w:rPr>
              <w:t xml:space="preserve"> 91</w:t>
            </w:r>
          </w:p>
          <w:p w:rsidR="008C4BC3" w:rsidRPr="00571012" w:rsidRDefault="008C4BC3" w:rsidP="006B50DC">
            <w:pPr>
              <w:rPr>
                <w:sz w:val="20"/>
              </w:rPr>
            </w:pPr>
            <w:r w:rsidRPr="00571012">
              <w:rPr>
                <w:sz w:val="20"/>
              </w:rPr>
              <w:t>Upside Review:</w:t>
            </w:r>
            <w:r w:rsidR="00376776">
              <w:rPr>
                <w:sz w:val="20"/>
              </w:rPr>
              <w:t>140</w:t>
            </w:r>
          </w:p>
        </w:tc>
        <w:tc>
          <w:tcPr>
            <w:tcW w:w="2343" w:type="dxa"/>
          </w:tcPr>
          <w:p w:rsidR="006B50DC" w:rsidRPr="00571012" w:rsidRDefault="002311A9" w:rsidP="00BB31A2">
            <w:pPr>
              <w:rPr>
                <w:sz w:val="20"/>
              </w:rPr>
            </w:pPr>
            <w:r w:rsidRPr="00571012">
              <w:rPr>
                <w:sz w:val="20"/>
              </w:rPr>
              <w:t>TTM P/E:</w:t>
            </w:r>
            <w:r w:rsidR="00301836">
              <w:rPr>
                <w:sz w:val="20"/>
              </w:rPr>
              <w:t xml:space="preserve"> 22.8</w:t>
            </w:r>
          </w:p>
          <w:p w:rsidR="002311A9" w:rsidRPr="00571012" w:rsidRDefault="002311A9" w:rsidP="00BB31A2">
            <w:pPr>
              <w:rPr>
                <w:sz w:val="20"/>
              </w:rPr>
            </w:pPr>
            <w:r w:rsidRPr="00571012">
              <w:rPr>
                <w:sz w:val="20"/>
              </w:rPr>
              <w:t>Forward P/E</w:t>
            </w:r>
            <w:r w:rsidR="001A5B30" w:rsidRPr="00571012">
              <w:rPr>
                <w:sz w:val="20"/>
              </w:rPr>
              <w:t>:</w:t>
            </w:r>
            <w:r w:rsidR="00045095">
              <w:rPr>
                <w:sz w:val="20"/>
              </w:rPr>
              <w:t xml:space="preserve"> 19.67</w:t>
            </w:r>
          </w:p>
          <w:p w:rsidR="002311A9" w:rsidRPr="00571012" w:rsidRDefault="002311A9" w:rsidP="00BB31A2">
            <w:pPr>
              <w:rPr>
                <w:sz w:val="20"/>
              </w:rPr>
            </w:pPr>
            <w:r w:rsidRPr="00571012">
              <w:rPr>
                <w:sz w:val="20"/>
              </w:rPr>
              <w:t>Beta:</w:t>
            </w:r>
            <w:r w:rsidR="00045095">
              <w:rPr>
                <w:sz w:val="20"/>
              </w:rPr>
              <w:t xml:space="preserve"> 1.13</w:t>
            </w:r>
            <w:r w:rsidR="00301836">
              <w:rPr>
                <w:sz w:val="20"/>
              </w:rPr>
              <w:tab/>
            </w:r>
          </w:p>
        </w:tc>
        <w:tc>
          <w:tcPr>
            <w:tcW w:w="2880" w:type="dxa"/>
          </w:tcPr>
          <w:p w:rsidR="006B50DC" w:rsidRPr="00571012" w:rsidRDefault="002311A9" w:rsidP="006B50DC">
            <w:pPr>
              <w:rPr>
                <w:sz w:val="20"/>
              </w:rPr>
            </w:pPr>
            <w:r w:rsidRPr="00571012">
              <w:rPr>
                <w:sz w:val="20"/>
              </w:rPr>
              <w:t>Market Cap:</w:t>
            </w:r>
            <w:r w:rsidR="00301836">
              <w:rPr>
                <w:sz w:val="20"/>
              </w:rPr>
              <w:t xml:space="preserve"> </w:t>
            </w:r>
            <w:r w:rsidR="001A5B30" w:rsidRPr="00571012">
              <w:rPr>
                <w:sz w:val="20"/>
              </w:rPr>
              <w:t>$</w:t>
            </w:r>
            <w:r w:rsidR="00301836">
              <w:rPr>
                <w:sz w:val="20"/>
              </w:rPr>
              <w:t>185</w:t>
            </w:r>
            <w:r w:rsidR="001A5B30" w:rsidRPr="00571012">
              <w:rPr>
                <w:sz w:val="20"/>
              </w:rPr>
              <w:t>,</w:t>
            </w:r>
            <w:r w:rsidR="00301836">
              <w:rPr>
                <w:sz w:val="20"/>
              </w:rPr>
              <w:t>816.3</w:t>
            </w:r>
            <w:r w:rsidR="001A5B30" w:rsidRPr="00571012">
              <w:rPr>
                <w:sz w:val="20"/>
              </w:rPr>
              <w:t>(M)</w:t>
            </w:r>
          </w:p>
          <w:p w:rsidR="002311A9" w:rsidRPr="00571012" w:rsidRDefault="00301836" w:rsidP="006B50DC">
            <w:pPr>
              <w:rPr>
                <w:sz w:val="20"/>
              </w:rPr>
            </w:pPr>
            <w:r>
              <w:rPr>
                <w:sz w:val="20"/>
              </w:rPr>
              <w:t>Dividend Yield:</w:t>
            </w:r>
            <w:r w:rsidR="001A5B30" w:rsidRPr="00571012">
              <w:rPr>
                <w:sz w:val="20"/>
              </w:rPr>
              <w:t xml:space="preserve"> </w:t>
            </w:r>
            <w:r>
              <w:rPr>
                <w:sz w:val="20"/>
              </w:rPr>
              <w:t>1.2%</w:t>
            </w:r>
          </w:p>
          <w:p w:rsidR="002311A9" w:rsidRPr="00571012" w:rsidRDefault="001A5B30" w:rsidP="001A5B30">
            <w:pPr>
              <w:rPr>
                <w:sz w:val="20"/>
              </w:rPr>
            </w:pPr>
            <w:r w:rsidRPr="00571012">
              <w:rPr>
                <w:sz w:val="20"/>
              </w:rPr>
              <w:t xml:space="preserve">52 </w:t>
            </w:r>
            <w:proofErr w:type="spellStart"/>
            <w:r w:rsidRPr="00571012">
              <w:rPr>
                <w:sz w:val="20"/>
              </w:rPr>
              <w:t>Wk</w:t>
            </w:r>
            <w:proofErr w:type="spellEnd"/>
            <w:r w:rsidRPr="00571012">
              <w:rPr>
                <w:sz w:val="20"/>
              </w:rPr>
              <w:t xml:space="preserve"> Range</w:t>
            </w:r>
            <w:r w:rsidR="00301836">
              <w:rPr>
                <w:sz w:val="20"/>
              </w:rPr>
              <w:t>: 86.98-122.08</w:t>
            </w:r>
          </w:p>
        </w:tc>
      </w:tr>
      <w:tr w:rsidR="00571012" w:rsidTr="00BB31A2">
        <w:tc>
          <w:tcPr>
            <w:tcW w:w="5572" w:type="dxa"/>
            <w:gridSpan w:val="2"/>
          </w:tcPr>
          <w:p w:rsidR="001A5B30" w:rsidRPr="00571012" w:rsidRDefault="001A5B30" w:rsidP="00E42196">
            <w:pPr>
              <w:jc w:val="both"/>
              <w:rPr>
                <w:rFonts w:ascii="Arial" w:hAnsi="Arial" w:cs="Arial"/>
                <w:sz w:val="20"/>
              </w:rPr>
            </w:pPr>
            <w:r w:rsidRPr="00571012">
              <w:rPr>
                <w:b/>
                <w:sz w:val="20"/>
              </w:rPr>
              <w:t>Business Summary:</w:t>
            </w:r>
            <w:r w:rsidRPr="00571012">
              <w:rPr>
                <w:sz w:val="20"/>
              </w:rPr>
              <w:t xml:space="preserve"> </w:t>
            </w:r>
            <w:r w:rsidR="00B74A43" w:rsidRPr="00571012">
              <w:rPr>
                <w:sz w:val="20"/>
              </w:rPr>
              <w:t>Disney is a leading media conglomerate with key operations in theme parks, television, film, and merchandise licensing. Theme parks and Resort segment includes parks in the U.S., Europe, and Hong Kong as well as a cruise line. Another park is scheduled to open in China in 2016. Their media networks include ABC, ESPN, The Disney Channel, and ABC Family. Studio films are made under the Disney, Pixar, Marve</w:t>
            </w:r>
            <w:r w:rsidR="00E42196" w:rsidRPr="00571012">
              <w:rPr>
                <w:sz w:val="20"/>
              </w:rPr>
              <w:t xml:space="preserve">l, and </w:t>
            </w:r>
            <w:proofErr w:type="spellStart"/>
            <w:r w:rsidR="00E42196" w:rsidRPr="00571012">
              <w:rPr>
                <w:sz w:val="20"/>
              </w:rPr>
              <w:t>LucasFilm</w:t>
            </w:r>
            <w:proofErr w:type="spellEnd"/>
            <w:r w:rsidR="00E42196" w:rsidRPr="00571012">
              <w:rPr>
                <w:sz w:val="20"/>
              </w:rPr>
              <w:t xml:space="preserve"> brands. Consumer products include merchandise licensing, books, video games, and retail stores.</w:t>
            </w:r>
          </w:p>
          <w:p w:rsidR="001A5B30" w:rsidRPr="00571012" w:rsidRDefault="001A5B30" w:rsidP="00F06D99">
            <w:pPr>
              <w:rPr>
                <w:sz w:val="20"/>
              </w:rPr>
            </w:pPr>
            <w:r w:rsidRPr="00571012">
              <w:rPr>
                <w:b/>
                <w:sz w:val="20"/>
              </w:rPr>
              <w:t xml:space="preserve">Industry Trends: </w:t>
            </w:r>
            <w:r w:rsidR="00F06D99" w:rsidRPr="00571012">
              <w:rPr>
                <w:b/>
                <w:sz w:val="20"/>
              </w:rPr>
              <w:t xml:space="preserve"> </w:t>
            </w:r>
            <w:r w:rsidR="00F06D99" w:rsidRPr="00571012">
              <w:rPr>
                <w:sz w:val="20"/>
              </w:rPr>
              <w:t xml:space="preserve">Revenues have </w:t>
            </w:r>
            <w:r w:rsidR="004C6003" w:rsidRPr="00571012">
              <w:rPr>
                <w:sz w:val="20"/>
              </w:rPr>
              <w:t xml:space="preserve">been on an upward trajectory since the Great Recession. </w:t>
            </w:r>
            <w:r w:rsidR="00F06D99" w:rsidRPr="00571012">
              <w:rPr>
                <w:sz w:val="20"/>
              </w:rPr>
              <w:t xml:space="preserve"> </w:t>
            </w:r>
            <w:r w:rsidR="004C6003" w:rsidRPr="00571012">
              <w:rPr>
                <w:sz w:val="20"/>
              </w:rPr>
              <w:t xml:space="preserve">This is due to organic growth from strengthening macroeconomic factors as well as a wave of M&amp;A activity. TV programming costs have been rising. Subscriber bases have been declining due to the secular trend of ‘cord-cutting’ and a-la-carte media consumption. </w:t>
            </w:r>
            <w:r w:rsidR="00F06D99" w:rsidRPr="00571012">
              <w:rPr>
                <w:sz w:val="20"/>
              </w:rPr>
              <w:t xml:space="preserve"> </w:t>
            </w:r>
          </w:p>
          <w:p w:rsidR="00B94F1F" w:rsidRPr="00571012" w:rsidRDefault="00F06D99" w:rsidP="00571012">
            <w:pPr>
              <w:rPr>
                <w:sz w:val="20"/>
              </w:rPr>
            </w:pPr>
            <w:r w:rsidRPr="00571012">
              <w:rPr>
                <w:b/>
                <w:sz w:val="20"/>
              </w:rPr>
              <w:t>Investment Thesis:</w:t>
            </w:r>
            <w:r w:rsidRPr="00571012">
              <w:rPr>
                <w:sz w:val="20"/>
              </w:rPr>
              <w:t xml:space="preserve"> </w:t>
            </w:r>
            <w:r w:rsidR="004C6003" w:rsidRPr="00571012">
              <w:rPr>
                <w:sz w:val="20"/>
              </w:rPr>
              <w:t>As consumer confidence continues to increase, there should be growing demand for the Disney’s content</w:t>
            </w:r>
            <w:r w:rsidR="00B94F1F" w:rsidRPr="00571012">
              <w:rPr>
                <w:sz w:val="20"/>
              </w:rPr>
              <w:t xml:space="preserve">. Strong EOY coming with first new Star Wars movie in ten years. Disney is well positioned to remain leader in industry and trade at premium multiples. Recent price drop creates opportunity for near-term return </w:t>
            </w:r>
            <w:r w:rsidR="00571012">
              <w:rPr>
                <w:sz w:val="20"/>
              </w:rPr>
              <w:t>as well as long term</w:t>
            </w:r>
            <w:r w:rsidR="00B94F1F" w:rsidRPr="00571012">
              <w:rPr>
                <w:sz w:val="20"/>
              </w:rPr>
              <w:t>.</w:t>
            </w:r>
          </w:p>
        </w:tc>
        <w:tc>
          <w:tcPr>
            <w:tcW w:w="5223" w:type="dxa"/>
            <w:gridSpan w:val="2"/>
          </w:tcPr>
          <w:p w:rsidR="0091015D" w:rsidRPr="00571012" w:rsidRDefault="00760BC0" w:rsidP="00114D7C">
            <w:pPr>
              <w:rPr>
                <w:sz w:val="20"/>
              </w:rPr>
            </w:pPr>
            <w:r w:rsidRPr="00571012">
              <w:rPr>
                <w:b/>
                <w:sz w:val="20"/>
              </w:rPr>
              <w:t>Competitive Analysis:</w:t>
            </w:r>
            <w:r w:rsidRPr="00571012">
              <w:rPr>
                <w:sz w:val="20"/>
              </w:rPr>
              <w:t xml:space="preserve"> </w:t>
            </w:r>
            <w:r w:rsidR="0091015D" w:rsidRPr="00571012">
              <w:rPr>
                <w:sz w:val="20"/>
              </w:rPr>
              <w:t>Disney is the premier brand in entertainment. Their strategy as a content creator rather than content delivery should help them withstand changes to media delivery over the next few years. ESPN stands to be hit the hardest by switch to a-la-carte media consumption and Disney has already begun cost-cutting measures to prepare for possible lower revenues. Acquisitions of Marvel and the Star Wars franchise has created a strong pipeline of films for the next five years, with benefits also to the theme parks, television content, and consumer products segments.</w:t>
            </w:r>
          </w:p>
          <w:p w:rsidR="00114D7C" w:rsidRPr="00571012" w:rsidRDefault="00114D7C" w:rsidP="00114D7C">
            <w:pPr>
              <w:rPr>
                <w:sz w:val="20"/>
              </w:rPr>
            </w:pPr>
            <w:r w:rsidRPr="00571012">
              <w:rPr>
                <w:b/>
                <w:sz w:val="20"/>
              </w:rPr>
              <w:t xml:space="preserve">Pros: </w:t>
            </w:r>
          </w:p>
          <w:p w:rsidR="00114D7C" w:rsidRPr="00571012" w:rsidRDefault="0091015D" w:rsidP="00114D7C">
            <w:pPr>
              <w:pStyle w:val="ListParagraph"/>
              <w:numPr>
                <w:ilvl w:val="0"/>
                <w:numId w:val="1"/>
              </w:numPr>
              <w:ind w:left="345"/>
              <w:rPr>
                <w:sz w:val="20"/>
              </w:rPr>
            </w:pPr>
            <w:r w:rsidRPr="00571012">
              <w:rPr>
                <w:sz w:val="20"/>
              </w:rPr>
              <w:t xml:space="preserve">Rising consumer confidence </w:t>
            </w:r>
          </w:p>
          <w:p w:rsidR="00B94F1F" w:rsidRPr="00571012" w:rsidRDefault="0091015D" w:rsidP="00B94F1F">
            <w:pPr>
              <w:pStyle w:val="ListParagraph"/>
              <w:numPr>
                <w:ilvl w:val="0"/>
                <w:numId w:val="1"/>
              </w:numPr>
              <w:ind w:left="345"/>
              <w:rPr>
                <w:b/>
                <w:sz w:val="20"/>
              </w:rPr>
            </w:pPr>
            <w:r w:rsidRPr="00571012">
              <w:rPr>
                <w:sz w:val="20"/>
              </w:rPr>
              <w:t xml:space="preserve">Strong brands </w:t>
            </w:r>
            <w:r w:rsidR="00B94F1F" w:rsidRPr="00571012">
              <w:rPr>
                <w:sz w:val="20"/>
              </w:rPr>
              <w:t>with loyal fans</w:t>
            </w:r>
          </w:p>
          <w:p w:rsidR="00B94F1F" w:rsidRPr="00571012" w:rsidRDefault="00B94F1F" w:rsidP="00571012">
            <w:pPr>
              <w:pStyle w:val="ListParagraph"/>
              <w:numPr>
                <w:ilvl w:val="0"/>
                <w:numId w:val="1"/>
              </w:numPr>
              <w:ind w:left="345"/>
              <w:rPr>
                <w:b/>
                <w:sz w:val="20"/>
              </w:rPr>
            </w:pPr>
            <w:r w:rsidRPr="00571012">
              <w:rPr>
                <w:sz w:val="20"/>
              </w:rPr>
              <w:t>Pipeline of content</w:t>
            </w:r>
            <w:r w:rsidR="00571012" w:rsidRPr="00571012">
              <w:rPr>
                <w:sz w:val="20"/>
              </w:rPr>
              <w:t xml:space="preserve"> leading to growth across segments</w:t>
            </w:r>
          </w:p>
          <w:p w:rsidR="00114D7C" w:rsidRPr="00571012" w:rsidRDefault="00114D7C" w:rsidP="00571012">
            <w:pPr>
              <w:rPr>
                <w:b/>
                <w:sz w:val="20"/>
              </w:rPr>
            </w:pPr>
            <w:r w:rsidRPr="00571012">
              <w:rPr>
                <w:b/>
                <w:sz w:val="20"/>
              </w:rPr>
              <w:t>Risk Factors:</w:t>
            </w:r>
          </w:p>
          <w:p w:rsidR="00BB31A2" w:rsidRPr="00571012" w:rsidRDefault="00B94F1F" w:rsidP="00BB31A2">
            <w:pPr>
              <w:pStyle w:val="ListParagraph"/>
              <w:numPr>
                <w:ilvl w:val="0"/>
                <w:numId w:val="2"/>
              </w:numPr>
              <w:ind w:left="345"/>
              <w:rPr>
                <w:b/>
                <w:sz w:val="20"/>
              </w:rPr>
            </w:pPr>
            <w:r w:rsidRPr="00571012">
              <w:rPr>
                <w:sz w:val="20"/>
              </w:rPr>
              <w:t>Capital intensive theme park business</w:t>
            </w:r>
          </w:p>
          <w:p w:rsidR="00571012" w:rsidRPr="00571012" w:rsidRDefault="00B94F1F" w:rsidP="00BB31A2">
            <w:pPr>
              <w:pStyle w:val="ListParagraph"/>
              <w:numPr>
                <w:ilvl w:val="0"/>
                <w:numId w:val="2"/>
              </w:numPr>
              <w:ind w:left="345"/>
              <w:rPr>
                <w:b/>
                <w:sz w:val="20"/>
              </w:rPr>
            </w:pPr>
            <w:r w:rsidRPr="00571012">
              <w:rPr>
                <w:sz w:val="20"/>
              </w:rPr>
              <w:t>Abrupt shift to a-la-carte cable television structure</w:t>
            </w:r>
          </w:p>
          <w:p w:rsidR="00BB31A2" w:rsidRPr="00571012" w:rsidRDefault="00571012" w:rsidP="00BB31A2">
            <w:pPr>
              <w:pStyle w:val="ListParagraph"/>
              <w:numPr>
                <w:ilvl w:val="0"/>
                <w:numId w:val="2"/>
              </w:numPr>
              <w:ind w:left="345"/>
              <w:rPr>
                <w:b/>
                <w:sz w:val="20"/>
              </w:rPr>
            </w:pPr>
            <w:r w:rsidRPr="00571012">
              <w:rPr>
                <w:sz w:val="20"/>
              </w:rPr>
              <w:t>Downturn in consumer spending hurts all aspects of business</w:t>
            </w:r>
            <w:r w:rsidR="00B94F1F" w:rsidRPr="00571012">
              <w:rPr>
                <w:sz w:val="20"/>
              </w:rPr>
              <w:t xml:space="preserve"> </w:t>
            </w:r>
          </w:p>
          <w:p w:rsidR="00BB31A2" w:rsidRPr="00571012" w:rsidRDefault="00BB31A2" w:rsidP="00BB31A2">
            <w:pPr>
              <w:ind w:left="-15"/>
              <w:rPr>
                <w:b/>
                <w:sz w:val="20"/>
              </w:rPr>
            </w:pPr>
          </w:p>
        </w:tc>
      </w:tr>
      <w:tr w:rsidR="00571012" w:rsidTr="00BB31A2">
        <w:tc>
          <w:tcPr>
            <w:tcW w:w="5572" w:type="dxa"/>
            <w:gridSpan w:val="2"/>
          </w:tcPr>
          <w:p w:rsidR="00BB31A2" w:rsidRPr="00571012" w:rsidRDefault="00BB31A2" w:rsidP="006B50DC">
            <w:pPr>
              <w:rPr>
                <w:b/>
              </w:rPr>
            </w:pPr>
            <w:r w:rsidRPr="00571012">
              <w:rPr>
                <w:b/>
              </w:rPr>
              <w:t>5 Year Stock Performance:</w:t>
            </w:r>
          </w:p>
          <w:p w:rsidR="00BB31A2" w:rsidRPr="00BB31A2" w:rsidRDefault="00571012" w:rsidP="001608C0">
            <w:r>
              <w:rPr>
                <w:noProof/>
              </w:rPr>
              <w:drawing>
                <wp:inline distT="0" distB="0" distL="0" distR="0" wp14:anchorId="1667BB26" wp14:editId="35C4DB8D">
                  <wp:extent cx="3390900" cy="302141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4520" cy="3033552"/>
                          </a:xfrm>
                          <a:prstGeom prst="rect">
                            <a:avLst/>
                          </a:prstGeom>
                        </pic:spPr>
                      </pic:pic>
                    </a:graphicData>
                  </a:graphic>
                </wp:inline>
              </w:drawing>
            </w:r>
          </w:p>
        </w:tc>
        <w:tc>
          <w:tcPr>
            <w:tcW w:w="5223" w:type="dxa"/>
            <w:gridSpan w:val="2"/>
            <w:vMerge w:val="restart"/>
          </w:tcPr>
          <w:p w:rsidR="00571012" w:rsidRPr="00571012" w:rsidRDefault="00571012" w:rsidP="00571012">
            <w:pPr>
              <w:rPr>
                <w:b/>
                <w:sz w:val="20"/>
              </w:rPr>
            </w:pPr>
            <w:r w:rsidRPr="00571012">
              <w:rPr>
                <w:b/>
                <w:sz w:val="20"/>
              </w:rPr>
              <w:t>Key Valuation Assumption</w:t>
            </w:r>
          </w:p>
          <w:p w:rsidR="00571012" w:rsidRPr="00571012" w:rsidRDefault="00376776" w:rsidP="00571012">
            <w:pPr>
              <w:rPr>
                <w:sz w:val="20"/>
              </w:rPr>
            </w:pPr>
            <w:r>
              <w:rPr>
                <w:sz w:val="20"/>
              </w:rPr>
              <w:t>Est Revenue Growth: 8</w:t>
            </w:r>
            <w:r w:rsidR="00571012" w:rsidRPr="00571012">
              <w:rPr>
                <w:sz w:val="20"/>
              </w:rPr>
              <w:t>%</w:t>
            </w:r>
          </w:p>
          <w:p w:rsidR="00571012" w:rsidRPr="00571012" w:rsidRDefault="00301836" w:rsidP="00571012">
            <w:pPr>
              <w:rPr>
                <w:sz w:val="20"/>
              </w:rPr>
            </w:pPr>
            <w:r>
              <w:rPr>
                <w:sz w:val="20"/>
              </w:rPr>
              <w:t>WACC: 9.4</w:t>
            </w:r>
            <w:r w:rsidR="00571012" w:rsidRPr="00571012">
              <w:rPr>
                <w:sz w:val="20"/>
              </w:rPr>
              <w:t>%</w:t>
            </w:r>
          </w:p>
          <w:p w:rsidR="00571012" w:rsidRPr="00571012" w:rsidRDefault="00571012" w:rsidP="00571012">
            <w:pPr>
              <w:rPr>
                <w:sz w:val="20"/>
              </w:rPr>
            </w:pPr>
            <w:r w:rsidRPr="00571012">
              <w:rPr>
                <w:sz w:val="20"/>
              </w:rPr>
              <w:t xml:space="preserve">Expected Inflation: </w:t>
            </w:r>
            <w:r w:rsidR="00376776">
              <w:rPr>
                <w:sz w:val="20"/>
              </w:rPr>
              <w:t>1.8</w:t>
            </w:r>
            <w:r w:rsidRPr="00571012">
              <w:rPr>
                <w:sz w:val="20"/>
              </w:rPr>
              <w:t>%</w:t>
            </w:r>
          </w:p>
          <w:p w:rsidR="00571012" w:rsidRPr="00571012" w:rsidRDefault="00571012" w:rsidP="00571012">
            <w:pPr>
              <w:rPr>
                <w:sz w:val="20"/>
              </w:rPr>
            </w:pPr>
            <w:r w:rsidRPr="00571012">
              <w:rPr>
                <w:sz w:val="20"/>
              </w:rPr>
              <w:t>Terminal Growth Rate: 3.9%</w:t>
            </w:r>
          </w:p>
          <w:p w:rsidR="00571012" w:rsidRPr="00571012" w:rsidRDefault="00301836" w:rsidP="00571012">
            <w:pPr>
              <w:rPr>
                <w:sz w:val="20"/>
              </w:rPr>
            </w:pPr>
            <w:r>
              <w:rPr>
                <w:sz w:val="20"/>
              </w:rPr>
              <w:t xml:space="preserve">10 </w:t>
            </w:r>
            <w:proofErr w:type="spellStart"/>
            <w:r>
              <w:rPr>
                <w:sz w:val="20"/>
              </w:rPr>
              <w:t>Yr</w:t>
            </w:r>
            <w:proofErr w:type="spellEnd"/>
            <w:r>
              <w:rPr>
                <w:sz w:val="20"/>
              </w:rPr>
              <w:t xml:space="preserve"> Risk Free Rate: 2.02</w:t>
            </w:r>
            <w:r w:rsidR="00571012" w:rsidRPr="00571012">
              <w:rPr>
                <w:sz w:val="20"/>
              </w:rPr>
              <w:t>%</w:t>
            </w:r>
          </w:p>
          <w:p w:rsidR="00571012" w:rsidRPr="00571012" w:rsidRDefault="00571012" w:rsidP="00571012">
            <w:pPr>
              <w:rPr>
                <w:sz w:val="20"/>
              </w:rPr>
            </w:pPr>
            <w:r w:rsidRPr="00571012">
              <w:rPr>
                <w:sz w:val="20"/>
              </w:rPr>
              <w:t>Equity Risk Premium:</w:t>
            </w:r>
            <w:r w:rsidR="00301836">
              <w:rPr>
                <w:sz w:val="20"/>
              </w:rPr>
              <w:t xml:space="preserve"> 8.01%</w:t>
            </w:r>
          </w:p>
          <w:p w:rsidR="00571012" w:rsidRPr="00571012" w:rsidRDefault="00301836" w:rsidP="00571012">
            <w:pPr>
              <w:rPr>
                <w:sz w:val="20"/>
              </w:rPr>
            </w:pPr>
            <w:r>
              <w:rPr>
                <w:sz w:val="20"/>
              </w:rPr>
              <w:t>Tax Rate: 33.34</w:t>
            </w:r>
            <w:r w:rsidR="00571012" w:rsidRPr="00571012">
              <w:rPr>
                <w:sz w:val="20"/>
              </w:rPr>
              <w:t>%</w:t>
            </w:r>
          </w:p>
          <w:p w:rsidR="00571012" w:rsidRPr="00571012" w:rsidRDefault="00571012" w:rsidP="00571012">
            <w:pPr>
              <w:rPr>
                <w:b/>
                <w:sz w:val="20"/>
              </w:rPr>
            </w:pPr>
            <w:r w:rsidRPr="00571012">
              <w:rPr>
                <w:b/>
                <w:sz w:val="20"/>
              </w:rPr>
              <w:t xml:space="preserve"> Key Financial Data</w:t>
            </w:r>
          </w:p>
          <w:p w:rsidR="00571012" w:rsidRPr="00571012" w:rsidRDefault="00301836" w:rsidP="00571012">
            <w:pPr>
              <w:rPr>
                <w:sz w:val="20"/>
              </w:rPr>
            </w:pPr>
            <w:r>
              <w:rPr>
                <w:sz w:val="20"/>
              </w:rPr>
              <w:t xml:space="preserve">Est 2015 EPS: </w:t>
            </w:r>
            <w:r w:rsidR="00376776">
              <w:rPr>
                <w:sz w:val="20"/>
              </w:rPr>
              <w:t>5.08</w:t>
            </w:r>
          </w:p>
          <w:p w:rsidR="00301836" w:rsidRDefault="00571012" w:rsidP="00571012">
            <w:pPr>
              <w:rPr>
                <w:sz w:val="20"/>
              </w:rPr>
            </w:pPr>
            <w:r w:rsidRPr="00571012">
              <w:rPr>
                <w:sz w:val="20"/>
              </w:rPr>
              <w:t xml:space="preserve">Est 2016 EPS: </w:t>
            </w:r>
            <w:r w:rsidR="00376776">
              <w:rPr>
                <w:sz w:val="20"/>
              </w:rPr>
              <w:t>5.60</w:t>
            </w:r>
          </w:p>
          <w:p w:rsidR="00571012" w:rsidRPr="00571012" w:rsidRDefault="00571012" w:rsidP="00571012">
            <w:pPr>
              <w:rPr>
                <w:sz w:val="20"/>
              </w:rPr>
            </w:pPr>
            <w:r w:rsidRPr="00571012">
              <w:rPr>
                <w:sz w:val="20"/>
              </w:rPr>
              <w:t xml:space="preserve">2-5 </w:t>
            </w:r>
            <w:proofErr w:type="spellStart"/>
            <w:r w:rsidRPr="00571012">
              <w:rPr>
                <w:sz w:val="20"/>
              </w:rPr>
              <w:t>Yr</w:t>
            </w:r>
            <w:proofErr w:type="spellEnd"/>
            <w:r w:rsidRPr="00571012">
              <w:rPr>
                <w:sz w:val="20"/>
              </w:rPr>
              <w:t xml:space="preserve"> Est EPS Growth:</w:t>
            </w:r>
            <w:r w:rsidR="0072104B">
              <w:rPr>
                <w:sz w:val="20"/>
              </w:rPr>
              <w:t xml:space="preserve"> 8%</w:t>
            </w:r>
          </w:p>
          <w:p w:rsidR="00571012" w:rsidRPr="00571012" w:rsidRDefault="00301836" w:rsidP="00571012">
            <w:pPr>
              <w:rPr>
                <w:sz w:val="20"/>
              </w:rPr>
            </w:pPr>
            <w:r>
              <w:rPr>
                <w:sz w:val="20"/>
              </w:rPr>
              <w:t xml:space="preserve">PEG (TTM): </w:t>
            </w:r>
            <w:r w:rsidR="00376776">
              <w:rPr>
                <w:sz w:val="20"/>
              </w:rPr>
              <w:t>1.37</w:t>
            </w:r>
          </w:p>
          <w:p w:rsidR="00571012" w:rsidRPr="00571012" w:rsidRDefault="00571012" w:rsidP="00571012">
            <w:pPr>
              <w:rPr>
                <w:sz w:val="20"/>
              </w:rPr>
            </w:pPr>
            <w:r w:rsidRPr="00571012">
              <w:rPr>
                <w:sz w:val="20"/>
              </w:rPr>
              <w:t xml:space="preserve">Credit Quality: </w:t>
            </w:r>
            <w:r w:rsidR="00301836">
              <w:rPr>
                <w:sz w:val="20"/>
              </w:rPr>
              <w:t>A2 (Moody’s)</w:t>
            </w:r>
          </w:p>
          <w:p w:rsidR="00571012" w:rsidRPr="00571012" w:rsidRDefault="00301836" w:rsidP="00571012">
            <w:pPr>
              <w:rPr>
                <w:sz w:val="20"/>
              </w:rPr>
            </w:pPr>
            <w:r>
              <w:rPr>
                <w:sz w:val="20"/>
              </w:rPr>
              <w:t>ROE: 18.0%</w:t>
            </w:r>
          </w:p>
          <w:p w:rsidR="00571012" w:rsidRPr="00571012" w:rsidRDefault="00301836" w:rsidP="00571012">
            <w:pPr>
              <w:rPr>
                <w:sz w:val="20"/>
              </w:rPr>
            </w:pPr>
            <w:r>
              <w:rPr>
                <w:sz w:val="20"/>
              </w:rPr>
              <w:t>ROA: 9.7%</w:t>
            </w:r>
          </w:p>
          <w:p w:rsidR="00571012" w:rsidRPr="00571012" w:rsidRDefault="00571012" w:rsidP="00571012">
            <w:pPr>
              <w:rPr>
                <w:sz w:val="20"/>
              </w:rPr>
            </w:pPr>
            <w:r w:rsidRPr="00571012">
              <w:rPr>
                <w:sz w:val="20"/>
              </w:rPr>
              <w:t>Price/Book:</w:t>
            </w:r>
            <w:r w:rsidR="00301836">
              <w:rPr>
                <w:sz w:val="20"/>
              </w:rPr>
              <w:t xml:space="preserve"> 3.79</w:t>
            </w:r>
          </w:p>
          <w:p w:rsidR="00571012" w:rsidRPr="00571012" w:rsidRDefault="00571012" w:rsidP="00571012">
            <w:pPr>
              <w:rPr>
                <w:sz w:val="20"/>
              </w:rPr>
            </w:pPr>
            <w:r w:rsidRPr="00571012">
              <w:rPr>
                <w:sz w:val="20"/>
              </w:rPr>
              <w:t>Price/Cash Flow:</w:t>
            </w:r>
            <w:r w:rsidR="00301836">
              <w:rPr>
                <w:sz w:val="20"/>
              </w:rPr>
              <w:t xml:space="preserve"> 17.5</w:t>
            </w:r>
            <w:r w:rsidRPr="00571012">
              <w:rPr>
                <w:sz w:val="20"/>
              </w:rPr>
              <w:t xml:space="preserve"> </w:t>
            </w:r>
          </w:p>
          <w:p w:rsidR="00571012" w:rsidRPr="00571012" w:rsidRDefault="00301836" w:rsidP="00571012">
            <w:pPr>
              <w:rPr>
                <w:sz w:val="20"/>
              </w:rPr>
            </w:pPr>
            <w:r>
              <w:rPr>
                <w:sz w:val="20"/>
              </w:rPr>
              <w:t>Debt/Equity: 33.0%</w:t>
            </w:r>
          </w:p>
          <w:p w:rsidR="00571012" w:rsidRPr="00571012" w:rsidRDefault="00571012" w:rsidP="00571012">
            <w:pPr>
              <w:rPr>
                <w:sz w:val="20"/>
              </w:rPr>
            </w:pPr>
            <w:r w:rsidRPr="00571012">
              <w:rPr>
                <w:sz w:val="20"/>
              </w:rPr>
              <w:t xml:space="preserve">Current Ratio: </w:t>
            </w:r>
            <w:r w:rsidR="00301836">
              <w:rPr>
                <w:sz w:val="20"/>
              </w:rPr>
              <w:t>1.11</w:t>
            </w:r>
          </w:p>
          <w:p w:rsidR="00571012" w:rsidRPr="00571012" w:rsidRDefault="00301836" w:rsidP="00571012">
            <w:pPr>
              <w:rPr>
                <w:sz w:val="20"/>
              </w:rPr>
            </w:pPr>
            <w:r>
              <w:rPr>
                <w:sz w:val="20"/>
              </w:rPr>
              <w:t>Quick Ratio: 0.8</w:t>
            </w:r>
          </w:p>
          <w:p w:rsidR="00301836" w:rsidRPr="00571012" w:rsidRDefault="00571012" w:rsidP="00571012">
            <w:pPr>
              <w:rPr>
                <w:b/>
                <w:sz w:val="20"/>
              </w:rPr>
            </w:pPr>
            <w:r w:rsidRPr="00571012">
              <w:rPr>
                <w:b/>
                <w:sz w:val="20"/>
              </w:rPr>
              <w:t>CSR Characteristics</w:t>
            </w:r>
          </w:p>
          <w:p w:rsidR="00571012" w:rsidRDefault="00E8518C" w:rsidP="00571012">
            <w:pPr>
              <w:rPr>
                <w:sz w:val="20"/>
              </w:rPr>
            </w:pPr>
            <w:r>
              <w:rPr>
                <w:sz w:val="20"/>
              </w:rPr>
              <w:t>ESG Disclosure: 35.54/19.90</w:t>
            </w:r>
          </w:p>
          <w:p w:rsidR="00533190" w:rsidRDefault="00571012" w:rsidP="00571012">
            <w:pPr>
              <w:rPr>
                <w:sz w:val="20"/>
              </w:rPr>
            </w:pPr>
            <w:r w:rsidRPr="00571012">
              <w:rPr>
                <w:sz w:val="20"/>
              </w:rPr>
              <w:t>Envi</w:t>
            </w:r>
            <w:r w:rsidR="00E8518C">
              <w:rPr>
                <w:sz w:val="20"/>
              </w:rPr>
              <w:t>ronmental Disclosure Score: 23.26/12.79</w:t>
            </w:r>
          </w:p>
          <w:p w:rsidR="00AC3826" w:rsidRDefault="00AC3826" w:rsidP="00571012">
            <w:pPr>
              <w:rPr>
                <w:sz w:val="20"/>
              </w:rPr>
            </w:pPr>
            <w:r>
              <w:rPr>
                <w:sz w:val="20"/>
              </w:rPr>
              <w:t>Social Disclosure Score: 38.60/18.71</w:t>
            </w:r>
          </w:p>
          <w:p w:rsidR="00AC3826" w:rsidRDefault="00AC3826" w:rsidP="00571012">
            <w:pPr>
              <w:rPr>
                <w:sz w:val="20"/>
              </w:rPr>
            </w:pPr>
            <w:r>
              <w:rPr>
                <w:sz w:val="20"/>
              </w:rPr>
              <w:t>Governance Disclosure Score: 60.71/53.57</w:t>
            </w:r>
          </w:p>
          <w:p w:rsidR="003F4336" w:rsidRDefault="003F4336" w:rsidP="00571012">
            <w:pPr>
              <w:rPr>
                <w:sz w:val="20"/>
              </w:rPr>
            </w:pPr>
          </w:p>
          <w:p w:rsidR="007E337D" w:rsidRDefault="007E337D" w:rsidP="00571012">
            <w:pPr>
              <w:rPr>
                <w:sz w:val="20"/>
              </w:rPr>
            </w:pPr>
          </w:p>
          <w:p w:rsidR="00533190" w:rsidRPr="00571012" w:rsidRDefault="00533190" w:rsidP="00571012">
            <w:pPr>
              <w:rPr>
                <w:sz w:val="20"/>
              </w:rPr>
            </w:pPr>
            <w:r>
              <w:rPr>
                <w:sz w:val="20"/>
              </w:rPr>
              <w:t xml:space="preserve">Prepared by Chris Norris on 10/22/15. Information from Bloomberg, Yahoo, S&amp;P, </w:t>
            </w:r>
            <w:proofErr w:type="spellStart"/>
            <w:r>
              <w:rPr>
                <w:sz w:val="20"/>
              </w:rPr>
              <w:t>Valueline</w:t>
            </w:r>
            <w:proofErr w:type="spellEnd"/>
          </w:p>
        </w:tc>
      </w:tr>
      <w:tr w:rsidR="00571012" w:rsidTr="007E337D">
        <w:trPr>
          <w:trHeight w:val="2942"/>
        </w:trPr>
        <w:tc>
          <w:tcPr>
            <w:tcW w:w="5572" w:type="dxa"/>
            <w:gridSpan w:val="2"/>
          </w:tcPr>
          <w:p w:rsidR="00BB31A2" w:rsidRPr="00571012" w:rsidRDefault="00BB31A2" w:rsidP="006B50DC">
            <w:pPr>
              <w:rPr>
                <w:b/>
              </w:rPr>
            </w:pPr>
            <w:r w:rsidRPr="00571012">
              <w:rPr>
                <w:b/>
              </w:rPr>
              <w:t>Competitor Comparison:</w:t>
            </w:r>
          </w:p>
          <w:p w:rsidR="00571012" w:rsidRPr="00BB31A2" w:rsidRDefault="00571012" w:rsidP="006B50DC">
            <w:r>
              <w:rPr>
                <w:noProof/>
              </w:rPr>
              <w:drawing>
                <wp:inline distT="0" distB="0" distL="0" distR="0" wp14:anchorId="24C805F7" wp14:editId="2899ABB9">
                  <wp:extent cx="3324629" cy="1752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2592" cy="1762069"/>
                          </a:xfrm>
                          <a:prstGeom prst="rect">
                            <a:avLst/>
                          </a:prstGeom>
                        </pic:spPr>
                      </pic:pic>
                    </a:graphicData>
                  </a:graphic>
                </wp:inline>
              </w:drawing>
            </w:r>
          </w:p>
        </w:tc>
        <w:tc>
          <w:tcPr>
            <w:tcW w:w="5223" w:type="dxa"/>
            <w:gridSpan w:val="2"/>
            <w:vMerge/>
          </w:tcPr>
          <w:p w:rsidR="00BB31A2" w:rsidRDefault="00BB31A2" w:rsidP="00114D7C">
            <w:pPr>
              <w:rPr>
                <w:b/>
              </w:rPr>
            </w:pPr>
          </w:p>
        </w:tc>
      </w:tr>
    </w:tbl>
    <w:p w:rsidR="00F6002F" w:rsidRDefault="00F6002F" w:rsidP="00571012">
      <w:pPr>
        <w:rPr>
          <w:sz w:val="16"/>
        </w:rPr>
      </w:pPr>
      <w:bookmarkStart w:id="0" w:name="_GoBack"/>
      <w:bookmarkEnd w:id="0"/>
    </w:p>
    <w:sectPr w:rsidR="00F6002F" w:rsidSect="006B50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D9" w:rsidRDefault="005D66D9" w:rsidP="00CB5896">
      <w:pPr>
        <w:spacing w:after="0" w:line="240" w:lineRule="auto"/>
      </w:pPr>
      <w:r>
        <w:separator/>
      </w:r>
    </w:p>
  </w:endnote>
  <w:endnote w:type="continuationSeparator" w:id="0">
    <w:p w:rsidR="005D66D9" w:rsidRDefault="005D66D9" w:rsidP="00CB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D9" w:rsidRDefault="005D66D9" w:rsidP="00CB5896">
      <w:pPr>
        <w:spacing w:after="0" w:line="240" w:lineRule="auto"/>
      </w:pPr>
      <w:r>
        <w:separator/>
      </w:r>
    </w:p>
  </w:footnote>
  <w:footnote w:type="continuationSeparator" w:id="0">
    <w:p w:rsidR="005D66D9" w:rsidRDefault="005D66D9" w:rsidP="00CB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5D0"/>
    <w:multiLevelType w:val="hybridMultilevel"/>
    <w:tmpl w:val="5E4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96"/>
    <w:rsid w:val="00045095"/>
    <w:rsid w:val="00114D7C"/>
    <w:rsid w:val="00121648"/>
    <w:rsid w:val="001608C0"/>
    <w:rsid w:val="001A5B30"/>
    <w:rsid w:val="002311A9"/>
    <w:rsid w:val="00301836"/>
    <w:rsid w:val="00315588"/>
    <w:rsid w:val="00376776"/>
    <w:rsid w:val="003F4336"/>
    <w:rsid w:val="00451679"/>
    <w:rsid w:val="00484149"/>
    <w:rsid w:val="004C6003"/>
    <w:rsid w:val="00533190"/>
    <w:rsid w:val="00571012"/>
    <w:rsid w:val="0057223D"/>
    <w:rsid w:val="005D66D9"/>
    <w:rsid w:val="00617448"/>
    <w:rsid w:val="006317A2"/>
    <w:rsid w:val="006B50DC"/>
    <w:rsid w:val="006C6641"/>
    <w:rsid w:val="0072104B"/>
    <w:rsid w:val="00760BC0"/>
    <w:rsid w:val="00782EB3"/>
    <w:rsid w:val="007E16B7"/>
    <w:rsid w:val="007E337D"/>
    <w:rsid w:val="008C1E73"/>
    <w:rsid w:val="008C4BC3"/>
    <w:rsid w:val="0091015D"/>
    <w:rsid w:val="00A651B4"/>
    <w:rsid w:val="00AC3826"/>
    <w:rsid w:val="00B74A43"/>
    <w:rsid w:val="00B839DA"/>
    <w:rsid w:val="00B94F1F"/>
    <w:rsid w:val="00BB31A2"/>
    <w:rsid w:val="00BD2E92"/>
    <w:rsid w:val="00BD3D70"/>
    <w:rsid w:val="00CB5896"/>
    <w:rsid w:val="00CC76C2"/>
    <w:rsid w:val="00DC2686"/>
    <w:rsid w:val="00E0170E"/>
    <w:rsid w:val="00E42196"/>
    <w:rsid w:val="00E8518C"/>
    <w:rsid w:val="00F06D99"/>
    <w:rsid w:val="00F36033"/>
    <w:rsid w:val="00F6002F"/>
    <w:rsid w:val="00FA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96"/>
  </w:style>
  <w:style w:type="paragraph" w:styleId="Footer">
    <w:name w:val="footer"/>
    <w:basedOn w:val="Normal"/>
    <w:link w:val="FooterChar"/>
    <w:uiPriority w:val="99"/>
    <w:unhideWhenUsed/>
    <w:rsid w:val="00CB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96"/>
  </w:style>
  <w:style w:type="table" w:styleId="TableGrid">
    <w:name w:val="Table Grid"/>
    <w:basedOn w:val="TableNormal"/>
    <w:uiPriority w:val="39"/>
    <w:rsid w:val="006B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7C"/>
    <w:pPr>
      <w:ind w:left="720"/>
      <w:contextualSpacing/>
    </w:pPr>
  </w:style>
  <w:style w:type="paragraph" w:styleId="BalloonText">
    <w:name w:val="Balloon Text"/>
    <w:basedOn w:val="Normal"/>
    <w:link w:val="BalloonTextChar"/>
    <w:uiPriority w:val="99"/>
    <w:semiHidden/>
    <w:unhideWhenUsed/>
    <w:rsid w:val="007E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896"/>
  </w:style>
  <w:style w:type="paragraph" w:styleId="Footer">
    <w:name w:val="footer"/>
    <w:basedOn w:val="Normal"/>
    <w:link w:val="FooterChar"/>
    <w:uiPriority w:val="99"/>
    <w:unhideWhenUsed/>
    <w:rsid w:val="00CB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96"/>
  </w:style>
  <w:style w:type="table" w:styleId="TableGrid">
    <w:name w:val="Table Grid"/>
    <w:basedOn w:val="TableNormal"/>
    <w:uiPriority w:val="39"/>
    <w:rsid w:val="006B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7C"/>
    <w:pPr>
      <w:ind w:left="720"/>
      <w:contextualSpacing/>
    </w:pPr>
  </w:style>
  <w:style w:type="paragraph" w:styleId="BalloonText">
    <w:name w:val="Balloon Text"/>
    <w:basedOn w:val="Normal"/>
    <w:link w:val="BalloonTextChar"/>
    <w:uiPriority w:val="99"/>
    <w:semiHidden/>
    <w:unhideWhenUsed/>
    <w:rsid w:val="007E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1997">
      <w:bodyDiv w:val="1"/>
      <w:marLeft w:val="0"/>
      <w:marRight w:val="0"/>
      <w:marTop w:val="0"/>
      <w:marBottom w:val="0"/>
      <w:divBdr>
        <w:top w:val="none" w:sz="0" w:space="0" w:color="auto"/>
        <w:left w:val="none" w:sz="0" w:space="0" w:color="auto"/>
        <w:bottom w:val="none" w:sz="0" w:space="0" w:color="auto"/>
        <w:right w:val="none" w:sz="0" w:space="0" w:color="auto"/>
      </w:divBdr>
    </w:div>
    <w:div w:id="1285505321">
      <w:bodyDiv w:val="1"/>
      <w:marLeft w:val="0"/>
      <w:marRight w:val="0"/>
      <w:marTop w:val="0"/>
      <w:marBottom w:val="0"/>
      <w:divBdr>
        <w:top w:val="none" w:sz="0" w:space="0" w:color="auto"/>
        <w:left w:val="none" w:sz="0" w:space="0" w:color="auto"/>
        <w:bottom w:val="none" w:sz="0" w:space="0" w:color="auto"/>
        <w:right w:val="none" w:sz="0" w:space="0" w:color="auto"/>
      </w:divBdr>
      <w:divsChild>
        <w:div w:id="337081269">
          <w:marLeft w:val="0"/>
          <w:marRight w:val="0"/>
          <w:marTop w:val="0"/>
          <w:marBottom w:val="0"/>
          <w:divBdr>
            <w:top w:val="none" w:sz="0" w:space="0" w:color="auto"/>
            <w:left w:val="none" w:sz="0" w:space="0" w:color="auto"/>
            <w:bottom w:val="none" w:sz="0" w:space="0" w:color="auto"/>
            <w:right w:val="none" w:sz="0" w:space="0" w:color="auto"/>
          </w:divBdr>
        </w:div>
        <w:div w:id="118963026">
          <w:marLeft w:val="0"/>
          <w:marRight w:val="0"/>
          <w:marTop w:val="0"/>
          <w:marBottom w:val="0"/>
          <w:divBdr>
            <w:top w:val="none" w:sz="0" w:space="0" w:color="auto"/>
            <w:left w:val="none" w:sz="0" w:space="0" w:color="auto"/>
            <w:bottom w:val="none" w:sz="0" w:space="0" w:color="auto"/>
            <w:right w:val="none" w:sz="0" w:space="0" w:color="auto"/>
          </w:divBdr>
        </w:div>
        <w:div w:id="1339650904">
          <w:marLeft w:val="0"/>
          <w:marRight w:val="0"/>
          <w:marTop w:val="0"/>
          <w:marBottom w:val="0"/>
          <w:divBdr>
            <w:top w:val="none" w:sz="0" w:space="0" w:color="auto"/>
            <w:left w:val="none" w:sz="0" w:space="0" w:color="auto"/>
            <w:bottom w:val="none" w:sz="0" w:space="0" w:color="auto"/>
            <w:right w:val="none" w:sz="0" w:space="0" w:color="auto"/>
          </w:divBdr>
        </w:div>
        <w:div w:id="781461340">
          <w:marLeft w:val="0"/>
          <w:marRight w:val="0"/>
          <w:marTop w:val="0"/>
          <w:marBottom w:val="0"/>
          <w:divBdr>
            <w:top w:val="none" w:sz="0" w:space="0" w:color="auto"/>
            <w:left w:val="none" w:sz="0" w:space="0" w:color="auto"/>
            <w:bottom w:val="none" w:sz="0" w:space="0" w:color="auto"/>
            <w:right w:val="none" w:sz="0" w:space="0" w:color="auto"/>
          </w:divBdr>
        </w:div>
        <w:div w:id="2028671394">
          <w:marLeft w:val="0"/>
          <w:marRight w:val="0"/>
          <w:marTop w:val="0"/>
          <w:marBottom w:val="0"/>
          <w:divBdr>
            <w:top w:val="none" w:sz="0" w:space="0" w:color="auto"/>
            <w:left w:val="none" w:sz="0" w:space="0" w:color="auto"/>
            <w:bottom w:val="none" w:sz="0" w:space="0" w:color="auto"/>
            <w:right w:val="none" w:sz="0" w:space="0" w:color="auto"/>
          </w:divBdr>
        </w:div>
        <w:div w:id="166793862">
          <w:marLeft w:val="0"/>
          <w:marRight w:val="0"/>
          <w:marTop w:val="0"/>
          <w:marBottom w:val="0"/>
          <w:divBdr>
            <w:top w:val="none" w:sz="0" w:space="0" w:color="auto"/>
            <w:left w:val="none" w:sz="0" w:space="0" w:color="auto"/>
            <w:bottom w:val="none" w:sz="0" w:space="0" w:color="auto"/>
            <w:right w:val="none" w:sz="0" w:space="0" w:color="auto"/>
          </w:divBdr>
        </w:div>
        <w:div w:id="605382923">
          <w:marLeft w:val="0"/>
          <w:marRight w:val="0"/>
          <w:marTop w:val="0"/>
          <w:marBottom w:val="0"/>
          <w:divBdr>
            <w:top w:val="none" w:sz="0" w:space="0" w:color="auto"/>
            <w:left w:val="none" w:sz="0" w:space="0" w:color="auto"/>
            <w:bottom w:val="none" w:sz="0" w:space="0" w:color="auto"/>
            <w:right w:val="none" w:sz="0" w:space="0" w:color="auto"/>
          </w:divBdr>
        </w:div>
        <w:div w:id="2138454246">
          <w:marLeft w:val="0"/>
          <w:marRight w:val="0"/>
          <w:marTop w:val="0"/>
          <w:marBottom w:val="0"/>
          <w:divBdr>
            <w:top w:val="none" w:sz="0" w:space="0" w:color="auto"/>
            <w:left w:val="none" w:sz="0" w:space="0" w:color="auto"/>
            <w:bottom w:val="none" w:sz="0" w:space="0" w:color="auto"/>
            <w:right w:val="none" w:sz="0" w:space="0" w:color="auto"/>
          </w:divBdr>
        </w:div>
        <w:div w:id="1865047467">
          <w:marLeft w:val="0"/>
          <w:marRight w:val="0"/>
          <w:marTop w:val="0"/>
          <w:marBottom w:val="0"/>
          <w:divBdr>
            <w:top w:val="none" w:sz="0" w:space="0" w:color="auto"/>
            <w:left w:val="none" w:sz="0" w:space="0" w:color="auto"/>
            <w:bottom w:val="none" w:sz="0" w:space="0" w:color="auto"/>
            <w:right w:val="none" w:sz="0" w:space="0" w:color="auto"/>
          </w:divBdr>
        </w:div>
        <w:div w:id="2050446866">
          <w:marLeft w:val="0"/>
          <w:marRight w:val="0"/>
          <w:marTop w:val="0"/>
          <w:marBottom w:val="0"/>
          <w:divBdr>
            <w:top w:val="none" w:sz="0" w:space="0" w:color="auto"/>
            <w:left w:val="none" w:sz="0" w:space="0" w:color="auto"/>
            <w:bottom w:val="none" w:sz="0" w:space="0" w:color="auto"/>
            <w:right w:val="none" w:sz="0" w:space="0" w:color="auto"/>
          </w:divBdr>
        </w:div>
        <w:div w:id="26219266">
          <w:marLeft w:val="0"/>
          <w:marRight w:val="0"/>
          <w:marTop w:val="0"/>
          <w:marBottom w:val="0"/>
          <w:divBdr>
            <w:top w:val="none" w:sz="0" w:space="0" w:color="auto"/>
            <w:left w:val="none" w:sz="0" w:space="0" w:color="auto"/>
            <w:bottom w:val="none" w:sz="0" w:space="0" w:color="auto"/>
            <w:right w:val="none" w:sz="0" w:space="0" w:color="auto"/>
          </w:divBdr>
        </w:div>
      </w:divsChild>
    </w:div>
    <w:div w:id="1321153029">
      <w:bodyDiv w:val="1"/>
      <w:marLeft w:val="0"/>
      <w:marRight w:val="0"/>
      <w:marTop w:val="0"/>
      <w:marBottom w:val="0"/>
      <w:divBdr>
        <w:top w:val="none" w:sz="0" w:space="0" w:color="auto"/>
        <w:left w:val="none" w:sz="0" w:space="0" w:color="auto"/>
        <w:bottom w:val="none" w:sz="0" w:space="0" w:color="auto"/>
        <w:right w:val="none" w:sz="0" w:space="0" w:color="auto"/>
      </w:divBdr>
    </w:div>
    <w:div w:id="1335567829">
      <w:bodyDiv w:val="1"/>
      <w:marLeft w:val="0"/>
      <w:marRight w:val="0"/>
      <w:marTop w:val="0"/>
      <w:marBottom w:val="0"/>
      <w:divBdr>
        <w:top w:val="none" w:sz="0" w:space="0" w:color="auto"/>
        <w:left w:val="none" w:sz="0" w:space="0" w:color="auto"/>
        <w:bottom w:val="none" w:sz="0" w:space="0" w:color="auto"/>
        <w:right w:val="none" w:sz="0" w:space="0" w:color="auto"/>
      </w:divBdr>
    </w:div>
    <w:div w:id="1503885679">
      <w:bodyDiv w:val="1"/>
      <w:marLeft w:val="0"/>
      <w:marRight w:val="0"/>
      <w:marTop w:val="0"/>
      <w:marBottom w:val="0"/>
      <w:divBdr>
        <w:top w:val="none" w:sz="0" w:space="0" w:color="auto"/>
        <w:left w:val="none" w:sz="0" w:space="0" w:color="auto"/>
        <w:bottom w:val="none" w:sz="0" w:space="0" w:color="auto"/>
        <w:right w:val="none" w:sz="0" w:space="0" w:color="auto"/>
      </w:divBdr>
    </w:div>
    <w:div w:id="1663505285">
      <w:bodyDiv w:val="1"/>
      <w:marLeft w:val="0"/>
      <w:marRight w:val="0"/>
      <w:marTop w:val="0"/>
      <w:marBottom w:val="0"/>
      <w:divBdr>
        <w:top w:val="none" w:sz="0" w:space="0" w:color="auto"/>
        <w:left w:val="none" w:sz="0" w:space="0" w:color="auto"/>
        <w:bottom w:val="none" w:sz="0" w:space="0" w:color="auto"/>
        <w:right w:val="none" w:sz="0" w:space="0" w:color="auto"/>
      </w:divBdr>
    </w:div>
    <w:div w:id="18874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sbtrader</dc:creator>
  <cp:lastModifiedBy>Alex Sadowski</cp:lastModifiedBy>
  <cp:revision>2</cp:revision>
  <dcterms:created xsi:type="dcterms:W3CDTF">2015-10-28T20:45:00Z</dcterms:created>
  <dcterms:modified xsi:type="dcterms:W3CDTF">2015-10-28T20:45:00Z</dcterms:modified>
</cp:coreProperties>
</file>