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700" w:type="dxa"/>
        <w:tblInd w:w="-1332" w:type="dxa"/>
        <w:tblLayout w:type="fixed"/>
        <w:tblLook w:val="04A0" w:firstRow="1" w:lastRow="0" w:firstColumn="1" w:lastColumn="0" w:noHBand="0" w:noVBand="1"/>
      </w:tblPr>
      <w:tblGrid>
        <w:gridCol w:w="3150"/>
        <w:gridCol w:w="3150"/>
        <w:gridCol w:w="2160"/>
        <w:gridCol w:w="3240"/>
      </w:tblGrid>
      <w:tr w:rsidR="00C8095F" w:rsidRPr="00D9079F" w14:paraId="3AA29E37" w14:textId="77777777" w:rsidTr="00FD34FE">
        <w:trPr>
          <w:trHeight w:val="80"/>
        </w:trPr>
        <w:tc>
          <w:tcPr>
            <w:tcW w:w="3150" w:type="dxa"/>
            <w:shd w:val="clear" w:color="auto" w:fill="365F91" w:themeFill="accent1" w:themeFillShade="BF"/>
          </w:tcPr>
          <w:p w14:paraId="2E49CA38" w14:textId="7EBCE7A8" w:rsidR="00C8095F" w:rsidRPr="00D9079F" w:rsidRDefault="00C8095F" w:rsidP="001B2AAE">
            <w:pPr>
              <w:jc w:val="center"/>
              <w:rPr>
                <w:rFonts w:asciiTheme="majorHAnsi" w:hAnsiTheme="majorHAnsi"/>
                <w:b/>
                <w:color w:val="FFFFFF" w:themeColor="background1"/>
                <w:sz w:val="16"/>
                <w:szCs w:val="16"/>
              </w:rPr>
            </w:pPr>
            <w:r w:rsidRPr="00D9079F">
              <w:rPr>
                <w:rFonts w:asciiTheme="majorHAnsi" w:hAnsiTheme="majorHAnsi"/>
                <w:b/>
                <w:color w:val="FFFFFF" w:themeColor="background1"/>
                <w:sz w:val="16"/>
                <w:szCs w:val="16"/>
              </w:rPr>
              <w:t xml:space="preserve">Company: </w:t>
            </w:r>
            <w:r w:rsidR="001B2AAE">
              <w:rPr>
                <w:rFonts w:asciiTheme="majorHAnsi" w:hAnsiTheme="majorHAnsi"/>
                <w:b/>
                <w:color w:val="FFFFFF" w:themeColor="background1"/>
                <w:sz w:val="16"/>
                <w:szCs w:val="16"/>
              </w:rPr>
              <w:t>DR Horton Inc.</w:t>
            </w:r>
          </w:p>
        </w:tc>
        <w:tc>
          <w:tcPr>
            <w:tcW w:w="3150" w:type="dxa"/>
            <w:shd w:val="clear" w:color="auto" w:fill="365F91" w:themeFill="accent1" w:themeFillShade="BF"/>
          </w:tcPr>
          <w:p w14:paraId="5FDF97F0" w14:textId="246DF3F3" w:rsidR="00C8095F" w:rsidRPr="00D9079F" w:rsidRDefault="00C8095F" w:rsidP="001B2AAE">
            <w:pPr>
              <w:jc w:val="center"/>
              <w:rPr>
                <w:rFonts w:asciiTheme="majorHAnsi" w:hAnsiTheme="majorHAnsi"/>
                <w:b/>
                <w:color w:val="FFFFFF" w:themeColor="background1"/>
                <w:sz w:val="16"/>
                <w:szCs w:val="16"/>
              </w:rPr>
            </w:pPr>
            <w:r w:rsidRPr="00D9079F">
              <w:rPr>
                <w:rFonts w:asciiTheme="majorHAnsi" w:hAnsiTheme="majorHAnsi"/>
                <w:b/>
                <w:color w:val="FFFFFF" w:themeColor="background1"/>
                <w:sz w:val="16"/>
                <w:szCs w:val="16"/>
              </w:rPr>
              <w:t xml:space="preserve">Ticker: </w:t>
            </w:r>
            <w:r w:rsidR="001B2AAE">
              <w:rPr>
                <w:rFonts w:asciiTheme="majorHAnsi" w:hAnsiTheme="majorHAnsi"/>
                <w:b/>
                <w:color w:val="FFFFFF" w:themeColor="background1"/>
                <w:sz w:val="16"/>
                <w:szCs w:val="16"/>
              </w:rPr>
              <w:t>DHI</w:t>
            </w:r>
            <w:r w:rsidRPr="00D9079F">
              <w:rPr>
                <w:rFonts w:asciiTheme="majorHAnsi" w:hAnsiTheme="majorHAnsi"/>
                <w:b/>
                <w:color w:val="FFFFFF" w:themeColor="background1"/>
                <w:sz w:val="16"/>
                <w:szCs w:val="16"/>
              </w:rPr>
              <w:t xml:space="preserve">         Current Price: $ </w:t>
            </w:r>
            <w:r w:rsidR="001B2AAE">
              <w:rPr>
                <w:rFonts w:asciiTheme="majorHAnsi" w:hAnsiTheme="majorHAnsi"/>
                <w:b/>
                <w:color w:val="FFFFFF" w:themeColor="background1"/>
                <w:sz w:val="16"/>
                <w:szCs w:val="16"/>
              </w:rPr>
              <w:t>23.41</w:t>
            </w:r>
          </w:p>
        </w:tc>
        <w:tc>
          <w:tcPr>
            <w:tcW w:w="5400" w:type="dxa"/>
            <w:gridSpan w:val="2"/>
            <w:shd w:val="clear" w:color="auto" w:fill="365F91" w:themeFill="accent1" w:themeFillShade="BF"/>
          </w:tcPr>
          <w:p w14:paraId="417B84CE" w14:textId="135B5406" w:rsidR="00C8095F" w:rsidRPr="00D9079F" w:rsidRDefault="00C8095F" w:rsidP="001B2AAE">
            <w:pPr>
              <w:rPr>
                <w:rFonts w:asciiTheme="majorHAnsi" w:hAnsiTheme="majorHAnsi"/>
                <w:b/>
                <w:color w:val="FFFFFF" w:themeColor="background1"/>
                <w:sz w:val="16"/>
                <w:szCs w:val="16"/>
              </w:rPr>
            </w:pPr>
            <w:r w:rsidRPr="00D9079F">
              <w:rPr>
                <w:rFonts w:asciiTheme="majorHAnsi" w:hAnsiTheme="majorHAnsi"/>
                <w:b/>
                <w:color w:val="FFFFFF" w:themeColor="background1"/>
                <w:sz w:val="16"/>
                <w:szCs w:val="16"/>
              </w:rPr>
              <w:t xml:space="preserve">Industry: </w:t>
            </w:r>
            <w:r w:rsidR="001B2AAE">
              <w:rPr>
                <w:rFonts w:asciiTheme="majorHAnsi" w:hAnsiTheme="majorHAnsi"/>
                <w:b/>
                <w:color w:val="FFFFFF" w:themeColor="background1"/>
                <w:sz w:val="16"/>
                <w:szCs w:val="16"/>
              </w:rPr>
              <w:t>Consumer Disc.</w:t>
            </w:r>
            <w:r w:rsidRPr="00D9079F">
              <w:rPr>
                <w:rFonts w:asciiTheme="majorHAnsi" w:hAnsiTheme="majorHAnsi"/>
                <w:b/>
                <w:color w:val="FFFFFF" w:themeColor="background1"/>
                <w:sz w:val="16"/>
                <w:szCs w:val="16"/>
              </w:rPr>
              <w:t xml:space="preserve">             Sub Industry: </w:t>
            </w:r>
            <w:r w:rsidR="001B2AAE">
              <w:rPr>
                <w:rFonts w:asciiTheme="majorHAnsi" w:hAnsiTheme="majorHAnsi"/>
                <w:b/>
                <w:color w:val="FFFFFF" w:themeColor="background1"/>
                <w:sz w:val="16"/>
                <w:szCs w:val="16"/>
              </w:rPr>
              <w:t>Homebuilding</w:t>
            </w:r>
            <w:r w:rsidR="006A07A0">
              <w:rPr>
                <w:rFonts w:asciiTheme="majorHAnsi" w:hAnsiTheme="majorHAnsi"/>
                <w:b/>
                <w:color w:val="FFFFFF" w:themeColor="background1"/>
                <w:sz w:val="16"/>
                <w:szCs w:val="16"/>
              </w:rPr>
              <w:t xml:space="preserve"> </w:t>
            </w:r>
          </w:p>
        </w:tc>
      </w:tr>
      <w:tr w:rsidR="006E44B8" w:rsidRPr="00D9079F" w14:paraId="185E94E4" w14:textId="77777777" w:rsidTr="00AC6A2C">
        <w:trPr>
          <w:trHeight w:val="512"/>
        </w:trPr>
        <w:tc>
          <w:tcPr>
            <w:tcW w:w="3150" w:type="dxa"/>
          </w:tcPr>
          <w:p w14:paraId="159CAB82" w14:textId="570136EB" w:rsidR="00E8555E" w:rsidRPr="00D9079F" w:rsidRDefault="00E8555E" w:rsidP="00E8555E">
            <w:pPr>
              <w:rPr>
                <w:rFonts w:asciiTheme="majorHAnsi" w:hAnsiTheme="majorHAnsi"/>
                <w:sz w:val="16"/>
                <w:szCs w:val="16"/>
              </w:rPr>
            </w:pPr>
            <w:r w:rsidRPr="00291662">
              <w:rPr>
                <w:rFonts w:asciiTheme="majorHAnsi" w:hAnsiTheme="majorHAnsi"/>
                <w:sz w:val="16"/>
                <w:szCs w:val="16"/>
              </w:rPr>
              <w:t>Target Price</w:t>
            </w:r>
            <w:r w:rsidR="00C161B3" w:rsidRPr="00291662">
              <w:rPr>
                <w:rFonts w:asciiTheme="majorHAnsi" w:hAnsiTheme="majorHAnsi"/>
                <w:sz w:val="16"/>
                <w:szCs w:val="16"/>
              </w:rPr>
              <w:t>:</w:t>
            </w:r>
            <w:r w:rsidR="00743904" w:rsidRPr="00291662">
              <w:rPr>
                <w:rFonts w:asciiTheme="majorHAnsi" w:hAnsiTheme="majorHAnsi"/>
                <w:sz w:val="16"/>
                <w:szCs w:val="16"/>
              </w:rPr>
              <w:t xml:space="preserve"> </w:t>
            </w:r>
            <w:r w:rsidR="00743904" w:rsidRPr="00AA3D63">
              <w:rPr>
                <w:rFonts w:asciiTheme="majorHAnsi" w:hAnsiTheme="majorHAnsi"/>
                <w:sz w:val="16"/>
                <w:szCs w:val="16"/>
              </w:rPr>
              <w:t>$</w:t>
            </w:r>
            <w:r w:rsidR="00291662" w:rsidRPr="00AA3D63">
              <w:rPr>
                <w:rFonts w:asciiTheme="majorHAnsi" w:hAnsiTheme="majorHAnsi"/>
                <w:sz w:val="16"/>
                <w:szCs w:val="16"/>
              </w:rPr>
              <w:t xml:space="preserve"> </w:t>
            </w:r>
            <w:r w:rsidR="00AA3D63">
              <w:rPr>
                <w:rFonts w:asciiTheme="majorHAnsi" w:hAnsiTheme="majorHAnsi"/>
                <w:sz w:val="16"/>
                <w:szCs w:val="16"/>
              </w:rPr>
              <w:t>37.44</w:t>
            </w:r>
          </w:p>
          <w:p w14:paraId="366C508D" w14:textId="0DD5171E" w:rsidR="00E8555E" w:rsidRPr="00D9079F" w:rsidRDefault="00C161B3" w:rsidP="00E8555E">
            <w:pPr>
              <w:rPr>
                <w:rFonts w:asciiTheme="majorHAnsi" w:hAnsiTheme="majorHAnsi"/>
                <w:sz w:val="16"/>
                <w:szCs w:val="16"/>
              </w:rPr>
            </w:pPr>
            <w:r w:rsidRPr="00324F3D">
              <w:rPr>
                <w:rFonts w:asciiTheme="majorHAnsi" w:hAnsiTheme="majorHAnsi"/>
                <w:sz w:val="16"/>
                <w:szCs w:val="16"/>
              </w:rPr>
              <w:t>Stop Loss:</w:t>
            </w:r>
            <w:r w:rsidR="00743904" w:rsidRPr="00324F3D">
              <w:rPr>
                <w:rFonts w:asciiTheme="majorHAnsi" w:hAnsiTheme="majorHAnsi"/>
                <w:sz w:val="16"/>
                <w:szCs w:val="16"/>
              </w:rPr>
              <w:t xml:space="preserve"> $</w:t>
            </w:r>
            <w:r w:rsidR="00324F3D" w:rsidRPr="00324F3D">
              <w:rPr>
                <w:rFonts w:asciiTheme="majorHAnsi" w:hAnsiTheme="majorHAnsi"/>
                <w:sz w:val="16"/>
                <w:szCs w:val="16"/>
              </w:rPr>
              <w:t>18.7</w:t>
            </w:r>
          </w:p>
          <w:p w14:paraId="7E50A51D" w14:textId="0E7BD82E" w:rsidR="006E44B8" w:rsidRPr="00D9079F" w:rsidRDefault="00E8555E" w:rsidP="00324F3D">
            <w:pPr>
              <w:rPr>
                <w:rFonts w:asciiTheme="majorHAnsi" w:hAnsiTheme="majorHAnsi"/>
                <w:sz w:val="16"/>
                <w:szCs w:val="16"/>
              </w:rPr>
            </w:pPr>
            <w:r w:rsidRPr="00D9079F">
              <w:rPr>
                <w:rFonts w:asciiTheme="majorHAnsi" w:hAnsiTheme="majorHAnsi"/>
                <w:sz w:val="16"/>
                <w:szCs w:val="16"/>
              </w:rPr>
              <w:t xml:space="preserve">52 Week </w:t>
            </w:r>
            <w:r w:rsidR="00630E4C">
              <w:rPr>
                <w:rFonts w:asciiTheme="majorHAnsi" w:hAnsiTheme="majorHAnsi"/>
                <w:sz w:val="16"/>
                <w:szCs w:val="16"/>
              </w:rPr>
              <w:t>h</w:t>
            </w:r>
            <w:r w:rsidRPr="00D9079F">
              <w:rPr>
                <w:rFonts w:asciiTheme="majorHAnsi" w:hAnsiTheme="majorHAnsi"/>
                <w:sz w:val="16"/>
                <w:szCs w:val="16"/>
              </w:rPr>
              <w:t>igh/ Low:</w:t>
            </w:r>
            <w:r w:rsidR="00743904" w:rsidRPr="00D9079F">
              <w:rPr>
                <w:rFonts w:asciiTheme="majorHAnsi" w:hAnsiTheme="majorHAnsi"/>
                <w:sz w:val="16"/>
                <w:szCs w:val="16"/>
              </w:rPr>
              <w:t xml:space="preserve"> $</w:t>
            </w:r>
            <w:r w:rsidR="00324F3D">
              <w:rPr>
                <w:rFonts w:asciiTheme="majorHAnsi" w:hAnsiTheme="majorHAnsi" w:cs="Arial"/>
                <w:color w:val="000000"/>
                <w:sz w:val="16"/>
                <w:szCs w:val="16"/>
                <w:shd w:val="clear" w:color="auto" w:fill="FFFFFF"/>
              </w:rPr>
              <w:t>22.97-33.10</w:t>
            </w:r>
          </w:p>
        </w:tc>
        <w:tc>
          <w:tcPr>
            <w:tcW w:w="3150" w:type="dxa"/>
          </w:tcPr>
          <w:p w14:paraId="461A4200" w14:textId="7BB891E6" w:rsidR="00E8555E" w:rsidRPr="00D9079F" w:rsidRDefault="00E8555E" w:rsidP="00E8555E">
            <w:pPr>
              <w:rPr>
                <w:rFonts w:asciiTheme="majorHAnsi" w:hAnsiTheme="majorHAnsi"/>
                <w:sz w:val="16"/>
                <w:szCs w:val="16"/>
              </w:rPr>
            </w:pPr>
            <w:r w:rsidRPr="00D9079F">
              <w:rPr>
                <w:rFonts w:asciiTheme="majorHAnsi" w:hAnsiTheme="majorHAnsi"/>
                <w:sz w:val="16"/>
                <w:szCs w:val="16"/>
              </w:rPr>
              <w:t xml:space="preserve">TTM P/E: </w:t>
            </w:r>
            <w:r w:rsidR="000F0BCE">
              <w:rPr>
                <w:rFonts w:asciiTheme="majorHAnsi" w:hAnsiTheme="majorHAnsi"/>
                <w:sz w:val="16"/>
                <w:szCs w:val="16"/>
              </w:rPr>
              <w:t>13.58</w:t>
            </w:r>
          </w:p>
          <w:p w14:paraId="4BB1D830" w14:textId="529F738A" w:rsidR="00AF471E" w:rsidRDefault="00E8555E" w:rsidP="00AF471E">
            <w:pPr>
              <w:rPr>
                <w:rFonts w:asciiTheme="majorHAnsi" w:hAnsiTheme="majorHAnsi"/>
                <w:sz w:val="16"/>
                <w:szCs w:val="16"/>
              </w:rPr>
            </w:pPr>
            <w:r w:rsidRPr="00D9079F">
              <w:rPr>
                <w:rFonts w:asciiTheme="majorHAnsi" w:hAnsiTheme="majorHAnsi"/>
                <w:sz w:val="16"/>
                <w:szCs w:val="16"/>
              </w:rPr>
              <w:t xml:space="preserve">Forward P/E: </w:t>
            </w:r>
            <w:r w:rsidR="000F0BCE">
              <w:rPr>
                <w:rFonts w:asciiTheme="majorHAnsi" w:hAnsiTheme="majorHAnsi"/>
                <w:sz w:val="16"/>
                <w:szCs w:val="16"/>
              </w:rPr>
              <w:t>9.54</w:t>
            </w:r>
          </w:p>
          <w:p w14:paraId="5AA3FEF7" w14:textId="530FA8D0" w:rsidR="006E44B8" w:rsidRPr="00D9079F" w:rsidRDefault="00E8555E" w:rsidP="00AF471E">
            <w:pPr>
              <w:rPr>
                <w:rFonts w:asciiTheme="majorHAnsi" w:hAnsiTheme="majorHAnsi"/>
                <w:sz w:val="16"/>
                <w:szCs w:val="16"/>
              </w:rPr>
            </w:pPr>
            <w:r w:rsidRPr="00D9079F">
              <w:rPr>
                <w:rFonts w:asciiTheme="majorHAnsi" w:hAnsiTheme="majorHAnsi"/>
                <w:sz w:val="16"/>
                <w:szCs w:val="16"/>
              </w:rPr>
              <w:t xml:space="preserve">EPS: </w:t>
            </w:r>
            <w:r w:rsidR="00E60A49" w:rsidRPr="00D9079F">
              <w:rPr>
                <w:rFonts w:asciiTheme="majorHAnsi" w:hAnsiTheme="majorHAnsi"/>
                <w:sz w:val="16"/>
                <w:szCs w:val="16"/>
              </w:rPr>
              <w:t>$</w:t>
            </w:r>
            <w:r w:rsidR="000F0BCE">
              <w:rPr>
                <w:rFonts w:asciiTheme="majorHAnsi" w:hAnsiTheme="majorHAnsi"/>
                <w:sz w:val="16"/>
                <w:szCs w:val="16"/>
              </w:rPr>
              <w:t>2.06</w:t>
            </w:r>
          </w:p>
        </w:tc>
        <w:tc>
          <w:tcPr>
            <w:tcW w:w="2160" w:type="dxa"/>
            <w:shd w:val="clear" w:color="auto" w:fill="auto"/>
          </w:tcPr>
          <w:p w14:paraId="25238E11" w14:textId="6DD6428C" w:rsidR="00E8555E" w:rsidRPr="00AC6A2C" w:rsidRDefault="00923CAB" w:rsidP="00E8555E">
            <w:pPr>
              <w:rPr>
                <w:rFonts w:asciiTheme="majorHAnsi" w:hAnsiTheme="majorHAnsi"/>
                <w:sz w:val="16"/>
                <w:szCs w:val="16"/>
              </w:rPr>
            </w:pPr>
            <w:r w:rsidRPr="00F5552B">
              <w:rPr>
                <w:rFonts w:asciiTheme="majorHAnsi" w:hAnsiTheme="majorHAnsi"/>
                <w:sz w:val="16"/>
                <w:szCs w:val="16"/>
              </w:rPr>
              <w:t xml:space="preserve">Beta: </w:t>
            </w:r>
            <w:r w:rsidR="00490B84">
              <w:rPr>
                <w:rFonts w:asciiTheme="majorHAnsi" w:hAnsiTheme="majorHAnsi"/>
                <w:sz w:val="16"/>
                <w:szCs w:val="16"/>
              </w:rPr>
              <w:t>1.17</w:t>
            </w:r>
            <w:r w:rsidR="00925975" w:rsidRPr="00F5552B">
              <w:rPr>
                <w:rFonts w:asciiTheme="majorHAnsi" w:hAnsiTheme="majorHAnsi"/>
                <w:sz w:val="16"/>
                <w:szCs w:val="16"/>
              </w:rPr>
              <w:t xml:space="preserve"> (Bloomberg)</w:t>
            </w:r>
          </w:p>
          <w:p w14:paraId="668080B0" w14:textId="59653839" w:rsidR="00E60A49" w:rsidRPr="008C7FEA" w:rsidRDefault="00E8555E" w:rsidP="00E60A49">
            <w:pPr>
              <w:rPr>
                <w:rFonts w:asciiTheme="majorHAnsi" w:hAnsiTheme="majorHAnsi"/>
                <w:sz w:val="16"/>
                <w:szCs w:val="16"/>
              </w:rPr>
            </w:pPr>
            <w:r w:rsidRPr="00AC6A2C">
              <w:rPr>
                <w:rFonts w:asciiTheme="majorHAnsi" w:hAnsiTheme="majorHAnsi"/>
                <w:sz w:val="16"/>
                <w:szCs w:val="16"/>
              </w:rPr>
              <w:t>Credit Rating:</w:t>
            </w:r>
            <w:r w:rsidR="00743904" w:rsidRPr="00AC6A2C">
              <w:rPr>
                <w:rFonts w:asciiTheme="majorHAnsi" w:hAnsiTheme="majorHAnsi"/>
                <w:sz w:val="16"/>
                <w:szCs w:val="16"/>
              </w:rPr>
              <w:t xml:space="preserve"> </w:t>
            </w:r>
            <w:r w:rsidR="00490B84">
              <w:rPr>
                <w:rFonts w:asciiTheme="majorHAnsi" w:hAnsiTheme="majorHAnsi"/>
                <w:sz w:val="16"/>
                <w:szCs w:val="16"/>
              </w:rPr>
              <w:t>Ba1</w:t>
            </w:r>
            <w:r w:rsidR="008C7FEA" w:rsidRPr="008C7FEA">
              <w:rPr>
                <w:rFonts w:asciiTheme="majorHAnsi" w:hAnsiTheme="majorHAnsi"/>
                <w:sz w:val="16"/>
                <w:szCs w:val="16"/>
              </w:rPr>
              <w:t xml:space="preserve"> (</w:t>
            </w:r>
            <w:r w:rsidR="0021182D">
              <w:rPr>
                <w:rFonts w:asciiTheme="majorHAnsi" w:hAnsiTheme="majorHAnsi"/>
                <w:sz w:val="16"/>
                <w:szCs w:val="16"/>
              </w:rPr>
              <w:t>Moody</w:t>
            </w:r>
            <w:r w:rsidR="00AC6A2C" w:rsidRPr="008C7FEA">
              <w:rPr>
                <w:rFonts w:asciiTheme="majorHAnsi" w:hAnsiTheme="majorHAnsi"/>
                <w:sz w:val="16"/>
                <w:szCs w:val="16"/>
              </w:rPr>
              <w:t>)</w:t>
            </w:r>
          </w:p>
          <w:p w14:paraId="5BFE3D7B" w14:textId="64B3F6EE" w:rsidR="003073EA" w:rsidRPr="00AC6A2C" w:rsidRDefault="003073EA" w:rsidP="0021182D">
            <w:pPr>
              <w:rPr>
                <w:rFonts w:asciiTheme="majorHAnsi" w:hAnsiTheme="majorHAnsi"/>
                <w:sz w:val="16"/>
                <w:szCs w:val="16"/>
                <w:highlight w:val="yellow"/>
              </w:rPr>
            </w:pPr>
            <w:r w:rsidRPr="008C7FEA">
              <w:rPr>
                <w:rFonts w:asciiTheme="majorHAnsi" w:hAnsiTheme="majorHAnsi"/>
                <w:sz w:val="16"/>
                <w:szCs w:val="16"/>
              </w:rPr>
              <w:t>Rating Outloo</w:t>
            </w:r>
            <w:r w:rsidRPr="00AC6A2C">
              <w:rPr>
                <w:rFonts w:asciiTheme="majorHAnsi" w:hAnsiTheme="majorHAnsi"/>
                <w:sz w:val="16"/>
                <w:szCs w:val="16"/>
              </w:rPr>
              <w:t xml:space="preserve">k: </w:t>
            </w:r>
            <w:r w:rsidR="0021182D" w:rsidRPr="00324F3D">
              <w:rPr>
                <w:rFonts w:asciiTheme="majorHAnsi" w:hAnsiTheme="majorHAnsi"/>
                <w:sz w:val="16"/>
                <w:szCs w:val="16"/>
              </w:rPr>
              <w:t>slow growth</w:t>
            </w:r>
            <w:r w:rsidR="008C7FEA">
              <w:rPr>
                <w:rFonts w:asciiTheme="majorHAnsi" w:hAnsiTheme="majorHAnsi"/>
                <w:sz w:val="16"/>
                <w:szCs w:val="16"/>
              </w:rPr>
              <w:t xml:space="preserve"> </w:t>
            </w:r>
          </w:p>
        </w:tc>
        <w:tc>
          <w:tcPr>
            <w:tcW w:w="3240" w:type="dxa"/>
          </w:tcPr>
          <w:p w14:paraId="438980BC" w14:textId="7756A1EF" w:rsidR="006E44B8" w:rsidRPr="00D9079F" w:rsidRDefault="0013332F">
            <w:pPr>
              <w:rPr>
                <w:rFonts w:asciiTheme="majorHAnsi" w:hAnsiTheme="majorHAnsi"/>
                <w:sz w:val="16"/>
                <w:szCs w:val="16"/>
              </w:rPr>
            </w:pPr>
            <w:r w:rsidRPr="00D9079F">
              <w:rPr>
                <w:rFonts w:asciiTheme="majorHAnsi" w:hAnsiTheme="majorHAnsi"/>
                <w:sz w:val="16"/>
                <w:szCs w:val="16"/>
              </w:rPr>
              <w:t xml:space="preserve">Market Cap: </w:t>
            </w:r>
            <w:r w:rsidR="00743904" w:rsidRPr="00D9079F">
              <w:rPr>
                <w:rFonts w:asciiTheme="majorHAnsi" w:hAnsiTheme="majorHAnsi"/>
                <w:sz w:val="16"/>
                <w:szCs w:val="16"/>
              </w:rPr>
              <w:t>$</w:t>
            </w:r>
            <w:r w:rsidR="000F0BCE">
              <w:rPr>
                <w:rFonts w:asciiTheme="majorHAnsi" w:hAnsiTheme="majorHAnsi"/>
                <w:sz w:val="16"/>
                <w:szCs w:val="16"/>
              </w:rPr>
              <w:t>8.6</w:t>
            </w:r>
            <w:r w:rsidR="0021182D">
              <w:rPr>
                <w:rFonts w:asciiTheme="majorHAnsi" w:hAnsiTheme="majorHAnsi"/>
                <w:sz w:val="16"/>
                <w:szCs w:val="16"/>
              </w:rPr>
              <w:t>b</w:t>
            </w:r>
          </w:p>
          <w:p w14:paraId="37B82920" w14:textId="01131B55" w:rsidR="00C441B3" w:rsidRPr="00D9079F" w:rsidRDefault="00C441B3">
            <w:pPr>
              <w:rPr>
                <w:rFonts w:asciiTheme="majorHAnsi" w:hAnsiTheme="majorHAnsi"/>
                <w:sz w:val="16"/>
                <w:szCs w:val="16"/>
              </w:rPr>
            </w:pPr>
            <w:proofErr w:type="spellStart"/>
            <w:r w:rsidRPr="00D9079F">
              <w:rPr>
                <w:rFonts w:asciiTheme="majorHAnsi" w:hAnsiTheme="majorHAnsi" w:cs="UniversLTStd-BoldCn"/>
                <w:bCs/>
                <w:sz w:val="16"/>
                <w:szCs w:val="16"/>
              </w:rPr>
              <w:t>Avg</w:t>
            </w:r>
            <w:proofErr w:type="spellEnd"/>
            <w:r w:rsidRPr="00D9079F">
              <w:rPr>
                <w:rFonts w:asciiTheme="majorHAnsi" w:hAnsiTheme="majorHAnsi" w:cs="UniversLTStd-BoldCn"/>
                <w:bCs/>
                <w:sz w:val="16"/>
                <w:szCs w:val="16"/>
              </w:rPr>
              <w:t xml:space="preserve"> Vol ( </w:t>
            </w:r>
            <w:r w:rsidR="000F0BCE">
              <w:rPr>
                <w:rFonts w:asciiTheme="majorHAnsi" w:hAnsiTheme="majorHAnsi" w:cs="UniversLTStd-BoldCn"/>
                <w:bCs/>
                <w:sz w:val="16"/>
                <w:szCs w:val="16"/>
              </w:rPr>
              <w:t>15</w:t>
            </w:r>
            <w:r w:rsidRPr="00D9079F">
              <w:rPr>
                <w:rFonts w:asciiTheme="majorHAnsi" w:hAnsiTheme="majorHAnsi" w:cs="UniversLTStd-BoldCn"/>
                <w:bCs/>
                <w:sz w:val="16"/>
                <w:szCs w:val="16"/>
              </w:rPr>
              <w:t xml:space="preserve"> M)</w:t>
            </w:r>
            <w:r w:rsidR="00BF2DE5" w:rsidRPr="00D9079F">
              <w:rPr>
                <w:rFonts w:asciiTheme="majorHAnsi" w:hAnsiTheme="majorHAnsi" w:cs="UniversLTStd-BoldCn"/>
                <w:bCs/>
                <w:sz w:val="16"/>
                <w:szCs w:val="16"/>
              </w:rPr>
              <w:t>:</w:t>
            </w:r>
            <w:r w:rsidR="00743904" w:rsidRPr="00D9079F">
              <w:rPr>
                <w:rFonts w:asciiTheme="majorHAnsi" w:hAnsiTheme="majorHAnsi" w:cs="UniversLTStd-BoldCn"/>
                <w:bCs/>
                <w:sz w:val="16"/>
                <w:szCs w:val="16"/>
              </w:rPr>
              <w:t xml:space="preserve"> </w:t>
            </w:r>
            <w:r w:rsidR="000F0BCE">
              <w:rPr>
                <w:rFonts w:asciiTheme="majorHAnsi" w:hAnsiTheme="majorHAnsi" w:cs="UniversLTStd-BoldCn"/>
                <w:bCs/>
                <w:sz w:val="16"/>
                <w:szCs w:val="16"/>
              </w:rPr>
              <w:t>7.265m</w:t>
            </w:r>
          </w:p>
          <w:p w14:paraId="0D1C791A" w14:textId="5C69F6BF" w:rsidR="00E5675C" w:rsidRPr="00D9079F" w:rsidRDefault="00E5675C" w:rsidP="00852DFB">
            <w:pPr>
              <w:rPr>
                <w:rFonts w:asciiTheme="majorHAnsi" w:hAnsiTheme="majorHAnsi"/>
                <w:sz w:val="16"/>
                <w:szCs w:val="16"/>
              </w:rPr>
            </w:pPr>
            <w:r w:rsidRPr="00D9079F">
              <w:rPr>
                <w:rFonts w:asciiTheme="majorHAnsi" w:hAnsiTheme="majorHAnsi"/>
                <w:sz w:val="16"/>
                <w:szCs w:val="16"/>
              </w:rPr>
              <w:t xml:space="preserve">Dividend Yield: </w:t>
            </w:r>
            <w:r w:rsidR="000F0BCE">
              <w:rPr>
                <w:rFonts w:asciiTheme="majorHAnsi" w:hAnsiTheme="majorHAnsi"/>
                <w:sz w:val="16"/>
                <w:szCs w:val="16"/>
              </w:rPr>
              <w:t>1.16</w:t>
            </w:r>
            <w:r w:rsidR="00743904" w:rsidRPr="00D9079F">
              <w:rPr>
                <w:rFonts w:asciiTheme="majorHAnsi" w:hAnsiTheme="majorHAnsi"/>
                <w:sz w:val="16"/>
                <w:szCs w:val="16"/>
              </w:rPr>
              <w:t>%</w:t>
            </w:r>
          </w:p>
        </w:tc>
      </w:tr>
    </w:tbl>
    <w:p w14:paraId="4F402887" w14:textId="4198B064" w:rsidR="00443ED9" w:rsidRPr="00D9079F" w:rsidRDefault="00852DFB" w:rsidP="005E114B">
      <w:pPr>
        <w:rPr>
          <w:rFonts w:asciiTheme="majorHAnsi" w:hAnsiTheme="majorHAnsi"/>
          <w:sz w:val="16"/>
          <w:szCs w:val="16"/>
        </w:rPr>
      </w:pPr>
      <w:r>
        <w:rPr>
          <w:rFonts w:asciiTheme="majorHAnsi" w:hAnsiTheme="majorHAnsi"/>
          <w:sz w:val="16"/>
          <w:szCs w:val="16"/>
        </w:rPr>
        <w:tab/>
      </w:r>
    </w:p>
    <w:tbl>
      <w:tblPr>
        <w:tblStyle w:val="TableGrid"/>
        <w:tblW w:w="11700" w:type="dxa"/>
        <w:tblInd w:w="-1332" w:type="dxa"/>
        <w:tblLook w:val="04A0" w:firstRow="1" w:lastRow="0" w:firstColumn="1" w:lastColumn="0" w:noHBand="0" w:noVBand="1"/>
      </w:tblPr>
      <w:tblGrid>
        <w:gridCol w:w="11700"/>
      </w:tblGrid>
      <w:tr w:rsidR="00DB5A10" w:rsidRPr="00D9079F" w14:paraId="311194DC" w14:textId="77777777" w:rsidTr="00DB5A10">
        <w:trPr>
          <w:trHeight w:val="197"/>
        </w:trPr>
        <w:tc>
          <w:tcPr>
            <w:tcW w:w="11700" w:type="dxa"/>
            <w:shd w:val="clear" w:color="auto" w:fill="365F91" w:themeFill="accent1" w:themeFillShade="BF"/>
          </w:tcPr>
          <w:p w14:paraId="14342F91" w14:textId="5A8BBA7A" w:rsidR="00DB5A10" w:rsidRPr="00D9079F" w:rsidRDefault="00DB5A10" w:rsidP="00DB5A10">
            <w:pPr>
              <w:tabs>
                <w:tab w:val="left" w:pos="3690"/>
              </w:tabs>
              <w:jc w:val="both"/>
              <w:rPr>
                <w:rFonts w:asciiTheme="majorHAnsi" w:hAnsiTheme="majorHAnsi"/>
                <w:color w:val="FFFFFF" w:themeColor="background1"/>
                <w:sz w:val="16"/>
                <w:szCs w:val="18"/>
              </w:rPr>
            </w:pPr>
            <w:r w:rsidRPr="00D9079F">
              <w:rPr>
                <w:rFonts w:asciiTheme="majorHAnsi" w:hAnsiTheme="majorHAnsi"/>
                <w:b/>
                <w:color w:val="FFFFFF" w:themeColor="background1"/>
                <w:sz w:val="16"/>
                <w:szCs w:val="18"/>
              </w:rPr>
              <w:t xml:space="preserve">Company Background:  </w:t>
            </w:r>
            <w:r w:rsidRPr="00D9079F">
              <w:rPr>
                <w:rFonts w:asciiTheme="majorHAnsi" w:hAnsiTheme="majorHAnsi"/>
                <w:b/>
                <w:color w:val="FFFFFF" w:themeColor="background1"/>
                <w:sz w:val="16"/>
                <w:szCs w:val="18"/>
              </w:rPr>
              <w:tab/>
            </w:r>
          </w:p>
        </w:tc>
      </w:tr>
      <w:tr w:rsidR="00DB5A10" w:rsidRPr="00D9079F" w14:paraId="325C88BE" w14:textId="77777777" w:rsidTr="00DB5A10">
        <w:tc>
          <w:tcPr>
            <w:tcW w:w="11700" w:type="dxa"/>
          </w:tcPr>
          <w:p w14:paraId="0A8884D5" w14:textId="5C98F72D" w:rsidR="00852DFB" w:rsidRPr="00D9079F" w:rsidRDefault="00324F3D" w:rsidP="00324F3D">
            <w:pPr>
              <w:rPr>
                <w:rFonts w:asciiTheme="majorHAnsi" w:hAnsiTheme="majorHAnsi"/>
                <w:sz w:val="16"/>
                <w:szCs w:val="18"/>
              </w:rPr>
            </w:pPr>
            <w:r>
              <w:rPr>
                <w:rFonts w:asciiTheme="majorHAnsi" w:hAnsiTheme="majorHAnsi"/>
                <w:sz w:val="16"/>
                <w:szCs w:val="18"/>
              </w:rPr>
              <w:t xml:space="preserve">The largest homebuilder by market cap.  Products range the entirety of the price scale however have a new focus on entry level homes with their Express Homes Brand that average at a price of $188,000.  Overall their average price is approximately 300k and have a presence across America with the northeast being their smallest geographic region by sales. </w:t>
            </w:r>
          </w:p>
        </w:tc>
      </w:tr>
      <w:tr w:rsidR="00274740" w:rsidRPr="00D9079F" w14:paraId="4EB61633" w14:textId="77777777" w:rsidTr="00274740">
        <w:tc>
          <w:tcPr>
            <w:tcW w:w="11700" w:type="dxa"/>
            <w:shd w:val="clear" w:color="auto" w:fill="365F91" w:themeFill="accent1" w:themeFillShade="BF"/>
          </w:tcPr>
          <w:p w14:paraId="38206B03" w14:textId="7B341966" w:rsidR="00274740" w:rsidRPr="00D9079F" w:rsidRDefault="00274740" w:rsidP="00BB61F8">
            <w:pPr>
              <w:tabs>
                <w:tab w:val="left" w:pos="3225"/>
              </w:tabs>
              <w:rPr>
                <w:rFonts w:asciiTheme="majorHAnsi" w:hAnsiTheme="majorHAnsi"/>
                <w:b/>
                <w:color w:val="FFFFFF" w:themeColor="background1"/>
                <w:sz w:val="16"/>
                <w:szCs w:val="18"/>
              </w:rPr>
            </w:pPr>
            <w:r w:rsidRPr="00D9079F">
              <w:rPr>
                <w:rFonts w:asciiTheme="majorHAnsi" w:hAnsiTheme="majorHAnsi"/>
                <w:b/>
                <w:color w:val="FFFFFF" w:themeColor="background1"/>
                <w:sz w:val="16"/>
                <w:szCs w:val="18"/>
              </w:rPr>
              <w:t xml:space="preserve">Industry </w:t>
            </w:r>
            <w:r w:rsidR="00BB3908" w:rsidRPr="00D9079F">
              <w:rPr>
                <w:rFonts w:asciiTheme="majorHAnsi" w:hAnsiTheme="majorHAnsi"/>
                <w:b/>
                <w:color w:val="FFFFFF" w:themeColor="background1"/>
                <w:sz w:val="16"/>
                <w:szCs w:val="18"/>
              </w:rPr>
              <w:t>Outlook:</w:t>
            </w:r>
            <w:r w:rsidRPr="00D9079F">
              <w:rPr>
                <w:rFonts w:asciiTheme="majorHAnsi" w:hAnsiTheme="majorHAnsi"/>
                <w:b/>
                <w:color w:val="FFFFFF" w:themeColor="background1"/>
                <w:sz w:val="16"/>
                <w:szCs w:val="18"/>
              </w:rPr>
              <w:t xml:space="preserve"> </w:t>
            </w:r>
          </w:p>
        </w:tc>
      </w:tr>
      <w:tr w:rsidR="00274740" w:rsidRPr="001A48A7" w14:paraId="52C52C72" w14:textId="77777777" w:rsidTr="00DB5A10">
        <w:tc>
          <w:tcPr>
            <w:tcW w:w="11700" w:type="dxa"/>
          </w:tcPr>
          <w:p w14:paraId="6A85BCC3" w14:textId="5D7A4D44" w:rsidR="0059647E" w:rsidRDefault="00E77E6A" w:rsidP="00E77E6A">
            <w:pPr>
              <w:pStyle w:val="ListParagraph"/>
              <w:numPr>
                <w:ilvl w:val="0"/>
                <w:numId w:val="7"/>
              </w:numPr>
              <w:rPr>
                <w:rFonts w:asciiTheme="majorHAnsi" w:hAnsiTheme="majorHAnsi" w:cs="Arial"/>
                <w:color w:val="000000"/>
                <w:sz w:val="16"/>
                <w:szCs w:val="18"/>
                <w:shd w:val="clear" w:color="auto" w:fill="FFFFFF"/>
              </w:rPr>
            </w:pPr>
            <w:r>
              <w:rPr>
                <w:rFonts w:asciiTheme="majorHAnsi" w:hAnsiTheme="majorHAnsi" w:cs="Arial"/>
                <w:color w:val="000000"/>
                <w:sz w:val="16"/>
                <w:szCs w:val="18"/>
                <w:shd w:val="clear" w:color="auto" w:fill="FFFFFF"/>
              </w:rPr>
              <w:t>Builder confidence index is near pre-crash levels, although has had slight decline from last announcement</w:t>
            </w:r>
          </w:p>
          <w:p w14:paraId="14DD22EC" w14:textId="77777777" w:rsidR="00E77E6A" w:rsidRDefault="00E77E6A" w:rsidP="00E77E6A">
            <w:pPr>
              <w:pStyle w:val="ListParagraph"/>
              <w:numPr>
                <w:ilvl w:val="0"/>
                <w:numId w:val="7"/>
              </w:numPr>
              <w:rPr>
                <w:rFonts w:asciiTheme="majorHAnsi" w:hAnsiTheme="majorHAnsi" w:cs="Arial"/>
                <w:color w:val="000000"/>
                <w:sz w:val="16"/>
                <w:szCs w:val="18"/>
                <w:shd w:val="clear" w:color="auto" w:fill="FFFFFF"/>
              </w:rPr>
            </w:pPr>
            <w:r>
              <w:rPr>
                <w:rFonts w:asciiTheme="majorHAnsi" w:hAnsiTheme="majorHAnsi" w:cs="Arial"/>
                <w:color w:val="000000"/>
                <w:sz w:val="16"/>
                <w:szCs w:val="18"/>
                <w:shd w:val="clear" w:color="auto" w:fill="FFFFFF"/>
              </w:rPr>
              <w:t>The uncertainty globally makes it increasingly seem as if the Fed will keep rates down for the immediate future which will be good for buyer mortgage rates</w:t>
            </w:r>
          </w:p>
          <w:p w14:paraId="6F2304E9" w14:textId="77777777" w:rsidR="00E77E6A" w:rsidRDefault="00E77E6A" w:rsidP="00E77E6A">
            <w:pPr>
              <w:pStyle w:val="ListParagraph"/>
              <w:numPr>
                <w:ilvl w:val="0"/>
                <w:numId w:val="7"/>
              </w:numPr>
              <w:rPr>
                <w:rFonts w:asciiTheme="majorHAnsi" w:hAnsiTheme="majorHAnsi" w:cs="Arial"/>
                <w:color w:val="000000"/>
                <w:sz w:val="16"/>
                <w:szCs w:val="18"/>
                <w:shd w:val="clear" w:color="auto" w:fill="FFFFFF"/>
              </w:rPr>
            </w:pPr>
            <w:r>
              <w:rPr>
                <w:rFonts w:asciiTheme="majorHAnsi" w:hAnsiTheme="majorHAnsi" w:cs="Arial"/>
                <w:color w:val="000000"/>
                <w:sz w:val="16"/>
                <w:szCs w:val="18"/>
                <w:shd w:val="clear" w:color="auto" w:fill="FFFFFF"/>
              </w:rPr>
              <w:t xml:space="preserve">New home mortgages have continually been on an increase pushing up home values </w:t>
            </w:r>
          </w:p>
          <w:p w14:paraId="1AE277A9" w14:textId="77777777" w:rsidR="00E77E6A" w:rsidRDefault="00E77E6A" w:rsidP="00E77E6A">
            <w:pPr>
              <w:pStyle w:val="ListParagraph"/>
              <w:numPr>
                <w:ilvl w:val="0"/>
                <w:numId w:val="7"/>
              </w:numPr>
              <w:rPr>
                <w:rFonts w:asciiTheme="majorHAnsi" w:hAnsiTheme="majorHAnsi" w:cs="Arial"/>
                <w:color w:val="000000"/>
                <w:sz w:val="16"/>
                <w:szCs w:val="18"/>
                <w:shd w:val="clear" w:color="auto" w:fill="FFFFFF"/>
              </w:rPr>
            </w:pPr>
            <w:r>
              <w:rPr>
                <w:rFonts w:asciiTheme="majorHAnsi" w:hAnsiTheme="majorHAnsi" w:cs="Arial"/>
                <w:color w:val="000000"/>
                <w:sz w:val="16"/>
                <w:szCs w:val="18"/>
                <w:shd w:val="clear" w:color="auto" w:fill="FFFFFF"/>
              </w:rPr>
              <w:t>Home sales have surpassed expectations at the end of 2015 and beginning of 2016 implying a very favorable outlook for the industry as a whole</w:t>
            </w:r>
          </w:p>
          <w:p w14:paraId="2219CC73" w14:textId="414FE782" w:rsidR="00E77E6A" w:rsidRPr="0059647E" w:rsidRDefault="00E77E6A" w:rsidP="00E77E6A">
            <w:pPr>
              <w:pStyle w:val="ListParagraph"/>
              <w:numPr>
                <w:ilvl w:val="0"/>
                <w:numId w:val="7"/>
              </w:numPr>
              <w:rPr>
                <w:rFonts w:asciiTheme="majorHAnsi" w:hAnsiTheme="majorHAnsi" w:cs="Arial"/>
                <w:color w:val="000000"/>
                <w:sz w:val="16"/>
                <w:szCs w:val="18"/>
                <w:shd w:val="clear" w:color="auto" w:fill="FFFFFF"/>
              </w:rPr>
            </w:pPr>
            <w:r>
              <w:rPr>
                <w:rFonts w:asciiTheme="majorHAnsi" w:hAnsiTheme="majorHAnsi" w:cs="Arial"/>
                <w:color w:val="000000"/>
                <w:sz w:val="16"/>
                <w:szCs w:val="18"/>
                <w:shd w:val="clear" w:color="auto" w:fill="FFFFFF"/>
              </w:rPr>
              <w:t xml:space="preserve">Despite global financial market unrest domestic indicators continue to point towards recovery which is favorable for home sales and more specifically mortgage underwriters as their standards continue to lax in the recovery </w:t>
            </w:r>
          </w:p>
        </w:tc>
      </w:tr>
      <w:tr w:rsidR="00DB5A10" w:rsidRPr="001A48A7" w14:paraId="6A32B295" w14:textId="77777777" w:rsidTr="00DB5A10">
        <w:tc>
          <w:tcPr>
            <w:tcW w:w="11700" w:type="dxa"/>
            <w:shd w:val="clear" w:color="auto" w:fill="365F91" w:themeFill="accent1" w:themeFillShade="BF"/>
          </w:tcPr>
          <w:p w14:paraId="22F69EB1" w14:textId="5B91B2A3" w:rsidR="00DB5A10" w:rsidRPr="0059647E" w:rsidRDefault="00DB5A10" w:rsidP="00DB5A10">
            <w:pPr>
              <w:tabs>
                <w:tab w:val="left" w:pos="3225"/>
              </w:tabs>
              <w:rPr>
                <w:rFonts w:asciiTheme="majorHAnsi" w:hAnsiTheme="majorHAnsi"/>
                <w:b/>
                <w:color w:val="FFFFFF" w:themeColor="background1"/>
                <w:sz w:val="16"/>
                <w:szCs w:val="18"/>
              </w:rPr>
            </w:pPr>
            <w:r w:rsidRPr="0059647E">
              <w:rPr>
                <w:rFonts w:asciiTheme="majorHAnsi" w:hAnsiTheme="majorHAnsi"/>
                <w:b/>
                <w:color w:val="FFFFFF" w:themeColor="background1"/>
                <w:sz w:val="16"/>
                <w:szCs w:val="18"/>
              </w:rPr>
              <w:t>Investment Thesis:</w:t>
            </w:r>
            <w:r w:rsidRPr="0059647E">
              <w:rPr>
                <w:rFonts w:asciiTheme="majorHAnsi" w:hAnsiTheme="majorHAnsi"/>
                <w:b/>
                <w:color w:val="FFFFFF" w:themeColor="background1"/>
                <w:sz w:val="16"/>
                <w:szCs w:val="18"/>
              </w:rPr>
              <w:tab/>
            </w:r>
          </w:p>
        </w:tc>
      </w:tr>
      <w:tr w:rsidR="00DB5A10" w:rsidRPr="001A48A7" w14:paraId="4F0CBDAD" w14:textId="77777777" w:rsidTr="00DB5A10">
        <w:tc>
          <w:tcPr>
            <w:tcW w:w="11700" w:type="dxa"/>
          </w:tcPr>
          <w:p w14:paraId="212168A1" w14:textId="77777777" w:rsidR="00E77E6A" w:rsidRPr="00E77E6A" w:rsidRDefault="00E77E6A" w:rsidP="00E77E6A">
            <w:pPr>
              <w:pStyle w:val="ListParagraph"/>
              <w:numPr>
                <w:ilvl w:val="0"/>
                <w:numId w:val="7"/>
              </w:numPr>
              <w:rPr>
                <w:rFonts w:asciiTheme="majorHAnsi" w:hAnsiTheme="majorHAnsi"/>
                <w:sz w:val="16"/>
                <w:szCs w:val="18"/>
              </w:rPr>
            </w:pPr>
            <w:r>
              <w:rPr>
                <w:rFonts w:asciiTheme="majorHAnsi" w:hAnsiTheme="majorHAnsi" w:cs="Arial"/>
                <w:color w:val="000000"/>
                <w:sz w:val="16"/>
                <w:szCs w:val="18"/>
                <w:shd w:val="clear" w:color="auto" w:fill="FFFFFF"/>
              </w:rPr>
              <w:t xml:space="preserve">DHI has a very strong balance sheet with </w:t>
            </w:r>
            <w:proofErr w:type="gramStart"/>
            <w:r>
              <w:rPr>
                <w:rFonts w:asciiTheme="majorHAnsi" w:hAnsiTheme="majorHAnsi" w:cs="Arial"/>
                <w:color w:val="000000"/>
                <w:sz w:val="16"/>
                <w:szCs w:val="18"/>
                <w:shd w:val="clear" w:color="auto" w:fill="FFFFFF"/>
              </w:rPr>
              <w:t>a  D</w:t>
            </w:r>
            <w:proofErr w:type="gramEnd"/>
            <w:r>
              <w:rPr>
                <w:rFonts w:asciiTheme="majorHAnsi" w:hAnsiTheme="majorHAnsi" w:cs="Arial"/>
                <w:color w:val="000000"/>
                <w:sz w:val="16"/>
                <w:szCs w:val="18"/>
                <w:shd w:val="clear" w:color="auto" w:fill="FFFFFF"/>
              </w:rPr>
              <w:t>/E of 55 compared to industry average of 99.  This coupled with a good amount of cash on the books is a good safety net in case the sector falls on harder times during the investment horizon.</w:t>
            </w:r>
          </w:p>
          <w:p w14:paraId="07429622" w14:textId="77777777" w:rsidR="00286F99" w:rsidRPr="00286F99" w:rsidRDefault="00E77E6A" w:rsidP="00286F99">
            <w:pPr>
              <w:pStyle w:val="ListParagraph"/>
              <w:numPr>
                <w:ilvl w:val="0"/>
                <w:numId w:val="7"/>
              </w:numPr>
              <w:rPr>
                <w:rFonts w:asciiTheme="majorHAnsi" w:hAnsiTheme="majorHAnsi"/>
                <w:sz w:val="16"/>
                <w:szCs w:val="18"/>
              </w:rPr>
            </w:pPr>
            <w:r>
              <w:rPr>
                <w:rFonts w:asciiTheme="majorHAnsi" w:hAnsiTheme="majorHAnsi" w:cs="Arial"/>
                <w:color w:val="000000"/>
                <w:sz w:val="16"/>
                <w:szCs w:val="18"/>
                <w:shd w:val="clear" w:color="auto" w:fill="FFFFFF"/>
              </w:rPr>
              <w:t xml:space="preserve">Housing has been very strong and DHI as the biggest player in the market </w:t>
            </w:r>
            <w:r w:rsidR="00286F99">
              <w:rPr>
                <w:rFonts w:asciiTheme="majorHAnsi" w:hAnsiTheme="majorHAnsi" w:cs="Arial"/>
                <w:color w:val="000000"/>
                <w:sz w:val="16"/>
                <w:szCs w:val="18"/>
                <w:shd w:val="clear" w:color="auto" w:fill="FFFFFF"/>
              </w:rPr>
              <w:t xml:space="preserve">stands to gain the most from this positive </w:t>
            </w:r>
            <w:proofErr w:type="gramStart"/>
            <w:r w:rsidR="00286F99">
              <w:rPr>
                <w:rFonts w:asciiTheme="majorHAnsi" w:hAnsiTheme="majorHAnsi" w:cs="Arial"/>
                <w:color w:val="000000"/>
                <w:sz w:val="16"/>
                <w:szCs w:val="18"/>
                <w:shd w:val="clear" w:color="auto" w:fill="FFFFFF"/>
              </w:rPr>
              <w:t>swing,  their</w:t>
            </w:r>
            <w:proofErr w:type="gramEnd"/>
            <w:r w:rsidR="00286F99">
              <w:rPr>
                <w:rFonts w:asciiTheme="majorHAnsi" w:hAnsiTheme="majorHAnsi" w:cs="Arial"/>
                <w:color w:val="000000"/>
                <w:sz w:val="16"/>
                <w:szCs w:val="18"/>
                <w:shd w:val="clear" w:color="auto" w:fill="FFFFFF"/>
              </w:rPr>
              <w:t xml:space="preserve"> inventory of land is relatively large which will bode well in an environment of decreasing supplies of </w:t>
            </w:r>
            <w:proofErr w:type="spellStart"/>
            <w:r w:rsidR="00286F99">
              <w:rPr>
                <w:rFonts w:asciiTheme="majorHAnsi" w:hAnsiTheme="majorHAnsi" w:cs="Arial"/>
                <w:color w:val="000000"/>
                <w:sz w:val="16"/>
                <w:szCs w:val="18"/>
                <w:shd w:val="clear" w:color="auto" w:fill="FFFFFF"/>
              </w:rPr>
              <w:t>well located</w:t>
            </w:r>
            <w:proofErr w:type="spellEnd"/>
            <w:r w:rsidR="00286F99">
              <w:rPr>
                <w:rFonts w:asciiTheme="majorHAnsi" w:hAnsiTheme="majorHAnsi" w:cs="Arial"/>
                <w:color w:val="000000"/>
                <w:sz w:val="16"/>
                <w:szCs w:val="18"/>
                <w:shd w:val="clear" w:color="auto" w:fill="FFFFFF"/>
              </w:rPr>
              <w:t xml:space="preserve"> land to develop</w:t>
            </w:r>
          </w:p>
          <w:p w14:paraId="35F9E681" w14:textId="2AAC9AC9" w:rsidR="0000557E" w:rsidRPr="00230BFF" w:rsidRDefault="00286F99" w:rsidP="00D35E60">
            <w:pPr>
              <w:pStyle w:val="ListParagraph"/>
              <w:numPr>
                <w:ilvl w:val="0"/>
                <w:numId w:val="7"/>
              </w:numPr>
              <w:rPr>
                <w:rFonts w:asciiTheme="majorHAnsi" w:hAnsiTheme="majorHAnsi"/>
                <w:sz w:val="16"/>
                <w:szCs w:val="18"/>
              </w:rPr>
            </w:pPr>
            <w:r>
              <w:rPr>
                <w:rFonts w:asciiTheme="majorHAnsi" w:hAnsiTheme="majorHAnsi" w:cs="Arial"/>
                <w:color w:val="000000"/>
                <w:sz w:val="16"/>
                <w:szCs w:val="18"/>
                <w:shd w:val="clear" w:color="auto" w:fill="FFFFFF"/>
              </w:rPr>
              <w:t>DHI</w:t>
            </w:r>
            <w:r>
              <w:rPr>
                <w:rFonts w:asciiTheme="majorHAnsi" w:hAnsiTheme="majorHAnsi"/>
                <w:sz w:val="16"/>
                <w:szCs w:val="18"/>
              </w:rPr>
              <w:t xml:space="preserve">’s new Express Homes Brand should be seen as an asset, while this lower price point will decrease margins it will help capture more customers in a time where pent up demand has been the </w:t>
            </w:r>
            <w:r w:rsidR="008F0A09">
              <w:rPr>
                <w:rFonts w:asciiTheme="majorHAnsi" w:hAnsiTheme="majorHAnsi"/>
                <w:sz w:val="16"/>
                <w:szCs w:val="18"/>
              </w:rPr>
              <w:t xml:space="preserve">story in the housing market.  </w:t>
            </w:r>
            <w:r w:rsidR="00D35E60">
              <w:rPr>
                <w:rFonts w:asciiTheme="majorHAnsi" w:hAnsiTheme="majorHAnsi"/>
                <w:sz w:val="16"/>
                <w:szCs w:val="18"/>
              </w:rPr>
              <w:t>In the DHI investor call volume is indeed the concentration moving forward</w:t>
            </w:r>
          </w:p>
        </w:tc>
      </w:tr>
      <w:tr w:rsidR="00DB5A10" w:rsidRPr="001A48A7" w14:paraId="3604FAC8" w14:textId="77777777" w:rsidTr="00DB5A10">
        <w:tc>
          <w:tcPr>
            <w:tcW w:w="11700" w:type="dxa"/>
            <w:shd w:val="clear" w:color="auto" w:fill="365F91" w:themeFill="accent1" w:themeFillShade="BF"/>
          </w:tcPr>
          <w:p w14:paraId="36D57562" w14:textId="69893D12" w:rsidR="00DB5A10" w:rsidRPr="0059647E" w:rsidRDefault="00DB5A10" w:rsidP="00DB5A10">
            <w:pPr>
              <w:tabs>
                <w:tab w:val="left" w:pos="2235"/>
              </w:tabs>
              <w:rPr>
                <w:rFonts w:asciiTheme="majorHAnsi" w:hAnsiTheme="majorHAnsi"/>
                <w:sz w:val="16"/>
                <w:szCs w:val="18"/>
              </w:rPr>
            </w:pPr>
            <w:r w:rsidRPr="0059647E">
              <w:rPr>
                <w:rFonts w:asciiTheme="majorHAnsi" w:hAnsiTheme="majorHAnsi"/>
                <w:b/>
                <w:color w:val="FFFFFF" w:themeColor="background1"/>
                <w:sz w:val="16"/>
                <w:szCs w:val="18"/>
              </w:rPr>
              <w:t>Investment Risks:</w:t>
            </w:r>
            <w:r w:rsidRPr="0059647E">
              <w:rPr>
                <w:rFonts w:asciiTheme="majorHAnsi" w:hAnsiTheme="majorHAnsi"/>
                <w:b/>
                <w:color w:val="FFFFFF" w:themeColor="background1"/>
                <w:sz w:val="16"/>
                <w:szCs w:val="18"/>
              </w:rPr>
              <w:tab/>
            </w:r>
          </w:p>
        </w:tc>
      </w:tr>
      <w:tr w:rsidR="00DB5A10" w:rsidRPr="001A48A7" w14:paraId="7051B972" w14:textId="77777777" w:rsidTr="00DB5A10">
        <w:tc>
          <w:tcPr>
            <w:tcW w:w="11700" w:type="dxa"/>
          </w:tcPr>
          <w:p w14:paraId="69B8588D" w14:textId="77777777" w:rsidR="004F5B56" w:rsidRPr="00D35E60" w:rsidRDefault="00D35E60" w:rsidP="00D35E60">
            <w:pPr>
              <w:pStyle w:val="ListParagraph"/>
              <w:numPr>
                <w:ilvl w:val="0"/>
                <w:numId w:val="7"/>
              </w:numPr>
              <w:rPr>
                <w:rFonts w:asciiTheme="majorHAnsi" w:hAnsiTheme="majorHAnsi"/>
                <w:sz w:val="16"/>
                <w:szCs w:val="18"/>
              </w:rPr>
            </w:pPr>
            <w:r>
              <w:rPr>
                <w:rFonts w:asciiTheme="majorHAnsi" w:hAnsiTheme="majorHAnsi" w:cs="Arial"/>
                <w:color w:val="000000"/>
                <w:sz w:val="16"/>
                <w:szCs w:val="18"/>
                <w:shd w:val="clear" w:color="auto" w:fill="FFFFFF"/>
              </w:rPr>
              <w:t>Fed rate increases may increase mortgage costs for buyers stumping top line growth</w:t>
            </w:r>
          </w:p>
          <w:p w14:paraId="71596CE2" w14:textId="77777777" w:rsidR="00D35E60" w:rsidRPr="00ED5C41" w:rsidRDefault="00ED5C41" w:rsidP="00D35E60">
            <w:pPr>
              <w:pStyle w:val="ListParagraph"/>
              <w:numPr>
                <w:ilvl w:val="0"/>
                <w:numId w:val="7"/>
              </w:numPr>
              <w:rPr>
                <w:rFonts w:asciiTheme="majorHAnsi" w:hAnsiTheme="majorHAnsi"/>
                <w:sz w:val="16"/>
                <w:szCs w:val="18"/>
              </w:rPr>
            </w:pPr>
            <w:r>
              <w:rPr>
                <w:rFonts w:asciiTheme="majorHAnsi" w:hAnsiTheme="majorHAnsi" w:cs="Arial"/>
                <w:color w:val="000000"/>
                <w:sz w:val="16"/>
                <w:szCs w:val="18"/>
                <w:shd w:val="clear" w:color="auto" w:fill="FFFFFF"/>
              </w:rPr>
              <w:t>Cost pressures like labor and land may outpace Revenue</w:t>
            </w:r>
          </w:p>
          <w:p w14:paraId="75DF9DC0" w14:textId="77777777" w:rsidR="00ED5C41" w:rsidRPr="00ED5C41" w:rsidRDefault="00ED5C41" w:rsidP="00D35E60">
            <w:pPr>
              <w:pStyle w:val="ListParagraph"/>
              <w:numPr>
                <w:ilvl w:val="0"/>
                <w:numId w:val="7"/>
              </w:numPr>
              <w:rPr>
                <w:rFonts w:asciiTheme="majorHAnsi" w:hAnsiTheme="majorHAnsi"/>
                <w:sz w:val="16"/>
                <w:szCs w:val="18"/>
              </w:rPr>
            </w:pPr>
            <w:r>
              <w:rPr>
                <w:rFonts w:asciiTheme="majorHAnsi" w:hAnsiTheme="majorHAnsi" w:cs="Arial"/>
                <w:color w:val="000000"/>
                <w:sz w:val="16"/>
                <w:szCs w:val="18"/>
                <w:shd w:val="clear" w:color="auto" w:fill="FFFFFF"/>
              </w:rPr>
              <w:t>Wages remaining stagnant could inhibit growth pace in later 2016</w:t>
            </w:r>
          </w:p>
          <w:p w14:paraId="78159DC0" w14:textId="3A6C5F6B" w:rsidR="00ED5C41" w:rsidRPr="00FD34FE" w:rsidRDefault="00ED5C41" w:rsidP="00ED5C41">
            <w:pPr>
              <w:pStyle w:val="ListParagraph"/>
              <w:numPr>
                <w:ilvl w:val="0"/>
                <w:numId w:val="7"/>
              </w:numPr>
              <w:rPr>
                <w:rFonts w:asciiTheme="majorHAnsi" w:hAnsiTheme="majorHAnsi"/>
                <w:sz w:val="16"/>
                <w:szCs w:val="18"/>
              </w:rPr>
            </w:pPr>
            <w:r>
              <w:rPr>
                <w:rFonts w:asciiTheme="majorHAnsi" w:hAnsiTheme="majorHAnsi" w:cs="Arial"/>
                <w:color w:val="000000"/>
                <w:sz w:val="16"/>
                <w:szCs w:val="18"/>
                <w:shd w:val="clear" w:color="auto" w:fill="FFFFFF"/>
              </w:rPr>
              <w:t>Very capital intensive industry making homebuilding a more volatile sub-sector</w:t>
            </w:r>
          </w:p>
        </w:tc>
      </w:tr>
      <w:tr w:rsidR="00DB5A10" w:rsidRPr="001A48A7" w14:paraId="76F577E7" w14:textId="77777777" w:rsidTr="00DB5A10">
        <w:tc>
          <w:tcPr>
            <w:tcW w:w="11700" w:type="dxa"/>
            <w:shd w:val="clear" w:color="auto" w:fill="365F91" w:themeFill="accent1" w:themeFillShade="BF"/>
          </w:tcPr>
          <w:p w14:paraId="0A443D6F" w14:textId="47126BAD" w:rsidR="00DB5A10" w:rsidRPr="0059647E" w:rsidRDefault="00DB5A10" w:rsidP="00DB5A10">
            <w:pPr>
              <w:ind w:left="72"/>
              <w:jc w:val="both"/>
              <w:rPr>
                <w:rFonts w:asciiTheme="majorHAnsi" w:hAnsiTheme="majorHAnsi"/>
                <w:color w:val="FFFFFF" w:themeColor="background1"/>
                <w:sz w:val="16"/>
                <w:szCs w:val="18"/>
              </w:rPr>
            </w:pPr>
            <w:r w:rsidRPr="0059647E">
              <w:rPr>
                <w:rFonts w:asciiTheme="majorHAnsi" w:hAnsiTheme="majorHAnsi"/>
                <w:b/>
                <w:color w:val="FFFFFF" w:themeColor="background1"/>
                <w:sz w:val="16"/>
                <w:szCs w:val="18"/>
              </w:rPr>
              <w:t xml:space="preserve">3-5 take </w:t>
            </w:r>
            <w:r w:rsidR="00274740" w:rsidRPr="0059647E">
              <w:rPr>
                <w:rFonts w:asciiTheme="majorHAnsi" w:hAnsiTheme="majorHAnsi"/>
                <w:b/>
                <w:color w:val="FFFFFF" w:themeColor="background1"/>
                <w:sz w:val="16"/>
                <w:szCs w:val="18"/>
              </w:rPr>
              <w:t>away</w:t>
            </w:r>
            <w:r w:rsidRPr="0059647E">
              <w:rPr>
                <w:rFonts w:asciiTheme="majorHAnsi" w:hAnsiTheme="majorHAnsi"/>
                <w:b/>
                <w:color w:val="FFFFFF" w:themeColor="background1"/>
                <w:sz w:val="16"/>
                <w:szCs w:val="18"/>
              </w:rPr>
              <w:t xml:space="preserve"> from last quarter investor call transcript: </w:t>
            </w:r>
            <w:r w:rsidR="00271424">
              <w:rPr>
                <w:rFonts w:asciiTheme="majorHAnsi" w:hAnsiTheme="majorHAnsi"/>
                <w:b/>
                <w:color w:val="FFFFFF" w:themeColor="background1"/>
                <w:sz w:val="16"/>
                <w:szCs w:val="18"/>
              </w:rPr>
              <w:t>Q1 2016</w:t>
            </w:r>
            <w:bookmarkStart w:id="0" w:name="_GoBack"/>
            <w:bookmarkEnd w:id="0"/>
          </w:p>
        </w:tc>
      </w:tr>
      <w:tr w:rsidR="00DB5A10" w:rsidRPr="00D9079F" w14:paraId="75D76709" w14:textId="77777777" w:rsidTr="00DB5A10">
        <w:trPr>
          <w:trHeight w:val="70"/>
        </w:trPr>
        <w:tc>
          <w:tcPr>
            <w:tcW w:w="11700" w:type="dxa"/>
          </w:tcPr>
          <w:p w14:paraId="1088A6E6" w14:textId="77777777" w:rsidR="00925975" w:rsidRDefault="00ED5C41" w:rsidP="00D672EC">
            <w:pPr>
              <w:pStyle w:val="ListParagraph"/>
              <w:numPr>
                <w:ilvl w:val="0"/>
                <w:numId w:val="7"/>
              </w:numPr>
              <w:rPr>
                <w:rFonts w:asciiTheme="majorHAnsi" w:hAnsiTheme="majorHAnsi" w:cs="Arial"/>
                <w:color w:val="000000"/>
                <w:sz w:val="16"/>
                <w:szCs w:val="18"/>
                <w:shd w:val="clear" w:color="auto" w:fill="FFFFFF"/>
              </w:rPr>
            </w:pPr>
            <w:r>
              <w:rPr>
                <w:rFonts w:asciiTheme="majorHAnsi" w:hAnsiTheme="majorHAnsi" w:cs="Arial"/>
                <w:color w:val="000000"/>
                <w:sz w:val="16"/>
                <w:szCs w:val="18"/>
                <w:shd w:val="clear" w:color="auto" w:fill="FFFFFF"/>
              </w:rPr>
              <w:t>CEO concentration on volume as a revenue generator, margins will decrease but with the soft economic indicators this may be the best play</w:t>
            </w:r>
          </w:p>
          <w:p w14:paraId="6CC410BE" w14:textId="77777777" w:rsidR="00ED5C41" w:rsidRDefault="006B5E87" w:rsidP="00E77710">
            <w:pPr>
              <w:pStyle w:val="ListParagraph"/>
              <w:numPr>
                <w:ilvl w:val="0"/>
                <w:numId w:val="7"/>
              </w:numPr>
              <w:rPr>
                <w:rFonts w:asciiTheme="majorHAnsi" w:hAnsiTheme="majorHAnsi" w:cs="Arial"/>
                <w:color w:val="000000"/>
                <w:sz w:val="16"/>
                <w:szCs w:val="18"/>
                <w:shd w:val="clear" w:color="auto" w:fill="FFFFFF"/>
              </w:rPr>
            </w:pPr>
            <w:r>
              <w:rPr>
                <w:rFonts w:asciiTheme="majorHAnsi" w:hAnsiTheme="majorHAnsi" w:cs="Arial"/>
                <w:color w:val="000000"/>
                <w:sz w:val="16"/>
                <w:szCs w:val="18"/>
                <w:shd w:val="clear" w:color="auto" w:fill="FFFFFF"/>
              </w:rPr>
              <w:t>Increased dividend by 28%</w:t>
            </w:r>
          </w:p>
          <w:p w14:paraId="4205DC0B" w14:textId="63959899" w:rsidR="00E77710" w:rsidRPr="00D672EC" w:rsidRDefault="00271424" w:rsidP="00E77710">
            <w:pPr>
              <w:pStyle w:val="ListParagraph"/>
              <w:numPr>
                <w:ilvl w:val="0"/>
                <w:numId w:val="7"/>
              </w:numPr>
              <w:rPr>
                <w:rFonts w:asciiTheme="majorHAnsi" w:hAnsiTheme="majorHAnsi" w:cs="Arial"/>
                <w:color w:val="000000"/>
                <w:sz w:val="16"/>
                <w:szCs w:val="18"/>
                <w:shd w:val="clear" w:color="auto" w:fill="FFFFFF"/>
              </w:rPr>
            </w:pPr>
            <w:r>
              <w:rPr>
                <w:rFonts w:asciiTheme="majorHAnsi" w:hAnsiTheme="majorHAnsi" w:cs="Arial"/>
                <w:color w:val="000000"/>
                <w:sz w:val="16"/>
                <w:szCs w:val="18"/>
                <w:shd w:val="clear" w:color="auto" w:fill="FFFFFF"/>
              </w:rPr>
              <w:t>Beat earnings expectations</w:t>
            </w:r>
          </w:p>
        </w:tc>
      </w:tr>
    </w:tbl>
    <w:p w14:paraId="5873EF7F" w14:textId="2051E1B5" w:rsidR="00B7642F" w:rsidRPr="00D9079F" w:rsidRDefault="00B7642F" w:rsidP="005E114B">
      <w:pPr>
        <w:rPr>
          <w:rFonts w:asciiTheme="majorHAnsi" w:hAnsiTheme="majorHAnsi"/>
          <w:sz w:val="16"/>
          <w:szCs w:val="16"/>
        </w:rPr>
      </w:pPr>
    </w:p>
    <w:tbl>
      <w:tblPr>
        <w:tblStyle w:val="TableGrid"/>
        <w:tblW w:w="11808" w:type="dxa"/>
        <w:tblInd w:w="-1440" w:type="dxa"/>
        <w:tblLook w:val="04A0" w:firstRow="1" w:lastRow="0" w:firstColumn="1" w:lastColumn="0" w:noHBand="0" w:noVBand="1"/>
      </w:tblPr>
      <w:tblGrid>
        <w:gridCol w:w="7431"/>
        <w:gridCol w:w="4377"/>
      </w:tblGrid>
      <w:tr w:rsidR="00830F06" w:rsidRPr="00D9079F" w14:paraId="730DB2FF" w14:textId="77777777" w:rsidTr="00FC0F5A">
        <w:tc>
          <w:tcPr>
            <w:tcW w:w="7218" w:type="dxa"/>
            <w:shd w:val="clear" w:color="auto" w:fill="365F91" w:themeFill="accent1" w:themeFillShade="BF"/>
          </w:tcPr>
          <w:p w14:paraId="7CF6246B" w14:textId="38A66325" w:rsidR="00830F06" w:rsidRPr="00D9079F" w:rsidRDefault="00830F06" w:rsidP="00443ED9">
            <w:pPr>
              <w:jc w:val="both"/>
              <w:rPr>
                <w:rFonts w:asciiTheme="majorHAnsi" w:hAnsiTheme="majorHAnsi"/>
                <w:b/>
                <w:color w:val="FFFFFF" w:themeColor="background1"/>
                <w:sz w:val="16"/>
                <w:szCs w:val="16"/>
              </w:rPr>
            </w:pPr>
            <w:r w:rsidRPr="00D9079F">
              <w:rPr>
                <w:rFonts w:asciiTheme="majorHAnsi" w:hAnsiTheme="majorHAnsi"/>
                <w:b/>
                <w:color w:val="FFFFFF" w:themeColor="background1"/>
                <w:sz w:val="16"/>
                <w:szCs w:val="16"/>
              </w:rPr>
              <w:t>Financial Performance:</w:t>
            </w:r>
          </w:p>
        </w:tc>
        <w:tc>
          <w:tcPr>
            <w:tcW w:w="4590" w:type="dxa"/>
            <w:shd w:val="clear" w:color="auto" w:fill="365F91" w:themeFill="accent1" w:themeFillShade="BF"/>
          </w:tcPr>
          <w:p w14:paraId="09E00ADF" w14:textId="62365A7B" w:rsidR="00830F06" w:rsidRPr="00D9079F" w:rsidRDefault="00830F06" w:rsidP="00443ED9">
            <w:pPr>
              <w:jc w:val="both"/>
              <w:rPr>
                <w:rFonts w:asciiTheme="majorHAnsi" w:hAnsiTheme="majorHAnsi"/>
                <w:b/>
                <w:color w:val="FFFFFF" w:themeColor="background1"/>
                <w:sz w:val="16"/>
                <w:szCs w:val="16"/>
              </w:rPr>
            </w:pPr>
            <w:r w:rsidRPr="00D9079F">
              <w:rPr>
                <w:rFonts w:asciiTheme="majorHAnsi" w:hAnsiTheme="majorHAnsi"/>
                <w:b/>
                <w:color w:val="FFFFFF" w:themeColor="background1"/>
                <w:sz w:val="16"/>
                <w:szCs w:val="16"/>
              </w:rPr>
              <w:t xml:space="preserve">Discounted Cash Flow </w:t>
            </w:r>
          </w:p>
        </w:tc>
      </w:tr>
      <w:tr w:rsidR="00830F06" w:rsidRPr="00D9079F" w14:paraId="0538015D" w14:textId="77777777" w:rsidTr="00FC0F5A">
        <w:tc>
          <w:tcPr>
            <w:tcW w:w="7218" w:type="dxa"/>
          </w:tcPr>
          <w:p w14:paraId="0E62487F" w14:textId="7E837223" w:rsidR="00284A3E" w:rsidRDefault="00490B84" w:rsidP="00443ED9">
            <w:pPr>
              <w:jc w:val="both"/>
              <w:rPr>
                <w:noProof/>
              </w:rPr>
            </w:pPr>
            <w:r>
              <w:rPr>
                <w:noProof/>
              </w:rPr>
              <w:drawing>
                <wp:inline distT="0" distB="0" distL="0" distR="0" wp14:anchorId="13BEB369" wp14:editId="3AD50221">
                  <wp:extent cx="4581525" cy="2205919"/>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604807" cy="2217129"/>
                          </a:xfrm>
                          <a:prstGeom prst="rect">
                            <a:avLst/>
                          </a:prstGeom>
                        </pic:spPr>
                      </pic:pic>
                    </a:graphicData>
                  </a:graphic>
                </wp:inline>
              </w:drawing>
            </w:r>
          </w:p>
          <w:p w14:paraId="6973B10F" w14:textId="1F90709C" w:rsidR="00830F06" w:rsidRPr="00D9079F" w:rsidRDefault="00830F06" w:rsidP="00443ED9">
            <w:pPr>
              <w:jc w:val="both"/>
              <w:rPr>
                <w:rFonts w:asciiTheme="majorHAnsi" w:hAnsiTheme="majorHAnsi"/>
                <w:b/>
                <w:sz w:val="16"/>
                <w:szCs w:val="16"/>
              </w:rPr>
            </w:pPr>
          </w:p>
          <w:p w14:paraId="6F98E45C" w14:textId="3E837B4D" w:rsidR="00830F06" w:rsidRPr="00D9079F" w:rsidRDefault="00830F06" w:rsidP="00443ED9">
            <w:pPr>
              <w:jc w:val="both"/>
              <w:rPr>
                <w:rFonts w:asciiTheme="majorHAnsi" w:hAnsiTheme="majorHAnsi"/>
                <w:b/>
                <w:sz w:val="16"/>
                <w:szCs w:val="16"/>
              </w:rPr>
            </w:pPr>
          </w:p>
        </w:tc>
        <w:tc>
          <w:tcPr>
            <w:tcW w:w="4590" w:type="dxa"/>
          </w:tcPr>
          <w:p w14:paraId="3276E349" w14:textId="77777777" w:rsidR="00830F06" w:rsidRPr="00D9079F" w:rsidRDefault="00830F06" w:rsidP="00443ED9">
            <w:pPr>
              <w:jc w:val="both"/>
              <w:rPr>
                <w:rFonts w:asciiTheme="majorHAnsi" w:hAnsiTheme="majorHAnsi"/>
                <w:b/>
                <w:sz w:val="16"/>
                <w:szCs w:val="16"/>
              </w:rPr>
            </w:pPr>
          </w:p>
          <w:tbl>
            <w:tblPr>
              <w:tblStyle w:val="TableGrid"/>
              <w:tblW w:w="0" w:type="auto"/>
              <w:tblLook w:val="04A0" w:firstRow="1" w:lastRow="0" w:firstColumn="1" w:lastColumn="0" w:noHBand="0" w:noVBand="1"/>
            </w:tblPr>
            <w:tblGrid>
              <w:gridCol w:w="1897"/>
              <w:gridCol w:w="1123"/>
              <w:gridCol w:w="1074"/>
            </w:tblGrid>
            <w:tr w:rsidR="0060598F" w:rsidRPr="00D9079F" w14:paraId="4C54BF94" w14:textId="77777777" w:rsidTr="00FC0F5A">
              <w:tc>
                <w:tcPr>
                  <w:tcW w:w="1897" w:type="dxa"/>
                  <w:shd w:val="clear" w:color="auto" w:fill="DBE5F1" w:themeFill="accent1" w:themeFillTint="33"/>
                </w:tcPr>
                <w:p w14:paraId="15FA463B" w14:textId="77777777" w:rsidR="00830F06" w:rsidRPr="00D9079F" w:rsidRDefault="00830F06" w:rsidP="00830F06">
                  <w:pPr>
                    <w:rPr>
                      <w:rFonts w:asciiTheme="majorHAnsi" w:hAnsiTheme="majorHAnsi"/>
                      <w:sz w:val="16"/>
                      <w:szCs w:val="16"/>
                    </w:rPr>
                  </w:pPr>
                </w:p>
              </w:tc>
              <w:tc>
                <w:tcPr>
                  <w:tcW w:w="1123" w:type="dxa"/>
                  <w:shd w:val="clear" w:color="auto" w:fill="DBE5F1" w:themeFill="accent1" w:themeFillTint="33"/>
                </w:tcPr>
                <w:p w14:paraId="3D650FB0" w14:textId="4826DF0D" w:rsidR="00830F06" w:rsidRPr="00D9079F" w:rsidRDefault="00830F06" w:rsidP="00E42CC2">
                  <w:pPr>
                    <w:rPr>
                      <w:rFonts w:asciiTheme="majorHAnsi" w:hAnsiTheme="majorHAnsi"/>
                      <w:sz w:val="16"/>
                      <w:szCs w:val="16"/>
                    </w:rPr>
                  </w:pPr>
                  <w:r w:rsidRPr="00D9079F">
                    <w:rPr>
                      <w:rFonts w:asciiTheme="majorHAnsi" w:hAnsiTheme="majorHAnsi"/>
                      <w:sz w:val="16"/>
                      <w:szCs w:val="16"/>
                    </w:rPr>
                    <w:t>201</w:t>
                  </w:r>
                  <w:r w:rsidR="00E42CC2" w:rsidRPr="00D9079F">
                    <w:rPr>
                      <w:rFonts w:asciiTheme="majorHAnsi" w:hAnsiTheme="majorHAnsi"/>
                      <w:sz w:val="16"/>
                      <w:szCs w:val="16"/>
                    </w:rPr>
                    <w:t>0</w:t>
                  </w:r>
                  <w:r w:rsidR="001A1781" w:rsidRPr="00D9079F">
                    <w:rPr>
                      <w:rFonts w:asciiTheme="majorHAnsi" w:hAnsiTheme="majorHAnsi"/>
                      <w:sz w:val="16"/>
                      <w:szCs w:val="16"/>
                    </w:rPr>
                    <w:t>-15</w:t>
                  </w:r>
                </w:p>
              </w:tc>
              <w:tc>
                <w:tcPr>
                  <w:tcW w:w="1074" w:type="dxa"/>
                  <w:shd w:val="clear" w:color="auto" w:fill="DBE5F1" w:themeFill="accent1" w:themeFillTint="33"/>
                </w:tcPr>
                <w:p w14:paraId="6917AD00" w14:textId="06AD074B" w:rsidR="00830F06" w:rsidRPr="00D9079F" w:rsidRDefault="001A1781" w:rsidP="00830F06">
                  <w:pPr>
                    <w:rPr>
                      <w:rFonts w:asciiTheme="majorHAnsi" w:hAnsiTheme="majorHAnsi"/>
                      <w:sz w:val="16"/>
                      <w:szCs w:val="16"/>
                    </w:rPr>
                  </w:pPr>
                  <w:r w:rsidRPr="00D9079F">
                    <w:rPr>
                      <w:rFonts w:asciiTheme="majorHAnsi" w:hAnsiTheme="majorHAnsi"/>
                      <w:sz w:val="16"/>
                      <w:szCs w:val="16"/>
                    </w:rPr>
                    <w:t>2016-20</w:t>
                  </w:r>
                </w:p>
              </w:tc>
            </w:tr>
            <w:tr w:rsidR="0060598F" w:rsidRPr="00D9079F" w14:paraId="5A9DD5F4" w14:textId="77777777" w:rsidTr="00FC0F5A">
              <w:tc>
                <w:tcPr>
                  <w:tcW w:w="1897" w:type="dxa"/>
                </w:tcPr>
                <w:p w14:paraId="6A465DCA" w14:textId="77777777" w:rsidR="00830F06" w:rsidRPr="00D9079F" w:rsidRDefault="00830F06" w:rsidP="00830F06">
                  <w:pPr>
                    <w:rPr>
                      <w:rFonts w:asciiTheme="majorHAnsi" w:hAnsiTheme="majorHAnsi"/>
                      <w:sz w:val="16"/>
                      <w:szCs w:val="16"/>
                    </w:rPr>
                  </w:pPr>
                  <w:proofErr w:type="spellStart"/>
                  <w:r w:rsidRPr="00D9079F">
                    <w:rPr>
                      <w:rFonts w:asciiTheme="majorHAnsi" w:hAnsiTheme="majorHAnsi"/>
                      <w:sz w:val="16"/>
                      <w:szCs w:val="16"/>
                    </w:rPr>
                    <w:t>Avg</w:t>
                  </w:r>
                  <w:proofErr w:type="spellEnd"/>
                  <w:r w:rsidRPr="00D9079F">
                    <w:rPr>
                      <w:rFonts w:asciiTheme="majorHAnsi" w:hAnsiTheme="majorHAnsi"/>
                      <w:sz w:val="16"/>
                      <w:szCs w:val="16"/>
                    </w:rPr>
                    <w:t xml:space="preserve">  Revenue growth </w:t>
                  </w:r>
                </w:p>
              </w:tc>
              <w:tc>
                <w:tcPr>
                  <w:tcW w:w="1123" w:type="dxa"/>
                </w:tcPr>
                <w:p w14:paraId="28890419" w14:textId="33DA9EF0" w:rsidR="00830F06" w:rsidRPr="00D9079F" w:rsidRDefault="001B2AAE" w:rsidP="00830F06">
                  <w:pPr>
                    <w:rPr>
                      <w:rFonts w:asciiTheme="majorHAnsi" w:hAnsiTheme="majorHAnsi"/>
                      <w:sz w:val="16"/>
                      <w:szCs w:val="16"/>
                    </w:rPr>
                  </w:pPr>
                  <w:r>
                    <w:rPr>
                      <w:rFonts w:asciiTheme="majorHAnsi" w:hAnsiTheme="majorHAnsi"/>
                      <w:sz w:val="16"/>
                      <w:szCs w:val="16"/>
                    </w:rPr>
                    <w:t>22</w:t>
                  </w:r>
                  <w:r w:rsidR="007C5299">
                    <w:rPr>
                      <w:rFonts w:asciiTheme="majorHAnsi" w:hAnsiTheme="majorHAnsi"/>
                      <w:sz w:val="16"/>
                      <w:szCs w:val="16"/>
                    </w:rPr>
                    <w:t>%</w:t>
                  </w:r>
                </w:p>
              </w:tc>
              <w:tc>
                <w:tcPr>
                  <w:tcW w:w="1074" w:type="dxa"/>
                </w:tcPr>
                <w:p w14:paraId="2B6EF445" w14:textId="233F7F37" w:rsidR="00830F06" w:rsidRPr="00D9079F" w:rsidRDefault="001B2AAE" w:rsidP="00830F06">
                  <w:pPr>
                    <w:rPr>
                      <w:rFonts w:asciiTheme="majorHAnsi" w:hAnsiTheme="majorHAnsi"/>
                      <w:sz w:val="16"/>
                      <w:szCs w:val="16"/>
                    </w:rPr>
                  </w:pPr>
                  <w:r>
                    <w:rPr>
                      <w:rFonts w:asciiTheme="majorHAnsi" w:hAnsiTheme="majorHAnsi"/>
                      <w:sz w:val="16"/>
                      <w:szCs w:val="16"/>
                    </w:rPr>
                    <w:t>14</w:t>
                  </w:r>
                  <w:r w:rsidR="007C5299">
                    <w:rPr>
                      <w:rFonts w:asciiTheme="majorHAnsi" w:hAnsiTheme="majorHAnsi"/>
                      <w:sz w:val="16"/>
                      <w:szCs w:val="16"/>
                    </w:rPr>
                    <w:t>%</w:t>
                  </w:r>
                </w:p>
              </w:tc>
            </w:tr>
            <w:tr w:rsidR="0060598F" w:rsidRPr="00D9079F" w14:paraId="49A71F37" w14:textId="77777777" w:rsidTr="00FC0F5A">
              <w:tc>
                <w:tcPr>
                  <w:tcW w:w="1897" w:type="dxa"/>
                </w:tcPr>
                <w:p w14:paraId="7425D824" w14:textId="77777777" w:rsidR="00830F06" w:rsidRPr="00D9079F" w:rsidRDefault="00830F06" w:rsidP="00830F06">
                  <w:pPr>
                    <w:rPr>
                      <w:rFonts w:asciiTheme="majorHAnsi" w:hAnsiTheme="majorHAnsi"/>
                      <w:sz w:val="16"/>
                      <w:szCs w:val="16"/>
                    </w:rPr>
                  </w:pPr>
                  <w:proofErr w:type="spellStart"/>
                  <w:r w:rsidRPr="00D9079F">
                    <w:rPr>
                      <w:rFonts w:asciiTheme="majorHAnsi" w:hAnsiTheme="majorHAnsi"/>
                      <w:sz w:val="16"/>
                      <w:szCs w:val="16"/>
                    </w:rPr>
                    <w:t>Avg</w:t>
                  </w:r>
                  <w:proofErr w:type="spellEnd"/>
                  <w:r w:rsidRPr="00D9079F">
                    <w:rPr>
                      <w:rFonts w:asciiTheme="majorHAnsi" w:hAnsiTheme="majorHAnsi"/>
                      <w:sz w:val="16"/>
                      <w:szCs w:val="16"/>
                    </w:rPr>
                    <w:t xml:space="preserve">  EBITDA Margin </w:t>
                  </w:r>
                </w:p>
              </w:tc>
              <w:tc>
                <w:tcPr>
                  <w:tcW w:w="1123" w:type="dxa"/>
                </w:tcPr>
                <w:p w14:paraId="6AE1C97F" w14:textId="0F600431" w:rsidR="00830F06" w:rsidRPr="00D9079F" w:rsidRDefault="001B2AAE" w:rsidP="00FD0265">
                  <w:pPr>
                    <w:rPr>
                      <w:rFonts w:asciiTheme="majorHAnsi" w:hAnsiTheme="majorHAnsi"/>
                      <w:sz w:val="16"/>
                      <w:szCs w:val="16"/>
                    </w:rPr>
                  </w:pPr>
                  <w:r>
                    <w:rPr>
                      <w:rFonts w:asciiTheme="majorHAnsi" w:hAnsiTheme="majorHAnsi"/>
                      <w:sz w:val="16"/>
                      <w:szCs w:val="16"/>
                    </w:rPr>
                    <w:t>8</w:t>
                  </w:r>
                  <w:r w:rsidR="007C5299">
                    <w:rPr>
                      <w:rFonts w:asciiTheme="majorHAnsi" w:hAnsiTheme="majorHAnsi"/>
                      <w:sz w:val="16"/>
                      <w:szCs w:val="16"/>
                    </w:rPr>
                    <w:t>%</w:t>
                  </w:r>
                </w:p>
              </w:tc>
              <w:tc>
                <w:tcPr>
                  <w:tcW w:w="1074" w:type="dxa"/>
                </w:tcPr>
                <w:p w14:paraId="72FC070B" w14:textId="5DB2EBF0" w:rsidR="00830F06" w:rsidRPr="00D9079F" w:rsidRDefault="001B2AAE" w:rsidP="00830F06">
                  <w:pPr>
                    <w:rPr>
                      <w:rFonts w:asciiTheme="majorHAnsi" w:hAnsiTheme="majorHAnsi"/>
                      <w:sz w:val="16"/>
                      <w:szCs w:val="16"/>
                    </w:rPr>
                  </w:pPr>
                  <w:r>
                    <w:rPr>
                      <w:rFonts w:asciiTheme="majorHAnsi" w:hAnsiTheme="majorHAnsi"/>
                      <w:sz w:val="16"/>
                      <w:szCs w:val="16"/>
                    </w:rPr>
                    <w:t>11</w:t>
                  </w:r>
                  <w:r w:rsidR="007C5299">
                    <w:rPr>
                      <w:rFonts w:asciiTheme="majorHAnsi" w:hAnsiTheme="majorHAnsi"/>
                      <w:sz w:val="16"/>
                      <w:szCs w:val="16"/>
                    </w:rPr>
                    <w:t>%</w:t>
                  </w:r>
                </w:p>
              </w:tc>
            </w:tr>
            <w:tr w:rsidR="0060598F" w:rsidRPr="00D9079F" w14:paraId="5B01660D" w14:textId="77777777" w:rsidTr="00FC0F5A">
              <w:tc>
                <w:tcPr>
                  <w:tcW w:w="1897" w:type="dxa"/>
                </w:tcPr>
                <w:p w14:paraId="2B656250" w14:textId="256511D5" w:rsidR="00830F06" w:rsidRPr="00230BD4" w:rsidRDefault="00830F06" w:rsidP="009B5E2E">
                  <w:pPr>
                    <w:rPr>
                      <w:rFonts w:asciiTheme="majorHAnsi" w:hAnsiTheme="majorHAnsi"/>
                      <w:sz w:val="16"/>
                      <w:szCs w:val="16"/>
                    </w:rPr>
                  </w:pPr>
                  <w:proofErr w:type="spellStart"/>
                  <w:r w:rsidRPr="00230BD4">
                    <w:rPr>
                      <w:rFonts w:asciiTheme="majorHAnsi" w:hAnsiTheme="majorHAnsi"/>
                      <w:sz w:val="16"/>
                      <w:szCs w:val="16"/>
                    </w:rPr>
                    <w:t>Avg</w:t>
                  </w:r>
                  <w:proofErr w:type="spellEnd"/>
                  <w:r w:rsidRPr="00230BD4">
                    <w:rPr>
                      <w:rFonts w:asciiTheme="majorHAnsi" w:hAnsiTheme="majorHAnsi"/>
                      <w:sz w:val="16"/>
                      <w:szCs w:val="16"/>
                    </w:rPr>
                    <w:t xml:space="preserve">  </w:t>
                  </w:r>
                  <w:r w:rsidR="009B5E2E">
                    <w:rPr>
                      <w:rFonts w:asciiTheme="majorHAnsi" w:hAnsiTheme="majorHAnsi"/>
                      <w:sz w:val="16"/>
                      <w:szCs w:val="16"/>
                    </w:rPr>
                    <w:t>NOPAT</w:t>
                  </w:r>
                  <w:r w:rsidRPr="00230BD4">
                    <w:rPr>
                      <w:rFonts w:asciiTheme="majorHAnsi" w:hAnsiTheme="majorHAnsi"/>
                      <w:sz w:val="16"/>
                      <w:szCs w:val="16"/>
                    </w:rPr>
                    <w:t xml:space="preserve"> </w:t>
                  </w:r>
                </w:p>
              </w:tc>
              <w:tc>
                <w:tcPr>
                  <w:tcW w:w="1123" w:type="dxa"/>
                </w:tcPr>
                <w:p w14:paraId="6B796F07" w14:textId="58CB635B" w:rsidR="00830F06" w:rsidRPr="00D9079F" w:rsidRDefault="001B2AAE" w:rsidP="00830F06">
                  <w:pPr>
                    <w:rPr>
                      <w:rFonts w:asciiTheme="majorHAnsi" w:hAnsiTheme="majorHAnsi"/>
                      <w:sz w:val="16"/>
                      <w:szCs w:val="16"/>
                    </w:rPr>
                  </w:pPr>
                  <w:r>
                    <w:rPr>
                      <w:rFonts w:asciiTheme="majorHAnsi" w:hAnsiTheme="majorHAnsi"/>
                      <w:sz w:val="16"/>
                      <w:szCs w:val="16"/>
                    </w:rPr>
                    <w:t>6</w:t>
                  </w:r>
                  <w:r w:rsidR="00925975">
                    <w:rPr>
                      <w:rFonts w:asciiTheme="majorHAnsi" w:hAnsiTheme="majorHAnsi"/>
                      <w:sz w:val="16"/>
                      <w:szCs w:val="16"/>
                    </w:rPr>
                    <w:t>%</w:t>
                  </w:r>
                </w:p>
              </w:tc>
              <w:tc>
                <w:tcPr>
                  <w:tcW w:w="1074" w:type="dxa"/>
                </w:tcPr>
                <w:p w14:paraId="2CA542D3" w14:textId="3DA0367A" w:rsidR="00830F06" w:rsidRPr="00D9079F" w:rsidRDefault="001B2AAE" w:rsidP="00830F06">
                  <w:pPr>
                    <w:rPr>
                      <w:rFonts w:asciiTheme="majorHAnsi" w:hAnsiTheme="majorHAnsi"/>
                      <w:sz w:val="16"/>
                      <w:szCs w:val="16"/>
                    </w:rPr>
                  </w:pPr>
                  <w:r>
                    <w:rPr>
                      <w:rFonts w:asciiTheme="majorHAnsi" w:hAnsiTheme="majorHAnsi"/>
                      <w:sz w:val="16"/>
                      <w:szCs w:val="16"/>
                    </w:rPr>
                    <w:t>8</w:t>
                  </w:r>
                  <w:r w:rsidR="00925975">
                    <w:rPr>
                      <w:rFonts w:asciiTheme="majorHAnsi" w:hAnsiTheme="majorHAnsi"/>
                      <w:sz w:val="16"/>
                      <w:szCs w:val="16"/>
                    </w:rPr>
                    <w:t>%</w:t>
                  </w:r>
                </w:p>
              </w:tc>
            </w:tr>
            <w:tr w:rsidR="0060598F" w:rsidRPr="00D9079F" w14:paraId="1407D251" w14:textId="77777777" w:rsidTr="00FC0F5A">
              <w:tc>
                <w:tcPr>
                  <w:tcW w:w="1897" w:type="dxa"/>
                </w:tcPr>
                <w:p w14:paraId="5FB4F2E9" w14:textId="77777777" w:rsidR="00830F06" w:rsidRPr="00230BD4" w:rsidRDefault="00830F06" w:rsidP="00830F06">
                  <w:pPr>
                    <w:rPr>
                      <w:rFonts w:asciiTheme="majorHAnsi" w:hAnsiTheme="majorHAnsi"/>
                      <w:sz w:val="16"/>
                      <w:szCs w:val="16"/>
                    </w:rPr>
                  </w:pPr>
                  <w:proofErr w:type="spellStart"/>
                  <w:r w:rsidRPr="00230BD4">
                    <w:rPr>
                      <w:rFonts w:asciiTheme="majorHAnsi" w:hAnsiTheme="majorHAnsi"/>
                      <w:sz w:val="16"/>
                      <w:szCs w:val="16"/>
                    </w:rPr>
                    <w:t>Avg</w:t>
                  </w:r>
                  <w:proofErr w:type="spellEnd"/>
                  <w:r w:rsidRPr="00230BD4">
                    <w:rPr>
                      <w:rFonts w:asciiTheme="majorHAnsi" w:hAnsiTheme="majorHAnsi"/>
                      <w:sz w:val="16"/>
                      <w:szCs w:val="16"/>
                    </w:rPr>
                    <w:t xml:space="preserve">  Debt/Equity </w:t>
                  </w:r>
                </w:p>
              </w:tc>
              <w:tc>
                <w:tcPr>
                  <w:tcW w:w="1123" w:type="dxa"/>
                </w:tcPr>
                <w:p w14:paraId="3BD7CDF4" w14:textId="4491811B" w:rsidR="00830F06" w:rsidRPr="008C630B" w:rsidRDefault="00AA3D63" w:rsidP="00830F06">
                  <w:pPr>
                    <w:rPr>
                      <w:rFonts w:asciiTheme="majorHAnsi" w:hAnsiTheme="majorHAnsi"/>
                      <w:sz w:val="16"/>
                      <w:szCs w:val="16"/>
                      <w:highlight w:val="yellow"/>
                    </w:rPr>
                  </w:pPr>
                  <w:r>
                    <w:rPr>
                      <w:rFonts w:asciiTheme="majorHAnsi" w:hAnsiTheme="majorHAnsi"/>
                      <w:sz w:val="16"/>
                      <w:szCs w:val="16"/>
                    </w:rPr>
                    <w:t>67.60</w:t>
                  </w:r>
                </w:p>
              </w:tc>
              <w:tc>
                <w:tcPr>
                  <w:tcW w:w="1074" w:type="dxa"/>
                </w:tcPr>
                <w:p w14:paraId="6104E666" w14:textId="3582AA0E" w:rsidR="00830F06" w:rsidRPr="008C630B" w:rsidRDefault="00830F06" w:rsidP="00830F06">
                  <w:pPr>
                    <w:rPr>
                      <w:rFonts w:asciiTheme="majorHAnsi" w:hAnsiTheme="majorHAnsi"/>
                      <w:sz w:val="16"/>
                      <w:szCs w:val="16"/>
                      <w:highlight w:val="yellow"/>
                    </w:rPr>
                  </w:pPr>
                </w:p>
              </w:tc>
            </w:tr>
            <w:tr w:rsidR="0060598F" w:rsidRPr="00D9079F" w14:paraId="261F133B" w14:textId="77777777" w:rsidTr="00FC0F5A">
              <w:tc>
                <w:tcPr>
                  <w:tcW w:w="1897" w:type="dxa"/>
                </w:tcPr>
                <w:p w14:paraId="0B1C1930" w14:textId="7822A15F" w:rsidR="00830F06" w:rsidRPr="00D9079F" w:rsidRDefault="00830F06" w:rsidP="009B5E2E">
                  <w:pPr>
                    <w:rPr>
                      <w:rFonts w:asciiTheme="majorHAnsi" w:hAnsiTheme="majorHAnsi"/>
                      <w:sz w:val="16"/>
                      <w:szCs w:val="16"/>
                    </w:rPr>
                  </w:pPr>
                  <w:proofErr w:type="spellStart"/>
                  <w:r w:rsidRPr="00D9079F">
                    <w:rPr>
                      <w:rFonts w:asciiTheme="majorHAnsi" w:hAnsiTheme="majorHAnsi"/>
                      <w:sz w:val="16"/>
                      <w:szCs w:val="16"/>
                    </w:rPr>
                    <w:t>Avg</w:t>
                  </w:r>
                  <w:proofErr w:type="spellEnd"/>
                  <w:r w:rsidRPr="00D9079F">
                    <w:rPr>
                      <w:rFonts w:asciiTheme="majorHAnsi" w:hAnsiTheme="majorHAnsi"/>
                      <w:sz w:val="16"/>
                      <w:szCs w:val="16"/>
                    </w:rPr>
                    <w:t xml:space="preserve">  </w:t>
                  </w:r>
                  <w:r w:rsidR="00FD0265" w:rsidRPr="00D9079F">
                    <w:rPr>
                      <w:rFonts w:asciiTheme="majorHAnsi" w:hAnsiTheme="majorHAnsi"/>
                      <w:sz w:val="16"/>
                      <w:szCs w:val="16"/>
                    </w:rPr>
                    <w:t>FCF</w:t>
                  </w:r>
                  <w:r w:rsidRPr="00D9079F">
                    <w:rPr>
                      <w:rFonts w:asciiTheme="majorHAnsi" w:hAnsiTheme="majorHAnsi"/>
                      <w:sz w:val="16"/>
                      <w:szCs w:val="16"/>
                    </w:rPr>
                    <w:t xml:space="preserve"> / </w:t>
                  </w:r>
                  <w:r w:rsidR="00FD0265" w:rsidRPr="00D9079F">
                    <w:rPr>
                      <w:rFonts w:asciiTheme="majorHAnsi" w:hAnsiTheme="majorHAnsi"/>
                      <w:sz w:val="16"/>
                      <w:szCs w:val="16"/>
                    </w:rPr>
                    <w:t>Margin</w:t>
                  </w:r>
                  <w:r w:rsidRPr="00D9079F">
                    <w:rPr>
                      <w:rFonts w:asciiTheme="majorHAnsi" w:hAnsiTheme="majorHAnsi"/>
                      <w:sz w:val="16"/>
                      <w:szCs w:val="16"/>
                    </w:rPr>
                    <w:t xml:space="preserve"> </w:t>
                  </w:r>
                  <w:r w:rsidR="009B5E2E">
                    <w:rPr>
                      <w:rFonts w:asciiTheme="majorHAnsi" w:hAnsiTheme="majorHAnsi"/>
                      <w:sz w:val="16"/>
                      <w:szCs w:val="16"/>
                    </w:rPr>
                    <w:t xml:space="preserve"> L3yr</w:t>
                  </w:r>
                </w:p>
              </w:tc>
              <w:tc>
                <w:tcPr>
                  <w:tcW w:w="1123" w:type="dxa"/>
                  <w:shd w:val="clear" w:color="auto" w:fill="auto"/>
                </w:tcPr>
                <w:p w14:paraId="4FFEFCE9" w14:textId="15D6C3B2" w:rsidR="00830F06" w:rsidRPr="00D9079F" w:rsidRDefault="00AA3D63" w:rsidP="00830F06">
                  <w:pPr>
                    <w:rPr>
                      <w:rFonts w:asciiTheme="majorHAnsi" w:hAnsiTheme="majorHAnsi"/>
                      <w:sz w:val="16"/>
                      <w:szCs w:val="16"/>
                    </w:rPr>
                  </w:pPr>
                  <w:r>
                    <w:rPr>
                      <w:rFonts w:asciiTheme="majorHAnsi" w:hAnsiTheme="majorHAnsi"/>
                      <w:sz w:val="16"/>
                      <w:szCs w:val="16"/>
                    </w:rPr>
                    <w:t>-9</w:t>
                  </w:r>
                  <w:r w:rsidR="009B5E2E">
                    <w:rPr>
                      <w:rFonts w:asciiTheme="majorHAnsi" w:hAnsiTheme="majorHAnsi"/>
                      <w:sz w:val="16"/>
                      <w:szCs w:val="16"/>
                    </w:rPr>
                    <w:t>%</w:t>
                  </w:r>
                </w:p>
              </w:tc>
              <w:tc>
                <w:tcPr>
                  <w:tcW w:w="1074" w:type="dxa"/>
                  <w:shd w:val="clear" w:color="auto" w:fill="auto"/>
                </w:tcPr>
                <w:p w14:paraId="04395283" w14:textId="70C2AFAD" w:rsidR="00830F06" w:rsidRPr="00D9079F" w:rsidRDefault="00830F06" w:rsidP="00830F06">
                  <w:pPr>
                    <w:rPr>
                      <w:rFonts w:asciiTheme="majorHAnsi" w:hAnsiTheme="majorHAnsi"/>
                      <w:sz w:val="16"/>
                      <w:szCs w:val="16"/>
                    </w:rPr>
                  </w:pPr>
                </w:p>
              </w:tc>
            </w:tr>
            <w:tr w:rsidR="00830F06" w:rsidRPr="00D9079F" w14:paraId="42F79EE5" w14:textId="77777777" w:rsidTr="00FC0F5A">
              <w:tc>
                <w:tcPr>
                  <w:tcW w:w="3020" w:type="dxa"/>
                  <w:gridSpan w:val="2"/>
                </w:tcPr>
                <w:p w14:paraId="11317549" w14:textId="1F427D44" w:rsidR="00830F06" w:rsidRPr="00D9079F" w:rsidRDefault="00830F06" w:rsidP="00830F06">
                  <w:pPr>
                    <w:rPr>
                      <w:rFonts w:asciiTheme="majorHAnsi" w:hAnsiTheme="majorHAnsi"/>
                      <w:sz w:val="16"/>
                      <w:szCs w:val="16"/>
                    </w:rPr>
                  </w:pPr>
                  <w:r w:rsidRPr="00D9079F">
                    <w:rPr>
                      <w:rFonts w:asciiTheme="majorHAnsi" w:hAnsiTheme="majorHAnsi"/>
                      <w:sz w:val="16"/>
                      <w:szCs w:val="16"/>
                    </w:rPr>
                    <w:t>Cost of Debt</w:t>
                  </w:r>
                  <w:r w:rsidR="00DD2BB1">
                    <w:rPr>
                      <w:rFonts w:asciiTheme="majorHAnsi" w:hAnsiTheme="majorHAnsi"/>
                      <w:sz w:val="16"/>
                      <w:szCs w:val="16"/>
                    </w:rPr>
                    <w:t xml:space="preserve"> (after tax)</w:t>
                  </w:r>
                </w:p>
              </w:tc>
              <w:tc>
                <w:tcPr>
                  <w:tcW w:w="1074" w:type="dxa"/>
                </w:tcPr>
                <w:p w14:paraId="316D237F" w14:textId="7329E137" w:rsidR="00830F06" w:rsidRPr="00D9079F" w:rsidRDefault="00AA3D63" w:rsidP="00830F06">
                  <w:pPr>
                    <w:rPr>
                      <w:rFonts w:asciiTheme="majorHAnsi" w:hAnsiTheme="majorHAnsi"/>
                      <w:sz w:val="16"/>
                      <w:szCs w:val="16"/>
                    </w:rPr>
                  </w:pPr>
                  <w:r>
                    <w:rPr>
                      <w:rFonts w:asciiTheme="majorHAnsi" w:hAnsiTheme="majorHAnsi"/>
                      <w:sz w:val="16"/>
                      <w:szCs w:val="16"/>
                    </w:rPr>
                    <w:t>1.65</w:t>
                  </w:r>
                  <w:r w:rsidR="00925975">
                    <w:rPr>
                      <w:rFonts w:asciiTheme="majorHAnsi" w:hAnsiTheme="majorHAnsi"/>
                      <w:sz w:val="16"/>
                      <w:szCs w:val="16"/>
                    </w:rPr>
                    <w:t>%</w:t>
                  </w:r>
                </w:p>
              </w:tc>
            </w:tr>
            <w:tr w:rsidR="00830F06" w:rsidRPr="00D9079F" w14:paraId="67214880" w14:textId="77777777" w:rsidTr="00FC0F5A">
              <w:tc>
                <w:tcPr>
                  <w:tcW w:w="3020" w:type="dxa"/>
                  <w:gridSpan w:val="2"/>
                </w:tcPr>
                <w:p w14:paraId="30979647" w14:textId="54CC5FD6" w:rsidR="00830F06" w:rsidRPr="00D9079F" w:rsidRDefault="00830F06" w:rsidP="00830F06">
                  <w:pPr>
                    <w:rPr>
                      <w:rFonts w:asciiTheme="majorHAnsi" w:hAnsiTheme="majorHAnsi"/>
                      <w:sz w:val="16"/>
                      <w:szCs w:val="16"/>
                    </w:rPr>
                  </w:pPr>
                  <w:r w:rsidRPr="00D9079F">
                    <w:rPr>
                      <w:rFonts w:asciiTheme="majorHAnsi" w:hAnsiTheme="majorHAnsi"/>
                      <w:sz w:val="16"/>
                      <w:szCs w:val="16"/>
                    </w:rPr>
                    <w:t>Tax Rate</w:t>
                  </w:r>
                  <w:r w:rsidR="00DD2BB1">
                    <w:rPr>
                      <w:rFonts w:asciiTheme="majorHAnsi" w:hAnsiTheme="majorHAnsi"/>
                      <w:sz w:val="16"/>
                      <w:szCs w:val="16"/>
                    </w:rPr>
                    <w:t xml:space="preserve"> last filing</w:t>
                  </w:r>
                </w:p>
              </w:tc>
              <w:tc>
                <w:tcPr>
                  <w:tcW w:w="1074" w:type="dxa"/>
                </w:tcPr>
                <w:p w14:paraId="426CE887" w14:textId="7CF5BD7D" w:rsidR="00830F06" w:rsidRPr="00D9079F" w:rsidRDefault="00AA3D63" w:rsidP="00AA3D63">
                  <w:pPr>
                    <w:rPr>
                      <w:rFonts w:asciiTheme="majorHAnsi" w:hAnsiTheme="majorHAnsi"/>
                      <w:sz w:val="16"/>
                      <w:szCs w:val="16"/>
                    </w:rPr>
                  </w:pPr>
                  <w:r>
                    <w:rPr>
                      <w:rFonts w:asciiTheme="majorHAnsi" w:hAnsiTheme="majorHAnsi"/>
                      <w:sz w:val="16"/>
                      <w:szCs w:val="16"/>
                    </w:rPr>
                    <w:t>33.18</w:t>
                  </w:r>
                  <w:r w:rsidR="00925975">
                    <w:rPr>
                      <w:rFonts w:asciiTheme="majorHAnsi" w:hAnsiTheme="majorHAnsi"/>
                      <w:sz w:val="16"/>
                      <w:szCs w:val="16"/>
                    </w:rPr>
                    <w:t>%</w:t>
                  </w:r>
                </w:p>
              </w:tc>
            </w:tr>
            <w:tr w:rsidR="00830F06" w:rsidRPr="00D9079F" w14:paraId="0F9564DE" w14:textId="77777777" w:rsidTr="00FC0F5A">
              <w:tc>
                <w:tcPr>
                  <w:tcW w:w="3020" w:type="dxa"/>
                  <w:gridSpan w:val="2"/>
                </w:tcPr>
                <w:p w14:paraId="02E73EF4" w14:textId="77777777" w:rsidR="00830F06" w:rsidRPr="00D9079F" w:rsidRDefault="00830F06" w:rsidP="00830F06">
                  <w:pPr>
                    <w:rPr>
                      <w:rFonts w:asciiTheme="majorHAnsi" w:hAnsiTheme="majorHAnsi"/>
                      <w:sz w:val="16"/>
                      <w:szCs w:val="16"/>
                    </w:rPr>
                  </w:pPr>
                  <w:r w:rsidRPr="00D9079F">
                    <w:rPr>
                      <w:rFonts w:asciiTheme="majorHAnsi" w:hAnsiTheme="majorHAnsi"/>
                      <w:sz w:val="16"/>
                      <w:szCs w:val="16"/>
                    </w:rPr>
                    <w:t xml:space="preserve">Cost of Equity </w:t>
                  </w:r>
                </w:p>
              </w:tc>
              <w:tc>
                <w:tcPr>
                  <w:tcW w:w="1074" w:type="dxa"/>
                </w:tcPr>
                <w:p w14:paraId="7C66D20E" w14:textId="114F5CDA" w:rsidR="00830F06" w:rsidRPr="00D9079F" w:rsidRDefault="00AA3D63" w:rsidP="00830F06">
                  <w:pPr>
                    <w:rPr>
                      <w:rFonts w:asciiTheme="majorHAnsi" w:hAnsiTheme="majorHAnsi"/>
                      <w:sz w:val="16"/>
                      <w:szCs w:val="16"/>
                    </w:rPr>
                  </w:pPr>
                  <w:r>
                    <w:rPr>
                      <w:rFonts w:asciiTheme="majorHAnsi" w:hAnsiTheme="majorHAnsi"/>
                      <w:sz w:val="16"/>
                      <w:szCs w:val="16"/>
                    </w:rPr>
                    <w:t>8.88</w:t>
                  </w:r>
                  <w:r w:rsidR="00925975">
                    <w:rPr>
                      <w:rFonts w:asciiTheme="majorHAnsi" w:hAnsiTheme="majorHAnsi"/>
                      <w:sz w:val="16"/>
                      <w:szCs w:val="16"/>
                    </w:rPr>
                    <w:t>%</w:t>
                  </w:r>
                </w:p>
              </w:tc>
            </w:tr>
            <w:tr w:rsidR="00830F06" w:rsidRPr="00D9079F" w14:paraId="19A1F6C8" w14:textId="77777777" w:rsidTr="00FC0F5A">
              <w:tc>
                <w:tcPr>
                  <w:tcW w:w="3020" w:type="dxa"/>
                  <w:gridSpan w:val="2"/>
                </w:tcPr>
                <w:p w14:paraId="714B53EA" w14:textId="77777777" w:rsidR="00830F06" w:rsidRPr="00D9079F" w:rsidRDefault="00830F06" w:rsidP="00830F06">
                  <w:pPr>
                    <w:rPr>
                      <w:rFonts w:asciiTheme="majorHAnsi" w:hAnsiTheme="majorHAnsi"/>
                      <w:sz w:val="16"/>
                      <w:szCs w:val="16"/>
                    </w:rPr>
                  </w:pPr>
                  <w:r w:rsidRPr="00D9079F">
                    <w:rPr>
                      <w:rFonts w:asciiTheme="majorHAnsi" w:hAnsiTheme="majorHAnsi"/>
                      <w:sz w:val="16"/>
                      <w:szCs w:val="16"/>
                    </w:rPr>
                    <w:t>WACC</w:t>
                  </w:r>
                </w:p>
              </w:tc>
              <w:tc>
                <w:tcPr>
                  <w:tcW w:w="1074" w:type="dxa"/>
                </w:tcPr>
                <w:p w14:paraId="71DF2BD8" w14:textId="0A270AC5" w:rsidR="00830F06" w:rsidRPr="00D9079F" w:rsidRDefault="00AA3D63" w:rsidP="00830F06">
                  <w:pPr>
                    <w:rPr>
                      <w:rFonts w:asciiTheme="majorHAnsi" w:hAnsiTheme="majorHAnsi"/>
                      <w:sz w:val="16"/>
                      <w:szCs w:val="16"/>
                    </w:rPr>
                  </w:pPr>
                  <w:r>
                    <w:rPr>
                      <w:rFonts w:asciiTheme="majorHAnsi" w:hAnsiTheme="majorHAnsi"/>
                      <w:sz w:val="16"/>
                      <w:szCs w:val="16"/>
                    </w:rPr>
                    <w:t>8.18</w:t>
                  </w:r>
                  <w:r w:rsidR="00925975">
                    <w:rPr>
                      <w:rFonts w:asciiTheme="majorHAnsi" w:hAnsiTheme="majorHAnsi"/>
                      <w:sz w:val="16"/>
                      <w:szCs w:val="16"/>
                    </w:rPr>
                    <w:t>%</w:t>
                  </w:r>
                </w:p>
              </w:tc>
            </w:tr>
            <w:tr w:rsidR="00830F06" w:rsidRPr="00D9079F" w14:paraId="48232758" w14:textId="77777777" w:rsidTr="00FC0F5A">
              <w:trPr>
                <w:trHeight w:val="197"/>
              </w:trPr>
              <w:tc>
                <w:tcPr>
                  <w:tcW w:w="3020" w:type="dxa"/>
                  <w:gridSpan w:val="2"/>
                </w:tcPr>
                <w:p w14:paraId="75850D20" w14:textId="47C21608" w:rsidR="00830F06" w:rsidRPr="00D9079F" w:rsidRDefault="00AA3D63" w:rsidP="00830F06">
                  <w:pPr>
                    <w:rPr>
                      <w:rFonts w:asciiTheme="majorHAnsi" w:hAnsiTheme="majorHAnsi"/>
                      <w:sz w:val="16"/>
                      <w:szCs w:val="16"/>
                    </w:rPr>
                  </w:pPr>
                  <w:r>
                    <w:rPr>
                      <w:rFonts w:asciiTheme="majorHAnsi" w:hAnsiTheme="majorHAnsi"/>
                      <w:sz w:val="16"/>
                      <w:szCs w:val="16"/>
                    </w:rPr>
                    <w:t>EBITDA Multiple</w:t>
                  </w:r>
                  <w:r w:rsidR="00830F06" w:rsidRPr="00D9079F">
                    <w:rPr>
                      <w:rFonts w:asciiTheme="majorHAnsi" w:hAnsiTheme="majorHAnsi"/>
                      <w:sz w:val="16"/>
                      <w:szCs w:val="16"/>
                    </w:rPr>
                    <w:t xml:space="preserve"> </w:t>
                  </w:r>
                </w:p>
              </w:tc>
              <w:tc>
                <w:tcPr>
                  <w:tcW w:w="1074" w:type="dxa"/>
                </w:tcPr>
                <w:p w14:paraId="0C5586DB" w14:textId="2FBA4FEC" w:rsidR="00830F06" w:rsidRPr="00D9079F" w:rsidRDefault="00AA3D63" w:rsidP="00830F06">
                  <w:pPr>
                    <w:rPr>
                      <w:rFonts w:asciiTheme="majorHAnsi" w:hAnsiTheme="majorHAnsi"/>
                      <w:sz w:val="16"/>
                      <w:szCs w:val="16"/>
                    </w:rPr>
                  </w:pPr>
                  <w:r>
                    <w:rPr>
                      <w:rFonts w:asciiTheme="majorHAnsi" w:hAnsiTheme="majorHAnsi"/>
                      <w:sz w:val="16"/>
                      <w:szCs w:val="16"/>
                    </w:rPr>
                    <w:t>8.9x</w:t>
                  </w:r>
                </w:p>
              </w:tc>
            </w:tr>
          </w:tbl>
          <w:p w14:paraId="4363BD08" w14:textId="77777777" w:rsidR="009F0D12" w:rsidRPr="00D9079F" w:rsidRDefault="009F0D12" w:rsidP="009F0D12">
            <w:pPr>
              <w:jc w:val="both"/>
              <w:rPr>
                <w:rFonts w:asciiTheme="majorHAnsi" w:hAnsiTheme="majorHAnsi"/>
                <w:b/>
                <w:sz w:val="16"/>
                <w:szCs w:val="16"/>
              </w:rPr>
            </w:pPr>
            <w:r w:rsidRPr="00D9079F">
              <w:rPr>
                <w:rFonts w:asciiTheme="majorHAnsi" w:hAnsiTheme="majorHAnsi"/>
                <w:b/>
                <w:sz w:val="16"/>
                <w:szCs w:val="16"/>
              </w:rPr>
              <w:t xml:space="preserve">Analyst Opinion </w:t>
            </w:r>
          </w:p>
          <w:tbl>
            <w:tblPr>
              <w:tblStyle w:val="TableGrid"/>
              <w:tblW w:w="0" w:type="auto"/>
              <w:tblLook w:val="04A0" w:firstRow="1" w:lastRow="0" w:firstColumn="1" w:lastColumn="0" w:noHBand="0" w:noVBand="1"/>
            </w:tblPr>
            <w:tblGrid>
              <w:gridCol w:w="1610"/>
              <w:gridCol w:w="1077"/>
              <w:gridCol w:w="1407"/>
            </w:tblGrid>
            <w:tr w:rsidR="009F0D12" w:rsidRPr="00D9079F" w14:paraId="2502AA66" w14:textId="77777777" w:rsidTr="00FB4741">
              <w:tc>
                <w:tcPr>
                  <w:tcW w:w="1610" w:type="dxa"/>
                  <w:shd w:val="clear" w:color="auto" w:fill="DBE5F1" w:themeFill="accent1" w:themeFillTint="33"/>
                </w:tcPr>
                <w:p w14:paraId="6457A1D0" w14:textId="3514E371" w:rsidR="009F0D12" w:rsidRPr="00D03496" w:rsidRDefault="009F0D12" w:rsidP="00B81760">
                  <w:pPr>
                    <w:tabs>
                      <w:tab w:val="left" w:pos="900"/>
                    </w:tabs>
                    <w:jc w:val="both"/>
                    <w:rPr>
                      <w:rFonts w:asciiTheme="majorHAnsi" w:hAnsiTheme="majorHAnsi"/>
                      <w:sz w:val="16"/>
                      <w:szCs w:val="16"/>
                    </w:rPr>
                  </w:pPr>
                  <w:r w:rsidRPr="00D03496">
                    <w:rPr>
                      <w:rFonts w:asciiTheme="majorHAnsi" w:hAnsiTheme="majorHAnsi"/>
                      <w:sz w:val="16"/>
                      <w:szCs w:val="16"/>
                    </w:rPr>
                    <w:t>Buy</w:t>
                  </w:r>
                  <w:r w:rsidR="00766C69" w:rsidRPr="00D03496">
                    <w:rPr>
                      <w:rFonts w:asciiTheme="majorHAnsi" w:hAnsiTheme="majorHAnsi"/>
                      <w:sz w:val="16"/>
                      <w:szCs w:val="16"/>
                    </w:rPr>
                    <w:t>:</w:t>
                  </w:r>
                  <w:r w:rsidR="00EF3592">
                    <w:rPr>
                      <w:rFonts w:asciiTheme="majorHAnsi" w:hAnsiTheme="majorHAnsi"/>
                      <w:sz w:val="16"/>
                      <w:szCs w:val="16"/>
                    </w:rPr>
                    <w:tab/>
                  </w:r>
                  <w:r w:rsidR="00B81760">
                    <w:rPr>
                      <w:rFonts w:asciiTheme="majorHAnsi" w:hAnsiTheme="majorHAnsi"/>
                      <w:sz w:val="16"/>
                      <w:szCs w:val="16"/>
                    </w:rPr>
                    <w:t>7</w:t>
                  </w:r>
                </w:p>
              </w:tc>
              <w:tc>
                <w:tcPr>
                  <w:tcW w:w="1077" w:type="dxa"/>
                  <w:shd w:val="clear" w:color="auto" w:fill="DBE5F1" w:themeFill="accent1" w:themeFillTint="33"/>
                </w:tcPr>
                <w:p w14:paraId="10E79476" w14:textId="7124B96C" w:rsidR="009F0D12" w:rsidRPr="00D03496" w:rsidRDefault="009F0D12" w:rsidP="00B81760">
                  <w:pPr>
                    <w:jc w:val="both"/>
                    <w:rPr>
                      <w:rFonts w:asciiTheme="majorHAnsi" w:hAnsiTheme="majorHAnsi"/>
                      <w:sz w:val="16"/>
                      <w:szCs w:val="16"/>
                    </w:rPr>
                  </w:pPr>
                  <w:r w:rsidRPr="00D03496">
                    <w:rPr>
                      <w:rFonts w:asciiTheme="majorHAnsi" w:hAnsiTheme="majorHAnsi"/>
                      <w:sz w:val="16"/>
                      <w:szCs w:val="16"/>
                    </w:rPr>
                    <w:t xml:space="preserve">Hold: </w:t>
                  </w:r>
                  <w:r w:rsidR="00B81760">
                    <w:rPr>
                      <w:rFonts w:asciiTheme="majorHAnsi" w:hAnsiTheme="majorHAnsi"/>
                      <w:sz w:val="16"/>
                      <w:szCs w:val="16"/>
                    </w:rPr>
                    <w:t>14</w:t>
                  </w:r>
                </w:p>
              </w:tc>
              <w:tc>
                <w:tcPr>
                  <w:tcW w:w="1407" w:type="dxa"/>
                  <w:shd w:val="clear" w:color="auto" w:fill="DBE5F1" w:themeFill="accent1" w:themeFillTint="33"/>
                </w:tcPr>
                <w:p w14:paraId="1F373BED" w14:textId="3E6D4470" w:rsidR="009F0D12" w:rsidRPr="00D03496" w:rsidRDefault="00766C69" w:rsidP="00D03496">
                  <w:pPr>
                    <w:jc w:val="both"/>
                    <w:rPr>
                      <w:rFonts w:asciiTheme="majorHAnsi" w:hAnsiTheme="majorHAnsi"/>
                      <w:sz w:val="16"/>
                      <w:szCs w:val="16"/>
                    </w:rPr>
                  </w:pPr>
                  <w:r w:rsidRPr="00D03496">
                    <w:rPr>
                      <w:rFonts w:asciiTheme="majorHAnsi" w:hAnsiTheme="majorHAnsi"/>
                      <w:sz w:val="16"/>
                      <w:szCs w:val="16"/>
                    </w:rPr>
                    <w:t>Sell:</w:t>
                  </w:r>
                  <w:r w:rsidR="008C7FEA" w:rsidRPr="00D03496">
                    <w:rPr>
                      <w:rFonts w:asciiTheme="majorHAnsi" w:hAnsiTheme="majorHAnsi"/>
                      <w:sz w:val="16"/>
                      <w:szCs w:val="16"/>
                    </w:rPr>
                    <w:t xml:space="preserve"> </w:t>
                  </w:r>
                  <w:r w:rsidR="00B81760">
                    <w:rPr>
                      <w:rFonts w:asciiTheme="majorHAnsi" w:hAnsiTheme="majorHAnsi"/>
                      <w:sz w:val="16"/>
                      <w:szCs w:val="16"/>
                    </w:rPr>
                    <w:t>0</w:t>
                  </w:r>
                </w:p>
              </w:tc>
            </w:tr>
            <w:tr w:rsidR="009F0D12" w:rsidRPr="00D9079F" w14:paraId="0A705346" w14:textId="77777777" w:rsidTr="00FB4741">
              <w:tc>
                <w:tcPr>
                  <w:tcW w:w="1610" w:type="dxa"/>
                  <w:shd w:val="clear" w:color="auto" w:fill="DBE5F1" w:themeFill="accent1" w:themeFillTint="33"/>
                </w:tcPr>
                <w:p w14:paraId="7897F5B6" w14:textId="77777777" w:rsidR="009F0D12" w:rsidRPr="00D03496" w:rsidRDefault="009F0D12" w:rsidP="009F0D12">
                  <w:pPr>
                    <w:jc w:val="both"/>
                    <w:rPr>
                      <w:rFonts w:asciiTheme="majorHAnsi" w:hAnsiTheme="majorHAnsi"/>
                      <w:sz w:val="16"/>
                      <w:szCs w:val="16"/>
                    </w:rPr>
                  </w:pPr>
                </w:p>
              </w:tc>
              <w:tc>
                <w:tcPr>
                  <w:tcW w:w="1077" w:type="dxa"/>
                  <w:shd w:val="clear" w:color="auto" w:fill="DBE5F1" w:themeFill="accent1" w:themeFillTint="33"/>
                </w:tcPr>
                <w:p w14:paraId="78BA4ECF" w14:textId="77777777" w:rsidR="009F0D12" w:rsidRPr="00324F3D" w:rsidRDefault="009F0D12" w:rsidP="009F0D12">
                  <w:pPr>
                    <w:jc w:val="both"/>
                    <w:rPr>
                      <w:rFonts w:asciiTheme="majorHAnsi" w:hAnsiTheme="majorHAnsi"/>
                      <w:sz w:val="16"/>
                      <w:szCs w:val="16"/>
                    </w:rPr>
                  </w:pPr>
                  <w:r w:rsidRPr="00324F3D">
                    <w:rPr>
                      <w:rFonts w:asciiTheme="majorHAnsi" w:hAnsiTheme="majorHAnsi"/>
                      <w:sz w:val="16"/>
                      <w:szCs w:val="16"/>
                    </w:rPr>
                    <w:t xml:space="preserve">Rating </w:t>
                  </w:r>
                </w:p>
              </w:tc>
              <w:tc>
                <w:tcPr>
                  <w:tcW w:w="1407" w:type="dxa"/>
                  <w:shd w:val="clear" w:color="auto" w:fill="DBE5F1" w:themeFill="accent1" w:themeFillTint="33"/>
                </w:tcPr>
                <w:p w14:paraId="1E6E599B" w14:textId="77777777" w:rsidR="009F0D12" w:rsidRPr="00324F3D" w:rsidRDefault="009F0D12" w:rsidP="009F0D12">
                  <w:pPr>
                    <w:jc w:val="both"/>
                    <w:rPr>
                      <w:rFonts w:asciiTheme="majorHAnsi" w:hAnsiTheme="majorHAnsi"/>
                      <w:sz w:val="16"/>
                      <w:szCs w:val="16"/>
                    </w:rPr>
                  </w:pPr>
                  <w:r w:rsidRPr="00324F3D">
                    <w:rPr>
                      <w:rFonts w:asciiTheme="majorHAnsi" w:hAnsiTheme="majorHAnsi"/>
                      <w:sz w:val="16"/>
                      <w:szCs w:val="16"/>
                    </w:rPr>
                    <w:t xml:space="preserve">Target </w:t>
                  </w:r>
                </w:p>
              </w:tc>
            </w:tr>
            <w:tr w:rsidR="009F0D12" w:rsidRPr="00D9079F" w14:paraId="18B2C8FA" w14:textId="77777777" w:rsidTr="00FB4741">
              <w:tc>
                <w:tcPr>
                  <w:tcW w:w="1610" w:type="dxa"/>
                </w:tcPr>
                <w:p w14:paraId="12374E3E" w14:textId="77777777" w:rsidR="009F0D12" w:rsidRPr="00D03496" w:rsidRDefault="009F0D12" w:rsidP="009F0D12">
                  <w:pPr>
                    <w:jc w:val="both"/>
                    <w:rPr>
                      <w:rFonts w:asciiTheme="majorHAnsi" w:hAnsiTheme="majorHAnsi"/>
                      <w:sz w:val="16"/>
                      <w:szCs w:val="16"/>
                    </w:rPr>
                  </w:pPr>
                  <w:r w:rsidRPr="00D03496">
                    <w:rPr>
                      <w:rFonts w:asciiTheme="majorHAnsi" w:hAnsiTheme="majorHAnsi"/>
                      <w:sz w:val="16"/>
                      <w:szCs w:val="16"/>
                    </w:rPr>
                    <w:t xml:space="preserve">S&amp;P Net Advantage </w:t>
                  </w:r>
                </w:p>
              </w:tc>
              <w:tc>
                <w:tcPr>
                  <w:tcW w:w="1077" w:type="dxa"/>
                </w:tcPr>
                <w:p w14:paraId="6EC161A2" w14:textId="7857AB5B" w:rsidR="009F0D12" w:rsidRPr="00324F3D" w:rsidRDefault="00324F3D" w:rsidP="009F0D12">
                  <w:pPr>
                    <w:jc w:val="both"/>
                    <w:rPr>
                      <w:rFonts w:asciiTheme="majorHAnsi" w:hAnsiTheme="majorHAnsi"/>
                      <w:sz w:val="16"/>
                      <w:szCs w:val="16"/>
                    </w:rPr>
                  </w:pPr>
                  <w:r w:rsidRPr="00324F3D">
                    <w:rPr>
                      <w:rFonts w:asciiTheme="majorHAnsi" w:hAnsiTheme="majorHAnsi"/>
                      <w:sz w:val="16"/>
                      <w:szCs w:val="16"/>
                    </w:rPr>
                    <w:t>Buy</w:t>
                  </w:r>
                </w:p>
              </w:tc>
              <w:tc>
                <w:tcPr>
                  <w:tcW w:w="1407" w:type="dxa"/>
                </w:tcPr>
                <w:p w14:paraId="0BCB7E23" w14:textId="09799449" w:rsidR="009F0D12" w:rsidRPr="00324F3D" w:rsidRDefault="00D672EC" w:rsidP="00324F3D">
                  <w:pPr>
                    <w:jc w:val="both"/>
                    <w:rPr>
                      <w:rFonts w:asciiTheme="majorHAnsi" w:hAnsiTheme="majorHAnsi"/>
                      <w:sz w:val="16"/>
                      <w:szCs w:val="16"/>
                    </w:rPr>
                  </w:pPr>
                  <w:r w:rsidRPr="00324F3D">
                    <w:rPr>
                      <w:rFonts w:asciiTheme="majorHAnsi" w:hAnsiTheme="majorHAnsi"/>
                      <w:sz w:val="16"/>
                      <w:szCs w:val="16"/>
                    </w:rPr>
                    <w:t>$</w:t>
                  </w:r>
                  <w:r w:rsidR="00324F3D" w:rsidRPr="00324F3D">
                    <w:rPr>
                      <w:rFonts w:asciiTheme="majorHAnsi" w:hAnsiTheme="majorHAnsi"/>
                      <w:sz w:val="16"/>
                      <w:szCs w:val="16"/>
                    </w:rPr>
                    <w:t>30</w:t>
                  </w:r>
                </w:p>
              </w:tc>
            </w:tr>
            <w:tr w:rsidR="00766C69" w:rsidRPr="00D9079F" w14:paraId="35B4D85C" w14:textId="77777777" w:rsidTr="00FB4741">
              <w:trPr>
                <w:trHeight w:val="215"/>
              </w:trPr>
              <w:tc>
                <w:tcPr>
                  <w:tcW w:w="1610" w:type="dxa"/>
                </w:tcPr>
                <w:p w14:paraId="1DD4E482" w14:textId="4558A51F" w:rsidR="00766C69" w:rsidRPr="00D03496" w:rsidRDefault="00766C69" w:rsidP="009F0D12">
                  <w:pPr>
                    <w:jc w:val="both"/>
                    <w:rPr>
                      <w:rFonts w:asciiTheme="majorHAnsi" w:hAnsiTheme="majorHAnsi"/>
                      <w:sz w:val="16"/>
                      <w:szCs w:val="16"/>
                    </w:rPr>
                  </w:pPr>
                  <w:r w:rsidRPr="00D03496">
                    <w:rPr>
                      <w:rFonts w:asciiTheme="majorHAnsi" w:hAnsiTheme="majorHAnsi"/>
                      <w:sz w:val="16"/>
                      <w:szCs w:val="16"/>
                    </w:rPr>
                    <w:t>Morning Star</w:t>
                  </w:r>
                </w:p>
              </w:tc>
              <w:tc>
                <w:tcPr>
                  <w:tcW w:w="1077" w:type="dxa"/>
                </w:tcPr>
                <w:p w14:paraId="0B4EFFDC" w14:textId="413A02D0" w:rsidR="00766C69" w:rsidRPr="00324F3D" w:rsidRDefault="007A040E" w:rsidP="009F0D12">
                  <w:pPr>
                    <w:jc w:val="both"/>
                    <w:rPr>
                      <w:rFonts w:asciiTheme="majorHAnsi" w:hAnsiTheme="majorHAnsi"/>
                      <w:sz w:val="16"/>
                      <w:szCs w:val="16"/>
                    </w:rPr>
                  </w:pPr>
                  <w:r w:rsidRPr="00324F3D">
                    <w:rPr>
                      <w:rFonts w:asciiTheme="majorHAnsi" w:hAnsiTheme="majorHAnsi"/>
                      <w:sz w:val="16"/>
                      <w:szCs w:val="16"/>
                    </w:rPr>
                    <w:t>***</w:t>
                  </w:r>
                </w:p>
              </w:tc>
              <w:tc>
                <w:tcPr>
                  <w:tcW w:w="1407" w:type="dxa"/>
                </w:tcPr>
                <w:p w14:paraId="70BA49F9" w14:textId="7711FBBE" w:rsidR="00766C69" w:rsidRPr="00324F3D" w:rsidRDefault="00D672EC" w:rsidP="00324F3D">
                  <w:pPr>
                    <w:jc w:val="both"/>
                    <w:rPr>
                      <w:rFonts w:asciiTheme="majorHAnsi" w:hAnsiTheme="majorHAnsi"/>
                      <w:sz w:val="16"/>
                      <w:szCs w:val="16"/>
                    </w:rPr>
                  </w:pPr>
                  <w:r w:rsidRPr="00324F3D">
                    <w:rPr>
                      <w:rFonts w:asciiTheme="majorHAnsi" w:hAnsiTheme="majorHAnsi"/>
                      <w:sz w:val="16"/>
                      <w:szCs w:val="16"/>
                    </w:rPr>
                    <w:t>$</w:t>
                  </w:r>
                  <w:r w:rsidR="00324F3D" w:rsidRPr="00324F3D">
                    <w:rPr>
                      <w:rFonts w:asciiTheme="majorHAnsi" w:hAnsiTheme="majorHAnsi"/>
                      <w:sz w:val="16"/>
                      <w:szCs w:val="16"/>
                    </w:rPr>
                    <w:t>23</w:t>
                  </w:r>
                </w:p>
              </w:tc>
            </w:tr>
            <w:tr w:rsidR="00766C69" w:rsidRPr="00D9079F" w14:paraId="0BBF9B66" w14:textId="77777777" w:rsidTr="00FB4741">
              <w:trPr>
                <w:trHeight w:val="215"/>
              </w:trPr>
              <w:tc>
                <w:tcPr>
                  <w:tcW w:w="1610" w:type="dxa"/>
                </w:tcPr>
                <w:p w14:paraId="0E7E15E7" w14:textId="50B93F2B" w:rsidR="00766C69" w:rsidRPr="00D03496" w:rsidRDefault="00766C69" w:rsidP="009F0D12">
                  <w:pPr>
                    <w:jc w:val="both"/>
                    <w:rPr>
                      <w:rFonts w:asciiTheme="majorHAnsi" w:hAnsiTheme="majorHAnsi"/>
                      <w:sz w:val="16"/>
                      <w:szCs w:val="16"/>
                    </w:rPr>
                  </w:pPr>
                  <w:r w:rsidRPr="00D03496">
                    <w:rPr>
                      <w:rFonts w:asciiTheme="majorHAnsi" w:hAnsiTheme="majorHAnsi"/>
                      <w:sz w:val="16"/>
                      <w:szCs w:val="16"/>
                    </w:rPr>
                    <w:t xml:space="preserve">Value Line </w:t>
                  </w:r>
                </w:p>
              </w:tc>
              <w:tc>
                <w:tcPr>
                  <w:tcW w:w="1077" w:type="dxa"/>
                </w:tcPr>
                <w:p w14:paraId="161AF23F" w14:textId="6BBFAE61" w:rsidR="00766C69" w:rsidRPr="00324F3D" w:rsidRDefault="007A040E" w:rsidP="00D672EC">
                  <w:pPr>
                    <w:jc w:val="both"/>
                    <w:rPr>
                      <w:rFonts w:asciiTheme="majorHAnsi" w:hAnsiTheme="majorHAnsi"/>
                      <w:sz w:val="16"/>
                      <w:szCs w:val="16"/>
                    </w:rPr>
                  </w:pPr>
                  <w:r w:rsidRPr="00324F3D">
                    <w:rPr>
                      <w:rFonts w:asciiTheme="majorHAnsi" w:hAnsiTheme="majorHAnsi"/>
                      <w:sz w:val="16"/>
                      <w:szCs w:val="16"/>
                    </w:rPr>
                    <w:t xml:space="preserve">T: </w:t>
                  </w:r>
                  <w:r w:rsidR="00D672EC" w:rsidRPr="00324F3D">
                    <w:rPr>
                      <w:rFonts w:asciiTheme="majorHAnsi" w:hAnsiTheme="majorHAnsi"/>
                      <w:sz w:val="16"/>
                      <w:szCs w:val="16"/>
                    </w:rPr>
                    <w:t>2</w:t>
                  </w:r>
                  <w:r w:rsidR="00324F3D" w:rsidRPr="00324F3D">
                    <w:rPr>
                      <w:rFonts w:asciiTheme="majorHAnsi" w:hAnsiTheme="majorHAnsi"/>
                      <w:sz w:val="16"/>
                      <w:szCs w:val="16"/>
                    </w:rPr>
                    <w:t xml:space="preserve"> S: 3</w:t>
                  </w:r>
                </w:p>
              </w:tc>
              <w:tc>
                <w:tcPr>
                  <w:tcW w:w="1407" w:type="dxa"/>
                </w:tcPr>
                <w:p w14:paraId="22CC1EA0" w14:textId="01DFE8CC" w:rsidR="00766C69" w:rsidRPr="00324F3D" w:rsidRDefault="00324F3D" w:rsidP="009F0D12">
                  <w:pPr>
                    <w:jc w:val="both"/>
                    <w:rPr>
                      <w:rFonts w:asciiTheme="majorHAnsi" w:hAnsiTheme="majorHAnsi"/>
                      <w:sz w:val="16"/>
                      <w:szCs w:val="16"/>
                    </w:rPr>
                  </w:pPr>
                  <w:r w:rsidRPr="00324F3D">
                    <w:rPr>
                      <w:rFonts w:asciiTheme="majorHAnsi" w:hAnsiTheme="majorHAnsi"/>
                      <w:sz w:val="16"/>
                      <w:szCs w:val="16"/>
                    </w:rPr>
                    <w:t>$55-35</w:t>
                  </w:r>
                </w:p>
              </w:tc>
            </w:tr>
          </w:tbl>
          <w:p w14:paraId="577D83D9" w14:textId="77777777" w:rsidR="002D3CFC" w:rsidRPr="00D9079F" w:rsidRDefault="002D3CFC" w:rsidP="00443ED9">
            <w:pPr>
              <w:jc w:val="both"/>
              <w:rPr>
                <w:rFonts w:asciiTheme="majorHAnsi" w:hAnsiTheme="majorHAnsi"/>
                <w:b/>
                <w:sz w:val="16"/>
                <w:szCs w:val="16"/>
              </w:rPr>
            </w:pPr>
          </w:p>
        </w:tc>
      </w:tr>
    </w:tbl>
    <w:p w14:paraId="2B589A9D" w14:textId="3436494D" w:rsidR="00830F06" w:rsidRPr="00D9079F" w:rsidRDefault="00830F06" w:rsidP="00443ED9">
      <w:pPr>
        <w:ind w:left="-1440"/>
        <w:jc w:val="both"/>
        <w:rPr>
          <w:rFonts w:asciiTheme="majorHAnsi" w:hAnsiTheme="majorHAnsi"/>
          <w:b/>
          <w:sz w:val="16"/>
          <w:szCs w:val="16"/>
        </w:rPr>
      </w:pPr>
    </w:p>
    <w:tbl>
      <w:tblPr>
        <w:tblStyle w:val="TableGrid"/>
        <w:tblW w:w="11808" w:type="dxa"/>
        <w:tblInd w:w="-1440" w:type="dxa"/>
        <w:tblLayout w:type="fixed"/>
        <w:tblLook w:val="04A0" w:firstRow="1" w:lastRow="0" w:firstColumn="1" w:lastColumn="0" w:noHBand="0" w:noVBand="1"/>
      </w:tblPr>
      <w:tblGrid>
        <w:gridCol w:w="7218"/>
        <w:gridCol w:w="4590"/>
      </w:tblGrid>
      <w:tr w:rsidR="00766C69" w:rsidRPr="00D9079F" w14:paraId="660DEC2C" w14:textId="77777777" w:rsidTr="00FC0F5A">
        <w:tc>
          <w:tcPr>
            <w:tcW w:w="7218" w:type="dxa"/>
            <w:shd w:val="clear" w:color="auto" w:fill="365F91" w:themeFill="accent1" w:themeFillShade="BF"/>
          </w:tcPr>
          <w:p w14:paraId="1BAF6900" w14:textId="27A2E398" w:rsidR="00766C69" w:rsidRPr="00D9079F" w:rsidRDefault="00766C69" w:rsidP="004F2EAA">
            <w:pPr>
              <w:rPr>
                <w:rFonts w:asciiTheme="majorHAnsi" w:hAnsiTheme="majorHAnsi"/>
                <w:b/>
                <w:color w:val="FFFFFF" w:themeColor="background1"/>
                <w:sz w:val="16"/>
                <w:szCs w:val="16"/>
              </w:rPr>
            </w:pPr>
            <w:r w:rsidRPr="00D9079F">
              <w:rPr>
                <w:rFonts w:asciiTheme="majorHAnsi" w:hAnsiTheme="majorHAnsi"/>
                <w:b/>
                <w:color w:val="FFFFFF" w:themeColor="background1"/>
                <w:sz w:val="16"/>
                <w:szCs w:val="16"/>
              </w:rPr>
              <w:t>Relative Valuation</w:t>
            </w:r>
          </w:p>
        </w:tc>
        <w:tc>
          <w:tcPr>
            <w:tcW w:w="4590" w:type="dxa"/>
            <w:shd w:val="clear" w:color="auto" w:fill="365F91" w:themeFill="accent1" w:themeFillShade="BF"/>
          </w:tcPr>
          <w:p w14:paraId="335BDBD9" w14:textId="109523C3" w:rsidR="00766C69" w:rsidRPr="00D9079F" w:rsidRDefault="00766C69" w:rsidP="00FD34FE">
            <w:pPr>
              <w:jc w:val="both"/>
              <w:rPr>
                <w:rFonts w:asciiTheme="majorHAnsi" w:hAnsiTheme="majorHAnsi"/>
                <w:b/>
                <w:color w:val="FFFFFF" w:themeColor="background1"/>
                <w:sz w:val="16"/>
                <w:szCs w:val="16"/>
              </w:rPr>
            </w:pPr>
            <w:r w:rsidRPr="00D9079F">
              <w:rPr>
                <w:rFonts w:asciiTheme="majorHAnsi" w:hAnsiTheme="majorHAnsi"/>
                <w:b/>
                <w:color w:val="FFFFFF" w:themeColor="background1"/>
                <w:sz w:val="16"/>
                <w:szCs w:val="16"/>
              </w:rPr>
              <w:t>Total Return</w:t>
            </w:r>
          </w:p>
        </w:tc>
      </w:tr>
      <w:tr w:rsidR="00766C69" w:rsidRPr="00D9079F" w14:paraId="2AA141CB" w14:textId="77777777" w:rsidTr="00FC0F5A">
        <w:tc>
          <w:tcPr>
            <w:tcW w:w="7218" w:type="dxa"/>
          </w:tcPr>
          <w:p w14:paraId="67108435" w14:textId="07193C0B" w:rsidR="00766C69" w:rsidRPr="00934A2F" w:rsidRDefault="00983F20" w:rsidP="00666BEF">
            <w:pPr>
              <w:pStyle w:val="ListParagraph"/>
              <w:ind w:left="0"/>
              <w:jc w:val="both"/>
              <w:rPr>
                <w:rFonts w:asciiTheme="majorHAnsi" w:hAnsiTheme="majorHAnsi"/>
                <w:sz w:val="16"/>
                <w:szCs w:val="16"/>
              </w:rPr>
            </w:pPr>
            <w:r>
              <w:rPr>
                <w:noProof/>
              </w:rPr>
              <w:drawing>
                <wp:inline distT="0" distB="0" distL="0" distR="0" wp14:anchorId="6E21320F" wp14:editId="6A244D8E">
                  <wp:extent cx="4446270" cy="16668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446270" cy="1666875"/>
                          </a:xfrm>
                          <a:prstGeom prst="rect">
                            <a:avLst/>
                          </a:prstGeom>
                        </pic:spPr>
                      </pic:pic>
                    </a:graphicData>
                  </a:graphic>
                </wp:inline>
              </w:drawing>
            </w:r>
          </w:p>
        </w:tc>
        <w:tc>
          <w:tcPr>
            <w:tcW w:w="4590" w:type="dxa"/>
          </w:tcPr>
          <w:p w14:paraId="221910A7" w14:textId="477A79B5" w:rsidR="00766C69" w:rsidRPr="00D9079F" w:rsidRDefault="00983F20" w:rsidP="00FC0F5A">
            <w:pPr>
              <w:ind w:right="278"/>
              <w:jc w:val="both"/>
              <w:rPr>
                <w:rFonts w:asciiTheme="majorHAnsi" w:hAnsiTheme="majorHAnsi"/>
                <w:b/>
                <w:sz w:val="16"/>
                <w:szCs w:val="16"/>
              </w:rPr>
            </w:pPr>
            <w:r>
              <w:rPr>
                <w:noProof/>
              </w:rPr>
              <w:drawing>
                <wp:anchor distT="0" distB="0" distL="114300" distR="114300" simplePos="0" relativeHeight="251659264" behindDoc="1" locked="0" layoutInCell="1" allowOverlap="1" wp14:anchorId="0E2F18DA" wp14:editId="2F725FE8">
                  <wp:simplePos x="0" y="0"/>
                  <wp:positionH relativeFrom="column">
                    <wp:posOffset>164465</wp:posOffset>
                  </wp:positionH>
                  <wp:positionV relativeFrom="paragraph">
                    <wp:posOffset>1007110</wp:posOffset>
                  </wp:positionV>
                  <wp:extent cx="2438400" cy="1147482"/>
                  <wp:effectExtent l="0" t="0" r="0" b="0"/>
                  <wp:wrapTight wrapText="bothSides">
                    <wp:wrapPolygon edited="0">
                      <wp:start x="0" y="0"/>
                      <wp:lineTo x="0" y="21158"/>
                      <wp:lineTo x="21431" y="21158"/>
                      <wp:lineTo x="2143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438400" cy="1147482"/>
                          </a:xfrm>
                          <a:prstGeom prst="rect">
                            <a:avLst/>
                          </a:prstGeom>
                        </pic:spPr>
                      </pic:pic>
                    </a:graphicData>
                  </a:graphic>
                </wp:anchor>
              </w:drawing>
            </w:r>
            <w:r>
              <w:rPr>
                <w:noProof/>
              </w:rPr>
              <w:drawing>
                <wp:inline distT="0" distB="0" distL="0" distR="0" wp14:anchorId="489C4B87" wp14:editId="2F0A5648">
                  <wp:extent cx="2743200" cy="876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43200" cy="876300"/>
                          </a:xfrm>
                          <a:prstGeom prst="rect">
                            <a:avLst/>
                          </a:prstGeom>
                        </pic:spPr>
                      </pic:pic>
                    </a:graphicData>
                  </a:graphic>
                </wp:inline>
              </w:drawing>
            </w:r>
            <w:r w:rsidR="00766C69" w:rsidRPr="00D9079F">
              <w:rPr>
                <w:rFonts w:asciiTheme="majorHAnsi" w:hAnsiTheme="majorHAnsi"/>
                <w:b/>
                <w:sz w:val="16"/>
                <w:szCs w:val="16"/>
              </w:rPr>
              <w:t>CSR Characteristics</w:t>
            </w:r>
          </w:p>
          <w:p w14:paraId="62EFF545" w14:textId="2125F025" w:rsidR="00766C69" w:rsidRPr="003B46E6" w:rsidRDefault="002B1DA1" w:rsidP="00EF3592">
            <w:pPr>
              <w:ind w:hanging="18"/>
              <w:jc w:val="center"/>
              <w:rPr>
                <w:rFonts w:asciiTheme="majorHAnsi" w:hAnsiTheme="majorHAnsi"/>
                <w:b/>
                <w:sz w:val="14"/>
                <w:szCs w:val="16"/>
              </w:rPr>
            </w:pPr>
            <w:r w:rsidRPr="003B46E6">
              <w:rPr>
                <w:rFonts w:asciiTheme="majorHAnsi" w:hAnsiTheme="majorHAnsi"/>
                <w:b/>
                <w:sz w:val="14"/>
                <w:szCs w:val="18"/>
              </w:rPr>
              <w:t xml:space="preserve">Prepared by </w:t>
            </w:r>
            <w:r w:rsidR="001A48A7">
              <w:rPr>
                <w:rFonts w:asciiTheme="majorHAnsi" w:hAnsiTheme="majorHAnsi"/>
                <w:b/>
                <w:sz w:val="14"/>
                <w:szCs w:val="18"/>
              </w:rPr>
              <w:t xml:space="preserve">Edward Laclaustra </w:t>
            </w:r>
            <w:r w:rsidRPr="003B46E6">
              <w:rPr>
                <w:rFonts w:asciiTheme="majorHAnsi" w:hAnsiTheme="majorHAnsi"/>
                <w:b/>
                <w:sz w:val="14"/>
                <w:szCs w:val="18"/>
              </w:rPr>
              <w:t>(</w:t>
            </w:r>
            <w:r w:rsidR="00983F20">
              <w:rPr>
                <w:rFonts w:asciiTheme="majorHAnsi" w:hAnsiTheme="majorHAnsi"/>
                <w:b/>
                <w:sz w:val="14"/>
                <w:szCs w:val="18"/>
              </w:rPr>
              <w:t>Feb 11</w:t>
            </w:r>
            <w:r w:rsidRPr="003B46E6">
              <w:rPr>
                <w:rFonts w:asciiTheme="majorHAnsi" w:hAnsiTheme="majorHAnsi"/>
                <w:b/>
                <w:sz w:val="14"/>
                <w:szCs w:val="18"/>
              </w:rPr>
              <w:t>, 201</w:t>
            </w:r>
            <w:r w:rsidR="00666BEF">
              <w:rPr>
                <w:rFonts w:asciiTheme="majorHAnsi" w:hAnsiTheme="majorHAnsi"/>
                <w:b/>
                <w:sz w:val="14"/>
                <w:szCs w:val="18"/>
              </w:rPr>
              <w:t>6</w:t>
            </w:r>
            <w:r w:rsidRPr="003B46E6">
              <w:rPr>
                <w:rFonts w:asciiTheme="majorHAnsi" w:hAnsiTheme="majorHAnsi"/>
                <w:b/>
                <w:sz w:val="14"/>
                <w:szCs w:val="18"/>
              </w:rPr>
              <w:t>) using Bloomberg, Value Line, S&amp;P Net Advantage, Morning Star, Yahoo Finance</w:t>
            </w:r>
          </w:p>
        </w:tc>
      </w:tr>
    </w:tbl>
    <w:p w14:paraId="5C1E381E" w14:textId="298219EC" w:rsidR="0027556A" w:rsidRDefault="0027556A" w:rsidP="002B1DA1">
      <w:pPr>
        <w:ind w:hanging="1440"/>
        <w:rPr>
          <w:rFonts w:asciiTheme="majorHAnsi" w:hAnsiTheme="majorHAnsi"/>
          <w:sz w:val="14"/>
          <w:szCs w:val="16"/>
        </w:rPr>
      </w:pPr>
    </w:p>
    <w:p w14:paraId="7F2933B2" w14:textId="77777777" w:rsidR="0027556A" w:rsidRDefault="0027556A">
      <w:pPr>
        <w:rPr>
          <w:rFonts w:asciiTheme="majorHAnsi" w:hAnsiTheme="majorHAnsi"/>
          <w:sz w:val="14"/>
          <w:szCs w:val="16"/>
        </w:rPr>
      </w:pPr>
      <w:r>
        <w:rPr>
          <w:rFonts w:asciiTheme="majorHAnsi" w:hAnsiTheme="majorHAnsi"/>
          <w:sz w:val="14"/>
          <w:szCs w:val="16"/>
        </w:rPr>
        <w:br w:type="page"/>
      </w:r>
    </w:p>
    <w:p w14:paraId="6B4AA3FD" w14:textId="3FA4D255" w:rsidR="00830F06" w:rsidRPr="00960020" w:rsidRDefault="00830F06" w:rsidP="0027556A">
      <w:pPr>
        <w:ind w:hanging="1440"/>
        <w:jc w:val="center"/>
        <w:rPr>
          <w:rFonts w:asciiTheme="majorHAnsi" w:hAnsiTheme="majorHAnsi"/>
          <w:sz w:val="14"/>
          <w:szCs w:val="16"/>
        </w:rPr>
      </w:pPr>
    </w:p>
    <w:sectPr w:rsidR="00830F06" w:rsidRPr="00960020" w:rsidSect="00920D13">
      <w:pgSz w:w="12240" w:h="15840"/>
      <w:pgMar w:top="450" w:right="180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LTStd-BoldC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A2BEE"/>
    <w:multiLevelType w:val="hybridMultilevel"/>
    <w:tmpl w:val="EC2634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BB20D3B"/>
    <w:multiLevelType w:val="multilevel"/>
    <w:tmpl w:val="95AA19D4"/>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68127F"/>
    <w:multiLevelType w:val="hybridMultilevel"/>
    <w:tmpl w:val="73202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647A60"/>
    <w:multiLevelType w:val="hybridMultilevel"/>
    <w:tmpl w:val="EBFE0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E3153C"/>
    <w:multiLevelType w:val="hybridMultilevel"/>
    <w:tmpl w:val="9ECEB0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2AD4605"/>
    <w:multiLevelType w:val="hybridMultilevel"/>
    <w:tmpl w:val="12D006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494DD4"/>
    <w:multiLevelType w:val="hybridMultilevel"/>
    <w:tmpl w:val="26469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62E1D61"/>
    <w:multiLevelType w:val="hybridMultilevel"/>
    <w:tmpl w:val="7D6AA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7"/>
  </w:num>
  <w:num w:numId="3">
    <w:abstractNumId w:val="1"/>
  </w:num>
  <w:num w:numId="4">
    <w:abstractNumId w:val="2"/>
  </w:num>
  <w:num w:numId="5">
    <w:abstractNumId w:val="3"/>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4B8"/>
    <w:rsid w:val="0000557E"/>
    <w:rsid w:val="000145A7"/>
    <w:rsid w:val="00022508"/>
    <w:rsid w:val="00026F5E"/>
    <w:rsid w:val="00034A52"/>
    <w:rsid w:val="00050679"/>
    <w:rsid w:val="00056CE9"/>
    <w:rsid w:val="00066CC4"/>
    <w:rsid w:val="00071AC8"/>
    <w:rsid w:val="00071F4F"/>
    <w:rsid w:val="00096901"/>
    <w:rsid w:val="0009757B"/>
    <w:rsid w:val="000B7D53"/>
    <w:rsid w:val="000E0407"/>
    <w:rsid w:val="000E0C3A"/>
    <w:rsid w:val="000F0BCE"/>
    <w:rsid w:val="001317CB"/>
    <w:rsid w:val="0013332F"/>
    <w:rsid w:val="001366A3"/>
    <w:rsid w:val="0014778C"/>
    <w:rsid w:val="00192B6F"/>
    <w:rsid w:val="00197A37"/>
    <w:rsid w:val="001A0951"/>
    <w:rsid w:val="001A1781"/>
    <w:rsid w:val="001A48A7"/>
    <w:rsid w:val="001A4CD7"/>
    <w:rsid w:val="001A54DB"/>
    <w:rsid w:val="001B2AAE"/>
    <w:rsid w:val="001C5C89"/>
    <w:rsid w:val="001F411C"/>
    <w:rsid w:val="001F4C8C"/>
    <w:rsid w:val="0021182D"/>
    <w:rsid w:val="002231A8"/>
    <w:rsid w:val="00230BD4"/>
    <w:rsid w:val="00230BFF"/>
    <w:rsid w:val="00231ED5"/>
    <w:rsid w:val="00245DD4"/>
    <w:rsid w:val="002535D2"/>
    <w:rsid w:val="00254456"/>
    <w:rsid w:val="00256907"/>
    <w:rsid w:val="00271424"/>
    <w:rsid w:val="00274740"/>
    <w:rsid w:val="0027556A"/>
    <w:rsid w:val="00284A3E"/>
    <w:rsid w:val="00286F99"/>
    <w:rsid w:val="00291662"/>
    <w:rsid w:val="0029559F"/>
    <w:rsid w:val="002B04FE"/>
    <w:rsid w:val="002B1DA1"/>
    <w:rsid w:val="002C75DD"/>
    <w:rsid w:val="002D3CFC"/>
    <w:rsid w:val="002D78A1"/>
    <w:rsid w:val="003073EA"/>
    <w:rsid w:val="003173DA"/>
    <w:rsid w:val="00324F3D"/>
    <w:rsid w:val="0033512A"/>
    <w:rsid w:val="00371C05"/>
    <w:rsid w:val="00375DB5"/>
    <w:rsid w:val="00384388"/>
    <w:rsid w:val="00392411"/>
    <w:rsid w:val="00392719"/>
    <w:rsid w:val="003B3070"/>
    <w:rsid w:val="003B46E6"/>
    <w:rsid w:val="003D0867"/>
    <w:rsid w:val="003D721D"/>
    <w:rsid w:val="003E5DB4"/>
    <w:rsid w:val="003E7CA1"/>
    <w:rsid w:val="00401063"/>
    <w:rsid w:val="00413761"/>
    <w:rsid w:val="0042162B"/>
    <w:rsid w:val="00441BA8"/>
    <w:rsid w:val="004436C7"/>
    <w:rsid w:val="00443ED9"/>
    <w:rsid w:val="00455F5A"/>
    <w:rsid w:val="00462682"/>
    <w:rsid w:val="00490B84"/>
    <w:rsid w:val="00491B06"/>
    <w:rsid w:val="004A62E8"/>
    <w:rsid w:val="004D2D8B"/>
    <w:rsid w:val="004D3729"/>
    <w:rsid w:val="004E6DB4"/>
    <w:rsid w:val="004F0571"/>
    <w:rsid w:val="004F2EAA"/>
    <w:rsid w:val="004F5B56"/>
    <w:rsid w:val="0050052A"/>
    <w:rsid w:val="0051170E"/>
    <w:rsid w:val="00512F91"/>
    <w:rsid w:val="00547B13"/>
    <w:rsid w:val="0056019E"/>
    <w:rsid w:val="00575123"/>
    <w:rsid w:val="00581B35"/>
    <w:rsid w:val="00585C89"/>
    <w:rsid w:val="0059647E"/>
    <w:rsid w:val="005E114B"/>
    <w:rsid w:val="0060598F"/>
    <w:rsid w:val="00630E4C"/>
    <w:rsid w:val="00664D64"/>
    <w:rsid w:val="00666BEF"/>
    <w:rsid w:val="006704F5"/>
    <w:rsid w:val="00674795"/>
    <w:rsid w:val="00676C67"/>
    <w:rsid w:val="00690115"/>
    <w:rsid w:val="006953F0"/>
    <w:rsid w:val="006A07A0"/>
    <w:rsid w:val="006A37B5"/>
    <w:rsid w:val="006A61A4"/>
    <w:rsid w:val="006B5E87"/>
    <w:rsid w:val="006C1408"/>
    <w:rsid w:val="006E2939"/>
    <w:rsid w:val="006E44B8"/>
    <w:rsid w:val="006E5EA1"/>
    <w:rsid w:val="00706035"/>
    <w:rsid w:val="00743904"/>
    <w:rsid w:val="0076327C"/>
    <w:rsid w:val="00766C69"/>
    <w:rsid w:val="00767EA9"/>
    <w:rsid w:val="00770F8B"/>
    <w:rsid w:val="00772B0A"/>
    <w:rsid w:val="00796063"/>
    <w:rsid w:val="007A040E"/>
    <w:rsid w:val="007B1B21"/>
    <w:rsid w:val="007B2A6D"/>
    <w:rsid w:val="007B6409"/>
    <w:rsid w:val="007C5299"/>
    <w:rsid w:val="007E1D8C"/>
    <w:rsid w:val="007F4659"/>
    <w:rsid w:val="00803484"/>
    <w:rsid w:val="00804E00"/>
    <w:rsid w:val="00815FF3"/>
    <w:rsid w:val="00830F06"/>
    <w:rsid w:val="008318A9"/>
    <w:rsid w:val="00832142"/>
    <w:rsid w:val="00835134"/>
    <w:rsid w:val="00846714"/>
    <w:rsid w:val="00852DFB"/>
    <w:rsid w:val="00857BC1"/>
    <w:rsid w:val="00874223"/>
    <w:rsid w:val="00875430"/>
    <w:rsid w:val="00876232"/>
    <w:rsid w:val="008B72AE"/>
    <w:rsid w:val="008C630B"/>
    <w:rsid w:val="008C7FEA"/>
    <w:rsid w:val="008D49EF"/>
    <w:rsid w:val="008F0A09"/>
    <w:rsid w:val="00900789"/>
    <w:rsid w:val="009007A6"/>
    <w:rsid w:val="00911AF8"/>
    <w:rsid w:val="00915605"/>
    <w:rsid w:val="00920D13"/>
    <w:rsid w:val="00923CAB"/>
    <w:rsid w:val="00925975"/>
    <w:rsid w:val="00934A2F"/>
    <w:rsid w:val="00951D7A"/>
    <w:rsid w:val="00960020"/>
    <w:rsid w:val="00983F20"/>
    <w:rsid w:val="009B1413"/>
    <w:rsid w:val="009B48B9"/>
    <w:rsid w:val="009B5E2E"/>
    <w:rsid w:val="009C2716"/>
    <w:rsid w:val="009C57C6"/>
    <w:rsid w:val="009D5A45"/>
    <w:rsid w:val="009D7A72"/>
    <w:rsid w:val="009F0D12"/>
    <w:rsid w:val="009F2E51"/>
    <w:rsid w:val="00A21885"/>
    <w:rsid w:val="00A30926"/>
    <w:rsid w:val="00A5442D"/>
    <w:rsid w:val="00A56542"/>
    <w:rsid w:val="00A603A6"/>
    <w:rsid w:val="00A63E9D"/>
    <w:rsid w:val="00A8460D"/>
    <w:rsid w:val="00A85575"/>
    <w:rsid w:val="00AA0C48"/>
    <w:rsid w:val="00AA3D63"/>
    <w:rsid w:val="00AA5ED5"/>
    <w:rsid w:val="00AB003F"/>
    <w:rsid w:val="00AC6A2C"/>
    <w:rsid w:val="00AF471E"/>
    <w:rsid w:val="00B14721"/>
    <w:rsid w:val="00B22327"/>
    <w:rsid w:val="00B22694"/>
    <w:rsid w:val="00B502EC"/>
    <w:rsid w:val="00B7642F"/>
    <w:rsid w:val="00B81760"/>
    <w:rsid w:val="00B94DBA"/>
    <w:rsid w:val="00BA6F89"/>
    <w:rsid w:val="00BB0C4E"/>
    <w:rsid w:val="00BB0E38"/>
    <w:rsid w:val="00BB3908"/>
    <w:rsid w:val="00BB543E"/>
    <w:rsid w:val="00BB61F8"/>
    <w:rsid w:val="00BC5E50"/>
    <w:rsid w:val="00BE6512"/>
    <w:rsid w:val="00BF2DE5"/>
    <w:rsid w:val="00C15E83"/>
    <w:rsid w:val="00C161B3"/>
    <w:rsid w:val="00C2195E"/>
    <w:rsid w:val="00C352F3"/>
    <w:rsid w:val="00C37AB2"/>
    <w:rsid w:val="00C441B3"/>
    <w:rsid w:val="00C4755F"/>
    <w:rsid w:val="00C8095F"/>
    <w:rsid w:val="00C8649B"/>
    <w:rsid w:val="00C9117C"/>
    <w:rsid w:val="00CC03B8"/>
    <w:rsid w:val="00CC5418"/>
    <w:rsid w:val="00CE09D2"/>
    <w:rsid w:val="00CE4435"/>
    <w:rsid w:val="00CE6C01"/>
    <w:rsid w:val="00CF27D4"/>
    <w:rsid w:val="00CF2F28"/>
    <w:rsid w:val="00D03496"/>
    <w:rsid w:val="00D16B81"/>
    <w:rsid w:val="00D35E60"/>
    <w:rsid w:val="00D363A8"/>
    <w:rsid w:val="00D50F9B"/>
    <w:rsid w:val="00D570FE"/>
    <w:rsid w:val="00D636EF"/>
    <w:rsid w:val="00D672EC"/>
    <w:rsid w:val="00D9079F"/>
    <w:rsid w:val="00D92C96"/>
    <w:rsid w:val="00DA56AC"/>
    <w:rsid w:val="00DB5A10"/>
    <w:rsid w:val="00DD2BB1"/>
    <w:rsid w:val="00E14AC6"/>
    <w:rsid w:val="00E20C55"/>
    <w:rsid w:val="00E349B1"/>
    <w:rsid w:val="00E3542E"/>
    <w:rsid w:val="00E42CC2"/>
    <w:rsid w:val="00E51FAC"/>
    <w:rsid w:val="00E5675C"/>
    <w:rsid w:val="00E60A49"/>
    <w:rsid w:val="00E77710"/>
    <w:rsid w:val="00E77E6A"/>
    <w:rsid w:val="00E8555E"/>
    <w:rsid w:val="00E9081A"/>
    <w:rsid w:val="00E90970"/>
    <w:rsid w:val="00E916A2"/>
    <w:rsid w:val="00E96739"/>
    <w:rsid w:val="00EA31B0"/>
    <w:rsid w:val="00EA5213"/>
    <w:rsid w:val="00EC2755"/>
    <w:rsid w:val="00EC75B4"/>
    <w:rsid w:val="00ED5C41"/>
    <w:rsid w:val="00ED6EC7"/>
    <w:rsid w:val="00EF3592"/>
    <w:rsid w:val="00F008CC"/>
    <w:rsid w:val="00F04E1E"/>
    <w:rsid w:val="00F130CB"/>
    <w:rsid w:val="00F224A9"/>
    <w:rsid w:val="00F5552B"/>
    <w:rsid w:val="00F56067"/>
    <w:rsid w:val="00F65A7F"/>
    <w:rsid w:val="00F77D0C"/>
    <w:rsid w:val="00F856C9"/>
    <w:rsid w:val="00F90D77"/>
    <w:rsid w:val="00F92EDE"/>
    <w:rsid w:val="00F96F5E"/>
    <w:rsid w:val="00FB4741"/>
    <w:rsid w:val="00FC0F5A"/>
    <w:rsid w:val="00FC20D0"/>
    <w:rsid w:val="00FC33EF"/>
    <w:rsid w:val="00FC4084"/>
    <w:rsid w:val="00FD0265"/>
    <w:rsid w:val="00FD34FE"/>
    <w:rsid w:val="00FF2C25"/>
    <w:rsid w:val="00FF77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3A890F"/>
  <w15:docId w15:val="{4C6A44EC-7D4C-4A6A-B9CE-2F49C8B3E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4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64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6409"/>
    <w:rPr>
      <w:rFonts w:ascii="Lucida Grande" w:hAnsi="Lucida Grande" w:cs="Lucida Grande"/>
      <w:sz w:val="18"/>
      <w:szCs w:val="18"/>
    </w:rPr>
  </w:style>
  <w:style w:type="paragraph" w:styleId="ListParagraph">
    <w:name w:val="List Paragraph"/>
    <w:basedOn w:val="Normal"/>
    <w:uiPriority w:val="34"/>
    <w:qFormat/>
    <w:rsid w:val="001F4C8C"/>
    <w:pPr>
      <w:ind w:left="720"/>
      <w:contextualSpacing/>
    </w:pPr>
  </w:style>
  <w:style w:type="character" w:customStyle="1" w:styleId="apple-converted-space">
    <w:name w:val="apple-converted-space"/>
    <w:basedOn w:val="DefaultParagraphFont"/>
    <w:rsid w:val="00743904"/>
  </w:style>
  <w:style w:type="character" w:styleId="Emphasis">
    <w:name w:val="Emphasis"/>
    <w:basedOn w:val="DefaultParagraphFont"/>
    <w:uiPriority w:val="20"/>
    <w:qFormat/>
    <w:rsid w:val="000B7D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53472">
      <w:bodyDiv w:val="1"/>
      <w:marLeft w:val="0"/>
      <w:marRight w:val="0"/>
      <w:marTop w:val="0"/>
      <w:marBottom w:val="0"/>
      <w:divBdr>
        <w:top w:val="none" w:sz="0" w:space="0" w:color="auto"/>
        <w:left w:val="none" w:sz="0" w:space="0" w:color="auto"/>
        <w:bottom w:val="none" w:sz="0" w:space="0" w:color="auto"/>
        <w:right w:val="none" w:sz="0" w:space="0" w:color="auto"/>
      </w:divBdr>
    </w:div>
    <w:div w:id="838890140">
      <w:bodyDiv w:val="1"/>
      <w:marLeft w:val="0"/>
      <w:marRight w:val="0"/>
      <w:marTop w:val="0"/>
      <w:marBottom w:val="0"/>
      <w:divBdr>
        <w:top w:val="none" w:sz="0" w:space="0" w:color="auto"/>
        <w:left w:val="none" w:sz="0" w:space="0" w:color="auto"/>
        <w:bottom w:val="none" w:sz="0" w:space="0" w:color="auto"/>
        <w:right w:val="none" w:sz="0" w:space="0" w:color="auto"/>
      </w:divBdr>
    </w:div>
    <w:div w:id="1093937758">
      <w:bodyDiv w:val="1"/>
      <w:marLeft w:val="0"/>
      <w:marRight w:val="0"/>
      <w:marTop w:val="0"/>
      <w:marBottom w:val="0"/>
      <w:divBdr>
        <w:top w:val="none" w:sz="0" w:space="0" w:color="auto"/>
        <w:left w:val="none" w:sz="0" w:space="0" w:color="auto"/>
        <w:bottom w:val="none" w:sz="0" w:space="0" w:color="auto"/>
        <w:right w:val="none" w:sz="0" w:space="0" w:color="auto"/>
      </w:divBdr>
    </w:div>
    <w:div w:id="1367943900">
      <w:bodyDiv w:val="1"/>
      <w:marLeft w:val="0"/>
      <w:marRight w:val="0"/>
      <w:marTop w:val="0"/>
      <w:marBottom w:val="0"/>
      <w:divBdr>
        <w:top w:val="none" w:sz="0" w:space="0" w:color="auto"/>
        <w:left w:val="none" w:sz="0" w:space="0" w:color="auto"/>
        <w:bottom w:val="none" w:sz="0" w:space="0" w:color="auto"/>
        <w:right w:val="none" w:sz="0" w:space="0" w:color="auto"/>
      </w:divBdr>
    </w:div>
    <w:div w:id="1478259102">
      <w:bodyDiv w:val="1"/>
      <w:marLeft w:val="0"/>
      <w:marRight w:val="0"/>
      <w:marTop w:val="0"/>
      <w:marBottom w:val="0"/>
      <w:divBdr>
        <w:top w:val="none" w:sz="0" w:space="0" w:color="auto"/>
        <w:left w:val="none" w:sz="0" w:space="0" w:color="auto"/>
        <w:bottom w:val="none" w:sz="0" w:space="0" w:color="auto"/>
        <w:right w:val="none" w:sz="0" w:space="0" w:color="auto"/>
      </w:divBdr>
    </w:div>
    <w:div w:id="1689142757">
      <w:bodyDiv w:val="1"/>
      <w:marLeft w:val="0"/>
      <w:marRight w:val="0"/>
      <w:marTop w:val="0"/>
      <w:marBottom w:val="0"/>
      <w:divBdr>
        <w:top w:val="none" w:sz="0" w:space="0" w:color="auto"/>
        <w:left w:val="none" w:sz="0" w:space="0" w:color="auto"/>
        <w:bottom w:val="none" w:sz="0" w:space="0" w:color="auto"/>
        <w:right w:val="none" w:sz="0" w:space="0" w:color="auto"/>
      </w:divBdr>
    </w:div>
    <w:div w:id="1720936002">
      <w:bodyDiv w:val="1"/>
      <w:marLeft w:val="0"/>
      <w:marRight w:val="0"/>
      <w:marTop w:val="0"/>
      <w:marBottom w:val="0"/>
      <w:divBdr>
        <w:top w:val="none" w:sz="0" w:space="0" w:color="auto"/>
        <w:left w:val="none" w:sz="0" w:space="0" w:color="auto"/>
        <w:bottom w:val="none" w:sz="0" w:space="0" w:color="auto"/>
        <w:right w:val="none" w:sz="0" w:space="0" w:color="auto"/>
      </w:divBdr>
    </w:div>
    <w:div w:id="1879050426">
      <w:bodyDiv w:val="1"/>
      <w:marLeft w:val="0"/>
      <w:marRight w:val="0"/>
      <w:marTop w:val="0"/>
      <w:marBottom w:val="0"/>
      <w:divBdr>
        <w:top w:val="none" w:sz="0" w:space="0" w:color="auto"/>
        <w:left w:val="none" w:sz="0" w:space="0" w:color="auto"/>
        <w:bottom w:val="none" w:sz="0" w:space="0" w:color="auto"/>
        <w:right w:val="none" w:sz="0" w:space="0" w:color="auto"/>
      </w:divBdr>
    </w:div>
    <w:div w:id="18965516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07566-E346-4D76-818A-9C5B3AFAC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KBRA</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Harris</dc:creator>
  <cp:lastModifiedBy>Edward Laclaustra</cp:lastModifiedBy>
  <cp:revision>9</cp:revision>
  <cp:lastPrinted>2016-02-03T00:26:00Z</cp:lastPrinted>
  <dcterms:created xsi:type="dcterms:W3CDTF">2016-02-11T20:35:00Z</dcterms:created>
  <dcterms:modified xsi:type="dcterms:W3CDTF">2016-02-11T22:04:00Z</dcterms:modified>
</cp:coreProperties>
</file>