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2700"/>
        <w:gridCol w:w="2790"/>
        <w:gridCol w:w="2430"/>
        <w:gridCol w:w="3780"/>
      </w:tblGrid>
      <w:tr w:rsidR="00E8555E" w:rsidRPr="00353DC0" w14:paraId="3AA29E37" w14:textId="77777777" w:rsidTr="00DC16C2">
        <w:trPr>
          <w:trHeight w:val="80"/>
        </w:trPr>
        <w:tc>
          <w:tcPr>
            <w:tcW w:w="2700" w:type="dxa"/>
            <w:shd w:val="clear" w:color="auto" w:fill="365F91" w:themeFill="accent1" w:themeFillShade="BF"/>
          </w:tcPr>
          <w:p w14:paraId="2E49CA38" w14:textId="08A602EF" w:rsidR="00E8555E" w:rsidRPr="00353DC0" w:rsidRDefault="00E8555E" w:rsidP="00F3198D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E02ABF" w:rsidRPr="00353DC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447515" w:rsidRPr="00353DC0">
              <w:rPr>
                <w:b/>
                <w:color w:val="FFFFFF" w:themeColor="background1"/>
                <w:sz w:val="16"/>
                <w:szCs w:val="16"/>
              </w:rPr>
              <w:t>Carter’s Inc</w:t>
            </w:r>
          </w:p>
        </w:tc>
        <w:tc>
          <w:tcPr>
            <w:tcW w:w="2790" w:type="dxa"/>
            <w:shd w:val="clear" w:color="auto" w:fill="365F91" w:themeFill="accent1" w:themeFillShade="BF"/>
          </w:tcPr>
          <w:p w14:paraId="5FDF97F0" w14:textId="50005F59" w:rsidR="00E8555E" w:rsidRPr="00353DC0" w:rsidRDefault="00DC16C2" w:rsidP="00845D70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Ticker: </w:t>
            </w:r>
            <w:r w:rsidR="00447515" w:rsidRPr="00353DC0">
              <w:rPr>
                <w:color w:val="FFFFFF" w:themeColor="background1"/>
                <w:sz w:val="16"/>
                <w:szCs w:val="16"/>
              </w:rPr>
              <w:t>CRI</w:t>
            </w:r>
            <w:r w:rsidR="00F3198D" w:rsidRPr="00353DC0"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 xml:space="preserve">      </w:t>
            </w:r>
            <w:r w:rsidR="00E8555E" w:rsidRPr="00353DC0">
              <w:rPr>
                <w:color w:val="FFFFFF" w:themeColor="background1"/>
                <w:sz w:val="16"/>
                <w:szCs w:val="16"/>
              </w:rPr>
              <w:t>Current Price:</w:t>
            </w:r>
            <w:r w:rsidR="00E02ABF" w:rsidRPr="00353DC0"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="0047443F" w:rsidRPr="00353DC0">
              <w:rPr>
                <w:color w:val="FFFFFF" w:themeColor="background1"/>
                <w:sz w:val="16"/>
                <w:szCs w:val="16"/>
              </w:rPr>
              <w:t>$</w:t>
            </w:r>
            <w:r w:rsidR="00447515" w:rsidRPr="00353DC0">
              <w:rPr>
                <w:color w:val="FFFFFF" w:themeColor="background1"/>
                <w:sz w:val="16"/>
                <w:szCs w:val="16"/>
              </w:rPr>
              <w:t>9</w:t>
            </w:r>
            <w:r w:rsidR="00845D70" w:rsidRPr="00353DC0">
              <w:rPr>
                <w:color w:val="FFFFFF" w:themeColor="background1"/>
                <w:sz w:val="16"/>
                <w:szCs w:val="16"/>
              </w:rPr>
              <w:t>9</w:t>
            </w:r>
            <w:r w:rsidR="00447515" w:rsidRPr="00353DC0">
              <w:rPr>
                <w:color w:val="FFFFFF" w:themeColor="background1"/>
                <w:sz w:val="16"/>
                <w:szCs w:val="16"/>
              </w:rPr>
              <w:t>.</w:t>
            </w:r>
            <w:r w:rsidR="00845D70" w:rsidRPr="00353DC0">
              <w:rPr>
                <w:color w:val="FFFFFF" w:themeColor="background1"/>
                <w:sz w:val="16"/>
                <w:szCs w:val="16"/>
              </w:rPr>
              <w:t>44</w:t>
            </w:r>
          </w:p>
        </w:tc>
        <w:tc>
          <w:tcPr>
            <w:tcW w:w="2430" w:type="dxa"/>
            <w:shd w:val="clear" w:color="auto" w:fill="365F91" w:themeFill="accent1" w:themeFillShade="BF"/>
          </w:tcPr>
          <w:p w14:paraId="1FD4CAF9" w14:textId="57BA5DF4" w:rsidR="00E8555E" w:rsidRPr="00353DC0" w:rsidRDefault="00E02ABF" w:rsidP="00C8063B">
            <w:pPr>
              <w:rPr>
                <w:color w:val="FFFFFF" w:themeColor="background1"/>
                <w:sz w:val="16"/>
                <w:szCs w:val="16"/>
              </w:rPr>
            </w:pPr>
            <w:r w:rsidRPr="00353DC0">
              <w:rPr>
                <w:color w:val="FFFFFF" w:themeColor="background1"/>
                <w:sz w:val="16"/>
                <w:szCs w:val="16"/>
              </w:rPr>
              <w:t>Sector</w:t>
            </w:r>
            <w:r w:rsidR="00E8555E" w:rsidRPr="00353DC0">
              <w:rPr>
                <w:color w:val="FFFFFF" w:themeColor="background1"/>
                <w:sz w:val="16"/>
                <w:szCs w:val="16"/>
              </w:rPr>
              <w:t>:</w:t>
            </w:r>
            <w:r w:rsidRPr="00353DC0">
              <w:rPr>
                <w:color w:val="FFFFFF" w:themeColor="background1"/>
                <w:sz w:val="16"/>
                <w:szCs w:val="16"/>
              </w:rPr>
              <w:t xml:space="preserve">  </w:t>
            </w:r>
            <w:r w:rsidR="00447515" w:rsidRPr="00353DC0">
              <w:rPr>
                <w:color w:val="FFFFFF" w:themeColor="background1"/>
                <w:sz w:val="16"/>
                <w:szCs w:val="16"/>
              </w:rPr>
              <w:t>Consumer Discretionary</w:t>
            </w:r>
          </w:p>
        </w:tc>
        <w:tc>
          <w:tcPr>
            <w:tcW w:w="3780" w:type="dxa"/>
            <w:shd w:val="clear" w:color="auto" w:fill="365F91" w:themeFill="accent1" w:themeFillShade="BF"/>
          </w:tcPr>
          <w:p w14:paraId="417B84CE" w14:textId="3DC734A2" w:rsidR="00E8555E" w:rsidRPr="00353DC0" w:rsidRDefault="00E8555E" w:rsidP="00F3198D">
            <w:pPr>
              <w:rPr>
                <w:color w:val="FFFFFF" w:themeColor="background1"/>
                <w:sz w:val="16"/>
                <w:szCs w:val="16"/>
              </w:rPr>
            </w:pPr>
            <w:r w:rsidRPr="00353DC0">
              <w:rPr>
                <w:color w:val="FFFFFF" w:themeColor="background1"/>
                <w:sz w:val="16"/>
                <w:szCs w:val="16"/>
              </w:rPr>
              <w:t xml:space="preserve">Sub Industry: </w:t>
            </w:r>
            <w:r w:rsidR="00447515" w:rsidRPr="00353DC0">
              <w:rPr>
                <w:color w:val="FFFFFF" w:themeColor="background1"/>
                <w:sz w:val="16"/>
                <w:szCs w:val="16"/>
              </w:rPr>
              <w:t>Apparel, Accessories &amp; Luxury Goods</w:t>
            </w:r>
          </w:p>
        </w:tc>
      </w:tr>
      <w:tr w:rsidR="006E44B8" w:rsidRPr="00353DC0" w14:paraId="185E94E4" w14:textId="77777777" w:rsidTr="00DC16C2">
        <w:trPr>
          <w:trHeight w:val="512"/>
        </w:trPr>
        <w:tc>
          <w:tcPr>
            <w:tcW w:w="2700" w:type="dxa"/>
          </w:tcPr>
          <w:p w14:paraId="159CAB82" w14:textId="36103D9B" w:rsidR="00E8555E" w:rsidRPr="00353DC0" w:rsidRDefault="00E8555E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>Target Price</w:t>
            </w:r>
            <w:r w:rsidR="00C8063B" w:rsidRPr="00353DC0">
              <w:rPr>
                <w:sz w:val="16"/>
                <w:szCs w:val="16"/>
              </w:rPr>
              <w:t>:</w:t>
            </w:r>
            <w:r w:rsidR="00845D70" w:rsidRPr="00353DC0">
              <w:rPr>
                <w:sz w:val="16"/>
                <w:szCs w:val="16"/>
              </w:rPr>
              <w:t xml:space="preserve"> </w:t>
            </w:r>
            <w:r w:rsidR="00447515" w:rsidRPr="00353DC0">
              <w:rPr>
                <w:sz w:val="16"/>
                <w:szCs w:val="16"/>
              </w:rPr>
              <w:t>$1</w:t>
            </w:r>
            <w:r w:rsidR="00845D70" w:rsidRPr="00353DC0">
              <w:rPr>
                <w:sz w:val="16"/>
                <w:szCs w:val="16"/>
              </w:rPr>
              <w:t>1</w:t>
            </w:r>
            <w:r w:rsidR="00447515" w:rsidRPr="00353DC0">
              <w:rPr>
                <w:sz w:val="16"/>
                <w:szCs w:val="16"/>
              </w:rPr>
              <w:t>0</w:t>
            </w:r>
          </w:p>
          <w:p w14:paraId="366C508D" w14:textId="281831FC" w:rsidR="00E8555E" w:rsidRPr="00353DC0" w:rsidRDefault="00C161B3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>Stop Loss:</w:t>
            </w:r>
            <w:r w:rsidR="00C8063B" w:rsidRPr="00353DC0">
              <w:rPr>
                <w:sz w:val="16"/>
                <w:szCs w:val="16"/>
              </w:rPr>
              <w:t xml:space="preserve"> </w:t>
            </w:r>
            <w:r w:rsidR="00447515" w:rsidRPr="00353DC0">
              <w:rPr>
                <w:sz w:val="16"/>
                <w:szCs w:val="16"/>
              </w:rPr>
              <w:t>$7</w:t>
            </w:r>
            <w:r w:rsidR="00845D70" w:rsidRPr="00353DC0">
              <w:rPr>
                <w:sz w:val="16"/>
                <w:szCs w:val="16"/>
              </w:rPr>
              <w:t>9.37</w:t>
            </w:r>
          </w:p>
          <w:p w14:paraId="7E50A51D" w14:textId="3309B32F" w:rsidR="006E44B8" w:rsidRPr="00353DC0" w:rsidRDefault="00E8555E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52 Week High/ Low: </w:t>
            </w:r>
            <w:r w:rsidR="00447515" w:rsidRPr="00353DC0">
              <w:rPr>
                <w:sz w:val="16"/>
                <w:szCs w:val="16"/>
              </w:rPr>
              <w:t>$109.53/$80.9</w:t>
            </w:r>
          </w:p>
        </w:tc>
        <w:tc>
          <w:tcPr>
            <w:tcW w:w="2790" w:type="dxa"/>
          </w:tcPr>
          <w:p w14:paraId="461A4200" w14:textId="3EAB0B98" w:rsidR="00E8555E" w:rsidRPr="00353DC0" w:rsidRDefault="00E8555E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TTM P/E: </w:t>
            </w:r>
            <w:r w:rsidR="00447515" w:rsidRPr="00353DC0">
              <w:rPr>
                <w:sz w:val="16"/>
                <w:szCs w:val="16"/>
              </w:rPr>
              <w:t>19.6</w:t>
            </w:r>
          </w:p>
          <w:p w14:paraId="7862C274" w14:textId="3D3DDB25" w:rsidR="00E8555E" w:rsidRPr="00353DC0" w:rsidRDefault="00E8555E" w:rsidP="00E8555E">
            <w:pPr>
              <w:rPr>
                <w:sz w:val="16"/>
                <w:szCs w:val="16"/>
                <w:highlight w:val="yellow"/>
              </w:rPr>
            </w:pPr>
            <w:r w:rsidRPr="00353DC0">
              <w:rPr>
                <w:sz w:val="16"/>
                <w:szCs w:val="16"/>
              </w:rPr>
              <w:t>Forward P/E</w:t>
            </w:r>
            <w:r w:rsidR="00447515" w:rsidRPr="00353DC0">
              <w:rPr>
                <w:sz w:val="16"/>
                <w:szCs w:val="16"/>
              </w:rPr>
              <w:t xml:space="preserve"> (2016</w:t>
            </w:r>
            <w:r w:rsidR="005A335E" w:rsidRPr="00353DC0">
              <w:rPr>
                <w:sz w:val="16"/>
                <w:szCs w:val="16"/>
              </w:rPr>
              <w:t>E)</w:t>
            </w:r>
            <w:r w:rsidRPr="00353DC0">
              <w:rPr>
                <w:sz w:val="16"/>
                <w:szCs w:val="16"/>
              </w:rPr>
              <w:t xml:space="preserve">: </w:t>
            </w:r>
            <w:r w:rsidR="00447515" w:rsidRPr="00353DC0">
              <w:rPr>
                <w:sz w:val="16"/>
                <w:szCs w:val="16"/>
              </w:rPr>
              <w:t>17.9</w:t>
            </w:r>
          </w:p>
          <w:p w14:paraId="5AA3FEF7" w14:textId="67904900" w:rsidR="006E44B8" w:rsidRPr="00353DC0" w:rsidRDefault="005A335E" w:rsidP="005A33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TTM </w:t>
            </w:r>
            <w:r w:rsidR="00E8555E" w:rsidRPr="00353DC0">
              <w:rPr>
                <w:sz w:val="16"/>
                <w:szCs w:val="16"/>
              </w:rPr>
              <w:t xml:space="preserve">EPS: </w:t>
            </w:r>
            <w:r w:rsidR="00447515" w:rsidRPr="00353DC0">
              <w:rPr>
                <w:sz w:val="16"/>
                <w:szCs w:val="16"/>
              </w:rPr>
              <w:t>$4.41</w:t>
            </w:r>
          </w:p>
        </w:tc>
        <w:tc>
          <w:tcPr>
            <w:tcW w:w="2430" w:type="dxa"/>
          </w:tcPr>
          <w:p w14:paraId="25238E11" w14:textId="2C7F5345" w:rsidR="00E8555E" w:rsidRPr="00353DC0" w:rsidRDefault="00C8063B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>Beta:</w:t>
            </w:r>
            <w:r w:rsidR="00447515" w:rsidRPr="00353DC0">
              <w:rPr>
                <w:sz w:val="16"/>
                <w:szCs w:val="16"/>
              </w:rPr>
              <w:t xml:space="preserve"> 0.81</w:t>
            </w:r>
          </w:p>
          <w:p w14:paraId="61C6D51C" w14:textId="19451836" w:rsidR="00A30926" w:rsidRPr="00353DC0" w:rsidRDefault="00E8555E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>Credit Rating:</w:t>
            </w:r>
          </w:p>
          <w:p w14:paraId="5BFE3D7B" w14:textId="2F55179E" w:rsidR="003073EA" w:rsidRPr="00353DC0" w:rsidRDefault="00C8063B" w:rsidP="00E8555E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>Rating Outlook:</w:t>
            </w:r>
          </w:p>
        </w:tc>
        <w:tc>
          <w:tcPr>
            <w:tcW w:w="3780" w:type="dxa"/>
          </w:tcPr>
          <w:p w14:paraId="438980BC" w14:textId="2D6BB73A" w:rsidR="006E44B8" w:rsidRPr="00353DC0" w:rsidRDefault="0013332F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Market Cap: </w:t>
            </w:r>
            <w:r w:rsidR="00447515" w:rsidRPr="00353DC0">
              <w:rPr>
                <w:sz w:val="16"/>
                <w:szCs w:val="16"/>
              </w:rPr>
              <w:t>4.7</w:t>
            </w:r>
            <w:r w:rsidR="00B919B7" w:rsidRPr="00353DC0">
              <w:rPr>
                <w:sz w:val="16"/>
                <w:szCs w:val="16"/>
              </w:rPr>
              <w:t>B</w:t>
            </w:r>
          </w:p>
          <w:p w14:paraId="37B82920" w14:textId="7D692628" w:rsidR="00C441B3" w:rsidRPr="00353DC0" w:rsidRDefault="00501519">
            <w:pPr>
              <w:rPr>
                <w:sz w:val="16"/>
                <w:szCs w:val="16"/>
              </w:rPr>
            </w:pPr>
            <w:r w:rsidRPr="00353DC0">
              <w:rPr>
                <w:rFonts w:cs="UniversLTStd-BoldCn"/>
                <w:bCs/>
                <w:sz w:val="16"/>
                <w:szCs w:val="16"/>
              </w:rPr>
              <w:t>Avg</w:t>
            </w:r>
            <w:r w:rsidR="001E7B80" w:rsidRPr="00353DC0">
              <w:rPr>
                <w:rFonts w:cs="UniversLTStd-BoldCn"/>
                <w:bCs/>
                <w:sz w:val="16"/>
                <w:szCs w:val="16"/>
              </w:rPr>
              <w:t>.</w:t>
            </w:r>
            <w:r w:rsidRPr="00353DC0">
              <w:rPr>
                <w:rFonts w:cs="UniversLTStd-BoldCn"/>
                <w:bCs/>
                <w:sz w:val="16"/>
                <w:szCs w:val="16"/>
              </w:rPr>
              <w:t xml:space="preserve"> Vol (</w:t>
            </w:r>
            <w:r w:rsidR="001E7B80" w:rsidRPr="00353DC0">
              <w:rPr>
                <w:rFonts w:cs="UniversLTStd-BoldCn"/>
                <w:bCs/>
                <w:sz w:val="16"/>
                <w:szCs w:val="16"/>
              </w:rPr>
              <w:t>30 Day</w:t>
            </w:r>
            <w:r w:rsidR="00C441B3" w:rsidRPr="00353DC0">
              <w:rPr>
                <w:rFonts w:cs="UniversLTStd-BoldCn"/>
                <w:bCs/>
                <w:sz w:val="16"/>
                <w:szCs w:val="16"/>
              </w:rPr>
              <w:t>)</w:t>
            </w:r>
            <w:r w:rsidR="00BF2DE5" w:rsidRPr="00353DC0">
              <w:rPr>
                <w:rFonts w:cs="UniversLTStd-BoldCn"/>
                <w:bCs/>
                <w:sz w:val="16"/>
                <w:szCs w:val="16"/>
              </w:rPr>
              <w:t>:</w:t>
            </w:r>
            <w:r w:rsidR="00704289" w:rsidRPr="00353DC0">
              <w:rPr>
                <w:rFonts w:cs="UniversLTStd-BoldCn"/>
                <w:bCs/>
                <w:sz w:val="16"/>
                <w:szCs w:val="16"/>
              </w:rPr>
              <w:t xml:space="preserve">  </w:t>
            </w:r>
            <w:r w:rsidR="00447515" w:rsidRPr="00353DC0">
              <w:rPr>
                <w:rFonts w:cs="UniversLTStd-BoldCn"/>
                <w:bCs/>
                <w:sz w:val="16"/>
                <w:szCs w:val="16"/>
              </w:rPr>
              <w:t>0.7M</w:t>
            </w:r>
          </w:p>
          <w:p w14:paraId="0D1C791A" w14:textId="0634775E" w:rsidR="00E5675C" w:rsidRPr="00353DC0" w:rsidRDefault="00E5675C" w:rsidP="00851F0A">
            <w:pPr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Dividend Yield: </w:t>
            </w:r>
            <w:r w:rsidR="00851F0A">
              <w:rPr>
                <w:sz w:val="16"/>
                <w:szCs w:val="16"/>
              </w:rPr>
              <w:t>1.01</w:t>
            </w:r>
            <w:r w:rsidR="00447515" w:rsidRPr="00353DC0">
              <w:rPr>
                <w:sz w:val="16"/>
                <w:szCs w:val="16"/>
              </w:rPr>
              <w:t>%</w:t>
            </w:r>
          </w:p>
        </w:tc>
      </w:tr>
    </w:tbl>
    <w:p w14:paraId="4F402887" w14:textId="77777777" w:rsidR="00443ED9" w:rsidRPr="00353DC0" w:rsidRDefault="00443ED9" w:rsidP="005E114B">
      <w:pPr>
        <w:rPr>
          <w:sz w:val="16"/>
          <w:szCs w:val="16"/>
        </w:rPr>
      </w:pPr>
    </w:p>
    <w:tbl>
      <w:tblPr>
        <w:tblStyle w:val="TableGrid"/>
        <w:tblW w:w="11700" w:type="dxa"/>
        <w:tblInd w:w="-1332" w:type="dxa"/>
        <w:tblLook w:val="04A0" w:firstRow="1" w:lastRow="0" w:firstColumn="1" w:lastColumn="0" w:noHBand="0" w:noVBand="1"/>
      </w:tblPr>
      <w:tblGrid>
        <w:gridCol w:w="11700"/>
      </w:tblGrid>
      <w:tr w:rsidR="00DB5A10" w:rsidRPr="00353DC0" w14:paraId="311194DC" w14:textId="77777777" w:rsidTr="00DB5A10">
        <w:trPr>
          <w:trHeight w:val="197"/>
        </w:trPr>
        <w:tc>
          <w:tcPr>
            <w:tcW w:w="11700" w:type="dxa"/>
            <w:shd w:val="clear" w:color="auto" w:fill="365F91" w:themeFill="accent1" w:themeFillShade="BF"/>
          </w:tcPr>
          <w:p w14:paraId="14342F91" w14:textId="5A8BBA7A" w:rsidR="00DB5A10" w:rsidRPr="00353DC0" w:rsidRDefault="00DB5A10" w:rsidP="00DB5A10">
            <w:pPr>
              <w:tabs>
                <w:tab w:val="left" w:pos="3690"/>
              </w:tabs>
              <w:jc w:val="both"/>
              <w:rPr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Company Background:  </w:t>
            </w:r>
            <w:r w:rsidRPr="00353DC0">
              <w:rPr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DB5A10" w:rsidRPr="00353DC0" w14:paraId="325C88BE" w14:textId="77777777" w:rsidTr="00DB5A10">
        <w:tc>
          <w:tcPr>
            <w:tcW w:w="11700" w:type="dxa"/>
          </w:tcPr>
          <w:p w14:paraId="0A8884D5" w14:textId="4BE4CCE6" w:rsidR="00C8063B" w:rsidRPr="00353DC0" w:rsidRDefault="00AA6378" w:rsidP="00C8063B">
            <w:pPr>
              <w:rPr>
                <w:sz w:val="16"/>
                <w:szCs w:val="16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Carter's, Inc. (CRI) designs, sources and markets branded apparel for babies and young children. The company offers its products under various brands, including Carter's, Child of Mine, Just One Year, Precious Firsts, </w:t>
            </w:r>
            <w:proofErr w:type="spellStart"/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OshKosh</w:t>
            </w:r>
            <w:proofErr w:type="spellEnd"/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and related brands.</w:t>
            </w:r>
          </w:p>
        </w:tc>
      </w:tr>
      <w:tr w:rsidR="00274740" w:rsidRPr="00353DC0" w14:paraId="4EB61633" w14:textId="77777777" w:rsidTr="00274740">
        <w:tc>
          <w:tcPr>
            <w:tcW w:w="11700" w:type="dxa"/>
            <w:shd w:val="clear" w:color="auto" w:fill="365F91" w:themeFill="accent1" w:themeFillShade="BF"/>
          </w:tcPr>
          <w:p w14:paraId="38206B03" w14:textId="7B341966" w:rsidR="00274740" w:rsidRPr="00353DC0" w:rsidRDefault="00274740" w:rsidP="00BB61F8">
            <w:pPr>
              <w:tabs>
                <w:tab w:val="left" w:pos="3225"/>
              </w:tabs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Industry </w:t>
            </w:r>
            <w:r w:rsidR="00BB3908" w:rsidRPr="00353DC0">
              <w:rPr>
                <w:b/>
                <w:color w:val="FFFFFF" w:themeColor="background1"/>
                <w:sz w:val="16"/>
                <w:szCs w:val="16"/>
              </w:rPr>
              <w:t>Outlook:</w:t>
            </w: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74740" w:rsidRPr="00353DC0" w14:paraId="52C52C72" w14:textId="77777777" w:rsidTr="00DB5A10">
        <w:tc>
          <w:tcPr>
            <w:tcW w:w="11700" w:type="dxa"/>
          </w:tcPr>
          <w:p w14:paraId="2219CC73" w14:textId="3EEAAC67" w:rsidR="00C8063B" w:rsidRPr="00353DC0" w:rsidRDefault="0033570E" w:rsidP="00C8063B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Fundamental outlook for the apparel, accessories &amp; luxury goods sub-industry is neutral. Sales of both accessories and luxury goods are expected to outpace that of apparel over the near term. While apparel is a relatively low cost category that is likely to benefit from a boost to consumer spending due to lower gasoline prices. Apparel, accessory, and luxury brands are increasing their investments in company-owned retail, outlet and online stores, which provide higher-margin growth opportunities than the wholesale channel and enable them to showcase their entire merchandise assortment, enhance consumer brand awareness, and test new products.</w:t>
            </w:r>
          </w:p>
        </w:tc>
      </w:tr>
      <w:tr w:rsidR="00DB5A10" w:rsidRPr="00353DC0" w14:paraId="6A32B295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22F69EB1" w14:textId="5B91B2A3" w:rsidR="00DB5A10" w:rsidRPr="00353DC0" w:rsidRDefault="00DB5A10" w:rsidP="00DB5A10">
            <w:pPr>
              <w:tabs>
                <w:tab w:val="left" w:pos="3225"/>
              </w:tabs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>Investment Thesis:</w:t>
            </w:r>
            <w:r w:rsidRPr="00353DC0">
              <w:rPr>
                <w:b/>
                <w:color w:val="FFFFFF" w:themeColor="background1"/>
                <w:sz w:val="16"/>
                <w:szCs w:val="16"/>
              </w:rPr>
              <w:tab/>
            </w:r>
          </w:p>
        </w:tc>
      </w:tr>
      <w:tr w:rsidR="00DB5A10" w:rsidRPr="00353DC0" w14:paraId="4F0CBDAD" w14:textId="77777777" w:rsidTr="00DB5A10">
        <w:tc>
          <w:tcPr>
            <w:tcW w:w="11700" w:type="dxa"/>
          </w:tcPr>
          <w:p w14:paraId="539E3C29" w14:textId="367BB3CD" w:rsidR="00AA6378" w:rsidRPr="00353DC0" w:rsidRDefault="00AA6378" w:rsidP="00353D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After rising nearly 10% in 2014, net sales</w:t>
            </w:r>
            <w:r w:rsidR="0033570E"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increase</w:t>
            </w:r>
            <w:r w:rsidR="00040E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 4.15</w:t>
            </w:r>
            <w:r w:rsidR="0033570E"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% in 2015. </w:t>
            </w: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E-commerce accelerate</w:t>
            </w:r>
            <w:r w:rsidR="00040E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the retail business, especially for the Carter’s and Oshkosh brands. </w:t>
            </w:r>
          </w:p>
          <w:p w14:paraId="45B6797F" w14:textId="77777777" w:rsidR="00AA6378" w:rsidRPr="00353DC0" w:rsidRDefault="00AA6378" w:rsidP="00353D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2016 revenues are expected to advance about 8.1%, with further expansion of the U.S. stores base for the Carter's branded stores combined with additional side-by-side </w:t>
            </w:r>
            <w:proofErr w:type="spellStart"/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OshKosh</w:t>
            </w:r>
            <w:proofErr w:type="spellEnd"/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stores</w:t>
            </w:r>
          </w:p>
          <w:p w14:paraId="138A1D8F" w14:textId="77777777" w:rsidR="0033570E" w:rsidRPr="00353DC0" w:rsidRDefault="00AA6378" w:rsidP="00353D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Operating margins expanded to 13.2% in 2015 and is expected to expand to 13.7% in 2016 with a higher mix of direct-to-consumer (or DTC; i.e. retail and e-commerce) sales, easing raw material (cotton) prices and improved supply chain efficiency (including potential cost savings from a distribution center). </w:t>
            </w:r>
          </w:p>
          <w:p w14:paraId="35F9E681" w14:textId="4869F3FD" w:rsidR="00C8063B" w:rsidRPr="00353DC0" w:rsidRDefault="00AA6378" w:rsidP="00C8063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EPS is forecasted to reach $5.37 in 2016 versus EPS of $3.93 in 2014</w:t>
            </w:r>
          </w:p>
        </w:tc>
      </w:tr>
      <w:tr w:rsidR="00DB5A10" w:rsidRPr="00353DC0" w14:paraId="3604FAC8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36D57562" w14:textId="69893D12" w:rsidR="00DB5A10" w:rsidRPr="00353DC0" w:rsidRDefault="00DB5A10" w:rsidP="00DB5A10">
            <w:pPr>
              <w:tabs>
                <w:tab w:val="left" w:pos="2235"/>
              </w:tabs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Investment Risks:</w:t>
            </w:r>
            <w:r w:rsidRPr="00353D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ab/>
            </w:r>
          </w:p>
        </w:tc>
      </w:tr>
      <w:tr w:rsidR="00DB5A10" w:rsidRPr="00353DC0" w14:paraId="7051B972" w14:textId="77777777" w:rsidTr="00DB5A10">
        <w:tc>
          <w:tcPr>
            <w:tcW w:w="11700" w:type="dxa"/>
          </w:tcPr>
          <w:p w14:paraId="78159DC0" w14:textId="33194250" w:rsidR="00C8063B" w:rsidRPr="004E72D5" w:rsidRDefault="0033570E" w:rsidP="004E72D5">
            <w:p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Sharp pullba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ck in global consumer spending</w:t>
            </w:r>
            <w:r w:rsidR="004E72D5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</w:t>
            </w:r>
            <w:r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ntensifying 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competition in kids apparel</w:t>
            </w:r>
            <w:r w:rsidR="004E72D5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Escalating input costs</w:t>
            </w:r>
            <w:r w:rsidR="004E72D5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; 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otentially signif</w:t>
            </w:r>
            <w:r w:rsidR="00353DC0" w:rsidRPr="004E72D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icant foreign currency exposure</w:t>
            </w:r>
          </w:p>
        </w:tc>
      </w:tr>
      <w:tr w:rsidR="00DB5A10" w:rsidRPr="00353DC0" w14:paraId="76F577E7" w14:textId="77777777" w:rsidTr="00DB5A10">
        <w:tc>
          <w:tcPr>
            <w:tcW w:w="11700" w:type="dxa"/>
            <w:shd w:val="clear" w:color="auto" w:fill="365F91" w:themeFill="accent1" w:themeFillShade="BF"/>
          </w:tcPr>
          <w:p w14:paraId="0A443D6F" w14:textId="08288C8A" w:rsidR="00DB5A10" w:rsidRPr="00353DC0" w:rsidRDefault="00DB5A10" w:rsidP="00640425">
            <w:pPr>
              <w:ind w:left="72"/>
              <w:jc w:val="both"/>
              <w:rPr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3-5 </w:t>
            </w:r>
            <w:r w:rsidR="00640425" w:rsidRPr="00353DC0">
              <w:rPr>
                <w:b/>
                <w:color w:val="FFFFFF" w:themeColor="background1"/>
                <w:sz w:val="16"/>
                <w:szCs w:val="16"/>
              </w:rPr>
              <w:t>Takeaways From Last Quarter’s Investor Call Transcripts</w:t>
            </w: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: </w:t>
            </w:r>
          </w:p>
        </w:tc>
      </w:tr>
      <w:tr w:rsidR="00DB5A10" w:rsidRPr="00353DC0" w14:paraId="75D76709" w14:textId="77777777" w:rsidTr="00DB5A10">
        <w:trPr>
          <w:trHeight w:val="70"/>
        </w:trPr>
        <w:tc>
          <w:tcPr>
            <w:tcW w:w="11700" w:type="dxa"/>
          </w:tcPr>
          <w:p w14:paraId="10154E36" w14:textId="77777777" w:rsidR="00BE4ABF" w:rsidRPr="00C5690E" w:rsidRDefault="00BE4ABF" w:rsidP="00BE4A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Earlier today, we reported a record level of sales and earnings for 2015. This was our 27th consecutive year of sales growth and a significant year of progress for our company.</w:t>
            </w:r>
          </w:p>
          <w:p w14:paraId="342EA2BF" w14:textId="77777777" w:rsidR="00C5690E" w:rsidRPr="00C5690E" w:rsidRDefault="00BE4ABF" w:rsidP="0073381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 2015, we opened over 100 beautiful new stores in North America. We strengthened the presentation of our brands across all channels of distribution.</w:t>
            </w: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We launched new </w:t>
            </w:r>
            <w:proofErr w:type="spellStart"/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eCommerce</w:t>
            </w:r>
            <w:proofErr w:type="spellEnd"/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capabilities in China, improved our operating margin and negotiated more favorable product costs for 2016.</w:t>
            </w:r>
          </w:p>
          <w:p w14:paraId="5BFF4240" w14:textId="77777777" w:rsidR="00C5690E" w:rsidRPr="00C5690E" w:rsidRDefault="00C5690E" w:rsidP="00C569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We invested in new</w:t>
            </w:r>
            <w:bookmarkStart w:id="0" w:name="_GoBack"/>
            <w:bookmarkEnd w:id="0"/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systems to enable our growth plans and we returned over $150 million in capital to our shareholders for cumulative distributions of over $760 million in the past three years, through share repurchases and dividends.</w:t>
            </w:r>
          </w:p>
          <w:p w14:paraId="2A807D88" w14:textId="77777777" w:rsidR="00C8063B" w:rsidRDefault="00C5690E" w:rsidP="00C806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The young children's apparel market in the United States grew about 2% last year to $20.5 billion. Our share of this market continued to grow, up 50 basis points to 17% share by extending the reach of our brands.</w:t>
            </w: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5690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We continue to see good returns on our new store openings. We plan to open 270 Carter's stores over the next five years with projected incremental sales of over $300 million.</w:t>
            </w:r>
          </w:p>
          <w:p w14:paraId="4205DC0B" w14:textId="11C3019F" w:rsidR="00040E03" w:rsidRPr="00C5690E" w:rsidRDefault="00040E03" w:rsidP="00040E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40E0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In the fourth quarter, we launched a new customer loyalty program, called Rewarding Moments, a beautifully branded cross-channel cross-brand rewards program. The consumers' response to this new marketing tool has exceeded our expectations. Over five million shoppers have enrolled in the first four months.</w:t>
            </w:r>
          </w:p>
        </w:tc>
      </w:tr>
    </w:tbl>
    <w:p w14:paraId="5873EF7F" w14:textId="77777777" w:rsidR="00B7642F" w:rsidRPr="00353DC0" w:rsidRDefault="00B7642F" w:rsidP="005E114B">
      <w:pPr>
        <w:rPr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511"/>
        <w:gridCol w:w="4343"/>
      </w:tblGrid>
      <w:tr w:rsidR="00830F06" w:rsidRPr="00353DC0" w14:paraId="730DB2FF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7CF6246B" w14:textId="38A66325" w:rsidR="00830F06" w:rsidRPr="00353DC0" w:rsidRDefault="00830F06" w:rsidP="00443ED9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09E00ADF" w14:textId="62365A7B" w:rsidR="00830F06" w:rsidRPr="00353DC0" w:rsidRDefault="00830F06" w:rsidP="00443ED9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:rsidRPr="00353DC0" w14:paraId="0538015D" w14:textId="77777777" w:rsidTr="00830F06">
        <w:tc>
          <w:tcPr>
            <w:tcW w:w="7488" w:type="dxa"/>
          </w:tcPr>
          <w:p w14:paraId="6973B10F" w14:textId="77777777" w:rsidR="00830F06" w:rsidRPr="00353DC0" w:rsidRDefault="00830F06" w:rsidP="00443ED9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7285" w:type="dxa"/>
              <w:tblLook w:val="04A0" w:firstRow="1" w:lastRow="0" w:firstColumn="1" w:lastColumn="0" w:noHBand="0" w:noVBand="1"/>
            </w:tblPr>
            <w:tblGrid>
              <w:gridCol w:w="1615"/>
              <w:gridCol w:w="990"/>
              <w:gridCol w:w="1170"/>
              <w:gridCol w:w="1260"/>
              <w:gridCol w:w="1170"/>
              <w:gridCol w:w="1080"/>
            </w:tblGrid>
            <w:tr w:rsidR="000C5560" w:rsidRPr="00353DC0" w14:paraId="23FAEDA0" w14:textId="77777777" w:rsidTr="001A2282">
              <w:tc>
                <w:tcPr>
                  <w:tcW w:w="1615" w:type="dxa"/>
                  <w:shd w:val="clear" w:color="auto" w:fill="DBE5F1" w:themeFill="accent1" w:themeFillTint="33"/>
                </w:tcPr>
                <w:p w14:paraId="165C82C4" w14:textId="77777777" w:rsidR="000C5560" w:rsidRPr="00353DC0" w:rsidRDefault="000C5560" w:rsidP="00830F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shd w:val="clear" w:color="auto" w:fill="DBE5F1" w:themeFill="accent1" w:themeFillTint="33"/>
                </w:tcPr>
                <w:p w14:paraId="76114568" w14:textId="77777777" w:rsidR="000C5560" w:rsidRPr="00353DC0" w:rsidRDefault="000C556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</w:tcPr>
                <w:p w14:paraId="0FA0AD6E" w14:textId="77777777" w:rsidR="000C5560" w:rsidRPr="00353DC0" w:rsidRDefault="000C556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1260" w:type="dxa"/>
                  <w:shd w:val="clear" w:color="auto" w:fill="DBE5F1" w:themeFill="accent1" w:themeFillTint="33"/>
                </w:tcPr>
                <w:p w14:paraId="1A421C64" w14:textId="3295CE1C" w:rsidR="000C5560" w:rsidRPr="00353DC0" w:rsidRDefault="000C556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</w:tcPr>
                <w:p w14:paraId="222A182C" w14:textId="12020492" w:rsidR="000C5560" w:rsidRPr="00353DC0" w:rsidRDefault="000C5560" w:rsidP="000C5560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14:paraId="43EE2733" w14:textId="346B2A99" w:rsidR="000C5560" w:rsidRPr="00353DC0" w:rsidRDefault="000C5560" w:rsidP="000C5560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Q1-2016</w:t>
                  </w:r>
                  <w:r w:rsidR="00F24C2D" w:rsidRPr="00353DC0">
                    <w:rPr>
                      <w:sz w:val="16"/>
                      <w:szCs w:val="16"/>
                    </w:rPr>
                    <w:t xml:space="preserve"> Est</w:t>
                  </w:r>
                </w:p>
              </w:tc>
            </w:tr>
            <w:tr w:rsidR="00447515" w:rsidRPr="00353DC0" w14:paraId="5835BCA6" w14:textId="77777777" w:rsidTr="001A2282">
              <w:trPr>
                <w:trHeight w:val="70"/>
              </w:trPr>
              <w:tc>
                <w:tcPr>
                  <w:tcW w:w="1615" w:type="dxa"/>
                </w:tcPr>
                <w:p w14:paraId="6C7AE70B" w14:textId="2C48DA28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Revenue </w:t>
                  </w:r>
                </w:p>
              </w:tc>
              <w:tc>
                <w:tcPr>
                  <w:tcW w:w="990" w:type="dxa"/>
                  <w:vAlign w:val="bottom"/>
                </w:tcPr>
                <w:p w14:paraId="41FE7B9F" w14:textId="617B0D03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2381.73</w:t>
                  </w:r>
                </w:p>
              </w:tc>
              <w:tc>
                <w:tcPr>
                  <w:tcW w:w="1170" w:type="dxa"/>
                  <w:vAlign w:val="bottom"/>
                </w:tcPr>
                <w:p w14:paraId="5AD94885" w14:textId="02AAB1C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2638.71</w:t>
                  </w:r>
                </w:p>
              </w:tc>
              <w:tc>
                <w:tcPr>
                  <w:tcW w:w="1260" w:type="dxa"/>
                  <w:vAlign w:val="bottom"/>
                </w:tcPr>
                <w:p w14:paraId="6451B6C5" w14:textId="73381651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2893.87</w:t>
                  </w:r>
                </w:p>
              </w:tc>
              <w:tc>
                <w:tcPr>
                  <w:tcW w:w="1170" w:type="dxa"/>
                  <w:vAlign w:val="bottom"/>
                </w:tcPr>
                <w:p w14:paraId="5CBFF446" w14:textId="5A435C3A" w:rsidR="00447515" w:rsidRPr="00353DC0" w:rsidRDefault="0004792E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3013.9</w:t>
                  </w:r>
                </w:p>
              </w:tc>
              <w:tc>
                <w:tcPr>
                  <w:tcW w:w="1080" w:type="dxa"/>
                  <w:vAlign w:val="bottom"/>
                </w:tcPr>
                <w:p w14:paraId="4B0B1917" w14:textId="674017DE" w:rsidR="00447515" w:rsidRPr="00353DC0" w:rsidRDefault="00F24C2D" w:rsidP="00F24C2D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724</w:t>
                  </w:r>
                  <w:r w:rsidR="00447515" w:rsidRPr="00353DC0">
                    <w:rPr>
                      <w:sz w:val="16"/>
                      <w:szCs w:val="16"/>
                    </w:rPr>
                    <w:t>.</w:t>
                  </w:r>
                  <w:r w:rsidRPr="00353DC0">
                    <w:rPr>
                      <w:sz w:val="16"/>
                      <w:szCs w:val="16"/>
                    </w:rPr>
                    <w:t>8</w:t>
                  </w:r>
                </w:p>
              </w:tc>
            </w:tr>
            <w:tr w:rsidR="00447515" w:rsidRPr="00353DC0" w14:paraId="0D74DF99" w14:textId="77777777" w:rsidTr="001A2282">
              <w:tc>
                <w:tcPr>
                  <w:tcW w:w="1615" w:type="dxa"/>
                </w:tcPr>
                <w:p w14:paraId="209309E4" w14:textId="77777777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990" w:type="dxa"/>
                  <w:vAlign w:val="bottom"/>
                </w:tcPr>
                <w:p w14:paraId="43EF44A6" w14:textId="6005BFC6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261.99</w:t>
                  </w:r>
                </w:p>
              </w:tc>
              <w:tc>
                <w:tcPr>
                  <w:tcW w:w="1170" w:type="dxa"/>
                  <w:vAlign w:val="bottom"/>
                </w:tcPr>
                <w:p w14:paraId="4D295F75" w14:textId="6D2E3BBE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264.15</w:t>
                  </w:r>
                </w:p>
              </w:tc>
              <w:tc>
                <w:tcPr>
                  <w:tcW w:w="1260" w:type="dxa"/>
                  <w:vAlign w:val="bottom"/>
                </w:tcPr>
                <w:p w14:paraId="2601065E" w14:textId="017924ED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333.35</w:t>
                  </w:r>
                </w:p>
              </w:tc>
              <w:tc>
                <w:tcPr>
                  <w:tcW w:w="1170" w:type="dxa"/>
                  <w:vAlign w:val="bottom"/>
                </w:tcPr>
                <w:p w14:paraId="473FEC76" w14:textId="6B80B67C" w:rsidR="00447515" w:rsidRPr="00353DC0" w:rsidRDefault="0004792E" w:rsidP="0004792E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392</w:t>
                  </w:r>
                  <w:r w:rsidR="00447515" w:rsidRPr="00353DC0">
                    <w:rPr>
                      <w:sz w:val="16"/>
                      <w:szCs w:val="16"/>
                    </w:rPr>
                    <w:t>.</w:t>
                  </w:r>
                  <w:r w:rsidRPr="00353DC0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0" w:type="dxa"/>
                  <w:vAlign w:val="bottom"/>
                </w:tcPr>
                <w:p w14:paraId="7A5F465A" w14:textId="245384A5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90.5</w:t>
                  </w:r>
                </w:p>
              </w:tc>
            </w:tr>
            <w:tr w:rsidR="00447515" w:rsidRPr="00353DC0" w14:paraId="329334DC" w14:textId="77777777" w:rsidTr="001A2282">
              <w:tc>
                <w:tcPr>
                  <w:tcW w:w="1615" w:type="dxa"/>
                </w:tcPr>
                <w:p w14:paraId="57B2BB96" w14:textId="25980E61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990" w:type="dxa"/>
                  <w:vAlign w:val="bottom"/>
                </w:tcPr>
                <w:p w14:paraId="7ED33C82" w14:textId="335A89A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161.15</w:t>
                  </w:r>
                </w:p>
              </w:tc>
              <w:tc>
                <w:tcPr>
                  <w:tcW w:w="1170" w:type="dxa"/>
                  <w:vAlign w:val="bottom"/>
                </w:tcPr>
                <w:p w14:paraId="08C55153" w14:textId="62A2ECA2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160.41</w:t>
                  </w:r>
                </w:p>
              </w:tc>
              <w:tc>
                <w:tcPr>
                  <w:tcW w:w="1260" w:type="dxa"/>
                  <w:vAlign w:val="bottom"/>
                </w:tcPr>
                <w:p w14:paraId="03725E74" w14:textId="4A34B0D5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194.67</w:t>
                  </w:r>
                </w:p>
              </w:tc>
              <w:tc>
                <w:tcPr>
                  <w:tcW w:w="1170" w:type="dxa"/>
                  <w:vAlign w:val="bottom"/>
                </w:tcPr>
                <w:p w14:paraId="14CD87A4" w14:textId="66E5434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237.</w:t>
                  </w:r>
                  <w:r w:rsidR="0004792E" w:rsidRPr="00353DC0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0" w:type="dxa"/>
                  <w:vAlign w:val="bottom"/>
                </w:tcPr>
                <w:p w14:paraId="2BD951AE" w14:textId="11DBB2E8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55.3</w:t>
                  </w:r>
                </w:p>
              </w:tc>
            </w:tr>
            <w:tr w:rsidR="00447515" w:rsidRPr="00353DC0" w14:paraId="334202CA" w14:textId="77777777" w:rsidTr="001A2282">
              <w:tc>
                <w:tcPr>
                  <w:tcW w:w="1615" w:type="dxa"/>
                </w:tcPr>
                <w:p w14:paraId="545FB948" w14:textId="77777777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Revenue Growth %</w:t>
                  </w:r>
                </w:p>
              </w:tc>
              <w:tc>
                <w:tcPr>
                  <w:tcW w:w="990" w:type="dxa"/>
                  <w:vAlign w:val="bottom"/>
                </w:tcPr>
                <w:p w14:paraId="7753E56E" w14:textId="64D2EF05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12.89</w:t>
                  </w:r>
                </w:p>
              </w:tc>
              <w:tc>
                <w:tcPr>
                  <w:tcW w:w="1170" w:type="dxa"/>
                  <w:vAlign w:val="bottom"/>
                </w:tcPr>
                <w:p w14:paraId="6895AAD7" w14:textId="2B3E9F4A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10.79</w:t>
                  </w:r>
                </w:p>
              </w:tc>
              <w:tc>
                <w:tcPr>
                  <w:tcW w:w="1260" w:type="dxa"/>
                  <w:vAlign w:val="bottom"/>
                </w:tcPr>
                <w:p w14:paraId="2F59D0FD" w14:textId="4C8505DE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9.67</w:t>
                  </w:r>
                </w:p>
              </w:tc>
              <w:tc>
                <w:tcPr>
                  <w:tcW w:w="1170" w:type="dxa"/>
                  <w:vAlign w:val="bottom"/>
                </w:tcPr>
                <w:p w14:paraId="50C7D9F0" w14:textId="7297C608" w:rsidR="00447515" w:rsidRPr="00353DC0" w:rsidRDefault="0004792E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1080" w:type="dxa"/>
                  <w:vAlign w:val="bottom"/>
                </w:tcPr>
                <w:p w14:paraId="1E00B23E" w14:textId="5B3CCB47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5.85</w:t>
                  </w:r>
                </w:p>
              </w:tc>
            </w:tr>
            <w:tr w:rsidR="00447515" w:rsidRPr="00353DC0" w14:paraId="100621BB" w14:textId="77777777" w:rsidTr="001A2282">
              <w:tc>
                <w:tcPr>
                  <w:tcW w:w="1615" w:type="dxa"/>
                </w:tcPr>
                <w:p w14:paraId="0671CC90" w14:textId="77777777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EBITDA%</w:t>
                  </w:r>
                </w:p>
              </w:tc>
              <w:tc>
                <w:tcPr>
                  <w:tcW w:w="990" w:type="dxa"/>
                  <w:vAlign w:val="bottom"/>
                </w:tcPr>
                <w:p w14:paraId="56C1673C" w14:textId="22C422E3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301.83</w:t>
                  </w:r>
                </w:p>
              </w:tc>
              <w:tc>
                <w:tcPr>
                  <w:tcW w:w="1170" w:type="dxa"/>
                  <w:vAlign w:val="bottom"/>
                </w:tcPr>
                <w:p w14:paraId="54A2481B" w14:textId="649C777E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332.65</w:t>
                  </w:r>
                </w:p>
              </w:tc>
              <w:tc>
                <w:tcPr>
                  <w:tcW w:w="1260" w:type="dxa"/>
                  <w:vAlign w:val="bottom"/>
                </w:tcPr>
                <w:p w14:paraId="31953EF1" w14:textId="79E4D6E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408.27</w:t>
                  </w:r>
                </w:p>
              </w:tc>
              <w:tc>
                <w:tcPr>
                  <w:tcW w:w="1170" w:type="dxa"/>
                  <w:vAlign w:val="bottom"/>
                </w:tcPr>
                <w:p w14:paraId="70B50F71" w14:textId="2A66FDF5" w:rsidR="00447515" w:rsidRPr="00353DC0" w:rsidRDefault="00447515" w:rsidP="0004792E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46</w:t>
                  </w:r>
                  <w:r w:rsidR="0004792E" w:rsidRPr="00353DC0">
                    <w:rPr>
                      <w:sz w:val="16"/>
                      <w:szCs w:val="16"/>
                    </w:rPr>
                    <w:t>1</w:t>
                  </w:r>
                  <w:r w:rsidRPr="00353DC0"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1080" w:type="dxa"/>
                  <w:vAlign w:val="bottom"/>
                </w:tcPr>
                <w:p w14:paraId="6D1E67DF" w14:textId="1950C22F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116.00</w:t>
                  </w:r>
                </w:p>
              </w:tc>
            </w:tr>
            <w:tr w:rsidR="00447515" w:rsidRPr="00353DC0" w14:paraId="3CD7B755" w14:textId="77777777" w:rsidTr="001A2282">
              <w:tc>
                <w:tcPr>
                  <w:tcW w:w="1615" w:type="dxa"/>
                </w:tcPr>
                <w:p w14:paraId="5648CFBC" w14:textId="77777777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990" w:type="dxa"/>
                  <w:vAlign w:val="bottom"/>
                </w:tcPr>
                <w:p w14:paraId="4256401B" w14:textId="50A8A48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11.00</w:t>
                  </w:r>
                </w:p>
              </w:tc>
              <w:tc>
                <w:tcPr>
                  <w:tcW w:w="1170" w:type="dxa"/>
                  <w:vAlign w:val="bottom"/>
                </w:tcPr>
                <w:p w14:paraId="01E6195D" w14:textId="01B8A3C8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10.01</w:t>
                  </w:r>
                </w:p>
              </w:tc>
              <w:tc>
                <w:tcPr>
                  <w:tcW w:w="1260" w:type="dxa"/>
                  <w:vAlign w:val="bottom"/>
                </w:tcPr>
                <w:p w14:paraId="1C2A9D8B" w14:textId="159A6A5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11.52</w:t>
                  </w:r>
                </w:p>
              </w:tc>
              <w:tc>
                <w:tcPr>
                  <w:tcW w:w="1170" w:type="dxa"/>
                  <w:vAlign w:val="bottom"/>
                </w:tcPr>
                <w:p w14:paraId="7367B82F" w14:textId="623C5E1B" w:rsidR="00447515" w:rsidRPr="00353DC0" w:rsidRDefault="00447515" w:rsidP="0004792E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13.</w:t>
                  </w:r>
                  <w:r w:rsidR="0004792E" w:rsidRPr="00353DC0">
                    <w:rPr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080" w:type="dxa"/>
                  <w:vAlign w:val="bottom"/>
                </w:tcPr>
                <w:p w14:paraId="6D11D424" w14:textId="01FB7D70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</w:t>
                  </w:r>
                  <w:r w:rsidR="00F24C2D" w:rsidRPr="00353DC0">
                    <w:rPr>
                      <w:sz w:val="16"/>
                      <w:szCs w:val="16"/>
                    </w:rPr>
                    <w:t>49</w:t>
                  </w:r>
                </w:p>
              </w:tc>
            </w:tr>
            <w:tr w:rsidR="00447515" w:rsidRPr="00353DC0" w14:paraId="17F9D92A" w14:textId="77777777" w:rsidTr="001A2282">
              <w:tc>
                <w:tcPr>
                  <w:tcW w:w="1615" w:type="dxa"/>
                </w:tcPr>
                <w:p w14:paraId="3AA11444" w14:textId="6FAB085E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Net Income Margin</w:t>
                  </w:r>
                </w:p>
              </w:tc>
              <w:tc>
                <w:tcPr>
                  <w:tcW w:w="990" w:type="dxa"/>
                  <w:vAlign w:val="bottom"/>
                </w:tcPr>
                <w:p w14:paraId="50934D1E" w14:textId="719B907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6.77</w:t>
                  </w:r>
                </w:p>
              </w:tc>
              <w:tc>
                <w:tcPr>
                  <w:tcW w:w="1170" w:type="dxa"/>
                  <w:vAlign w:val="bottom"/>
                </w:tcPr>
                <w:p w14:paraId="3E025EA0" w14:textId="026EE703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6.08</w:t>
                  </w:r>
                </w:p>
              </w:tc>
              <w:tc>
                <w:tcPr>
                  <w:tcW w:w="1260" w:type="dxa"/>
                  <w:vAlign w:val="bottom"/>
                </w:tcPr>
                <w:p w14:paraId="26C87221" w14:textId="06902951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6.73</w:t>
                  </w:r>
                </w:p>
              </w:tc>
              <w:tc>
                <w:tcPr>
                  <w:tcW w:w="1170" w:type="dxa"/>
                  <w:vAlign w:val="bottom"/>
                </w:tcPr>
                <w:p w14:paraId="7BF4FB16" w14:textId="100F641E" w:rsidR="00447515" w:rsidRPr="00353DC0" w:rsidRDefault="00447515" w:rsidP="00F24C2D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7.</w:t>
                  </w:r>
                  <w:r w:rsidR="00F24C2D" w:rsidRPr="00353DC0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080" w:type="dxa"/>
                  <w:vAlign w:val="bottom"/>
                </w:tcPr>
                <w:p w14:paraId="00516877" w14:textId="5704F182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7.</w:t>
                  </w:r>
                  <w:r w:rsidR="00F24C2D" w:rsidRPr="00353DC0">
                    <w:rPr>
                      <w:sz w:val="16"/>
                      <w:szCs w:val="16"/>
                    </w:rPr>
                    <w:t>62</w:t>
                  </w:r>
                </w:p>
              </w:tc>
            </w:tr>
            <w:tr w:rsidR="00447515" w:rsidRPr="00353DC0" w14:paraId="22A784BE" w14:textId="77777777" w:rsidTr="001A2282">
              <w:trPr>
                <w:trHeight w:val="70"/>
              </w:trPr>
              <w:tc>
                <w:tcPr>
                  <w:tcW w:w="1615" w:type="dxa"/>
                </w:tcPr>
                <w:p w14:paraId="670CE5B7" w14:textId="6816DBCD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990" w:type="dxa"/>
                  <w:vAlign w:val="bottom"/>
                </w:tcPr>
                <w:p w14:paraId="74D585ED" w14:textId="7D469B1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18.87</w:t>
                  </w:r>
                </w:p>
              </w:tc>
              <w:tc>
                <w:tcPr>
                  <w:tcW w:w="1170" w:type="dxa"/>
                  <w:vAlign w:val="bottom"/>
                </w:tcPr>
                <w:p w14:paraId="3E7FDD3E" w14:textId="02B29F0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83.63</w:t>
                  </w:r>
                </w:p>
              </w:tc>
              <w:tc>
                <w:tcPr>
                  <w:tcW w:w="1260" w:type="dxa"/>
                  <w:vAlign w:val="bottom"/>
                </w:tcPr>
                <w:p w14:paraId="123F9877" w14:textId="18C681A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74.49</w:t>
                  </w:r>
                </w:p>
              </w:tc>
              <w:tc>
                <w:tcPr>
                  <w:tcW w:w="1170" w:type="dxa"/>
                  <w:vAlign w:val="bottom"/>
                </w:tcPr>
                <w:p w14:paraId="4A576F03" w14:textId="3980901E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66.79</w:t>
                  </w:r>
                </w:p>
              </w:tc>
              <w:tc>
                <w:tcPr>
                  <w:tcW w:w="1080" w:type="dxa"/>
                  <w:vAlign w:val="bottom"/>
                </w:tcPr>
                <w:p w14:paraId="174A979D" w14:textId="61A14CF3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47515" w:rsidRPr="00353DC0" w14:paraId="111BB78D" w14:textId="77777777" w:rsidTr="001A2282">
              <w:trPr>
                <w:trHeight w:val="70"/>
              </w:trPr>
              <w:tc>
                <w:tcPr>
                  <w:tcW w:w="1615" w:type="dxa"/>
                </w:tcPr>
                <w:p w14:paraId="0F9C400C" w14:textId="50266AAA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Interest Coverage </w:t>
                  </w:r>
                </w:p>
              </w:tc>
              <w:tc>
                <w:tcPr>
                  <w:tcW w:w="990" w:type="dxa"/>
                  <w:vAlign w:val="bottom"/>
                </w:tcPr>
                <w:p w14:paraId="7851C9B9" w14:textId="15CEDBC6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38.89</w:t>
                  </w:r>
                </w:p>
              </w:tc>
              <w:tc>
                <w:tcPr>
                  <w:tcW w:w="1170" w:type="dxa"/>
                  <w:vAlign w:val="bottom"/>
                </w:tcPr>
                <w:p w14:paraId="74B4B557" w14:textId="00ADF235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20.54</w:t>
                  </w:r>
                </w:p>
              </w:tc>
              <w:tc>
                <w:tcPr>
                  <w:tcW w:w="1260" w:type="dxa"/>
                  <w:vAlign w:val="bottom"/>
                </w:tcPr>
                <w:p w14:paraId="30390787" w14:textId="022F6547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12.12</w:t>
                  </w:r>
                </w:p>
              </w:tc>
              <w:tc>
                <w:tcPr>
                  <w:tcW w:w="1170" w:type="dxa"/>
                  <w:vAlign w:val="bottom"/>
                </w:tcPr>
                <w:p w14:paraId="539DC39D" w14:textId="142591BD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14.88</w:t>
                  </w:r>
                </w:p>
              </w:tc>
              <w:tc>
                <w:tcPr>
                  <w:tcW w:w="1080" w:type="dxa"/>
                  <w:vAlign w:val="bottom"/>
                </w:tcPr>
                <w:p w14:paraId="6666455C" w14:textId="5E577814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47515" w:rsidRPr="00353DC0" w14:paraId="4BD993C7" w14:textId="77777777" w:rsidTr="001A2282">
              <w:trPr>
                <w:trHeight w:val="98"/>
              </w:trPr>
              <w:tc>
                <w:tcPr>
                  <w:tcW w:w="1615" w:type="dxa"/>
                </w:tcPr>
                <w:p w14:paraId="6F5D5ADC" w14:textId="09479BC7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990" w:type="dxa"/>
                  <w:vAlign w:val="bottom"/>
                </w:tcPr>
                <w:p w14:paraId="6B73A46D" w14:textId="4455B319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2.73</w:t>
                  </w:r>
                </w:p>
              </w:tc>
              <w:tc>
                <w:tcPr>
                  <w:tcW w:w="1170" w:type="dxa"/>
                  <w:vAlign w:val="bottom"/>
                </w:tcPr>
                <w:p w14:paraId="4E77E933" w14:textId="5EFBC0A1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2.78</w:t>
                  </w:r>
                </w:p>
              </w:tc>
              <w:tc>
                <w:tcPr>
                  <w:tcW w:w="1260" w:type="dxa"/>
                  <w:vAlign w:val="bottom"/>
                </w:tcPr>
                <w:p w14:paraId="0A6AE8D6" w14:textId="29AE44E8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3.65</w:t>
                  </w:r>
                </w:p>
              </w:tc>
              <w:tc>
                <w:tcPr>
                  <w:tcW w:w="1170" w:type="dxa"/>
                  <w:vAlign w:val="bottom"/>
                </w:tcPr>
                <w:p w14:paraId="693A3040" w14:textId="4C8B95D6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4.5</w:t>
                  </w:r>
                  <w:r w:rsidR="00F24C2D" w:rsidRPr="00353DC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0" w:type="dxa"/>
                  <w:vAlign w:val="bottom"/>
                </w:tcPr>
                <w:p w14:paraId="785A0893" w14:textId="711D1FF2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</w:t>
                  </w:r>
                  <w:r w:rsidR="00F24C2D" w:rsidRPr="00353DC0">
                    <w:rPr>
                      <w:sz w:val="16"/>
                      <w:szCs w:val="16"/>
                    </w:rPr>
                    <w:t>06</w:t>
                  </w:r>
                </w:p>
              </w:tc>
            </w:tr>
            <w:tr w:rsidR="00447515" w:rsidRPr="00353DC0" w14:paraId="3EBC0A0A" w14:textId="77777777" w:rsidTr="001A2282">
              <w:trPr>
                <w:trHeight w:val="70"/>
              </w:trPr>
              <w:tc>
                <w:tcPr>
                  <w:tcW w:w="1615" w:type="dxa"/>
                </w:tcPr>
                <w:p w14:paraId="61AE1051" w14:textId="1B2FE329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990" w:type="dxa"/>
                  <w:vAlign w:val="bottom"/>
                </w:tcPr>
                <w:p w14:paraId="6DB4D0DC" w14:textId="3D4772A1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19.49</w:t>
                  </w:r>
                </w:p>
              </w:tc>
              <w:tc>
                <w:tcPr>
                  <w:tcW w:w="1170" w:type="dxa"/>
                  <w:vAlign w:val="bottom"/>
                </w:tcPr>
                <w:p w14:paraId="4CBD752B" w14:textId="5F93346D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22.46</w:t>
                  </w:r>
                </w:p>
              </w:tc>
              <w:tc>
                <w:tcPr>
                  <w:tcW w:w="1260" w:type="dxa"/>
                  <w:vAlign w:val="bottom"/>
                </w:tcPr>
                <w:p w14:paraId="522DF642" w14:textId="50CE5D26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23.10</w:t>
                  </w:r>
                </w:p>
              </w:tc>
              <w:tc>
                <w:tcPr>
                  <w:tcW w:w="1170" w:type="dxa"/>
                  <w:vAlign w:val="bottom"/>
                </w:tcPr>
                <w:p w14:paraId="1B44C62B" w14:textId="7534E41A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19.63</w:t>
                  </w:r>
                </w:p>
              </w:tc>
              <w:tc>
                <w:tcPr>
                  <w:tcW w:w="1080" w:type="dxa"/>
                  <w:vAlign w:val="bottom"/>
                </w:tcPr>
                <w:p w14:paraId="38732767" w14:textId="7E161F7E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19.38</w:t>
                  </w:r>
                </w:p>
              </w:tc>
            </w:tr>
            <w:tr w:rsidR="00447515" w:rsidRPr="00353DC0" w14:paraId="235E2086" w14:textId="77777777" w:rsidTr="001A2282">
              <w:tc>
                <w:tcPr>
                  <w:tcW w:w="1615" w:type="dxa"/>
                </w:tcPr>
                <w:p w14:paraId="64A6EBFE" w14:textId="3747C462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Current Ratio</w:t>
                  </w:r>
                </w:p>
              </w:tc>
              <w:tc>
                <w:tcPr>
                  <w:tcW w:w="990" w:type="dxa"/>
                  <w:vAlign w:val="bottom"/>
                </w:tcPr>
                <w:p w14:paraId="72B86E80" w14:textId="37D0617F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3.92</w:t>
                  </w:r>
                </w:p>
              </w:tc>
              <w:tc>
                <w:tcPr>
                  <w:tcW w:w="1170" w:type="dxa"/>
                  <w:vAlign w:val="bottom"/>
                </w:tcPr>
                <w:p w14:paraId="28740EAD" w14:textId="39917810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3.61</w:t>
                  </w:r>
                </w:p>
              </w:tc>
              <w:tc>
                <w:tcPr>
                  <w:tcW w:w="1260" w:type="dxa"/>
                  <w:vAlign w:val="bottom"/>
                </w:tcPr>
                <w:p w14:paraId="5136B257" w14:textId="537CF77A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1170" w:type="dxa"/>
                  <w:vAlign w:val="bottom"/>
                </w:tcPr>
                <w:p w14:paraId="0763C52A" w14:textId="091FA2E0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5.27</w:t>
                  </w:r>
                </w:p>
              </w:tc>
              <w:tc>
                <w:tcPr>
                  <w:tcW w:w="1080" w:type="dxa"/>
                  <w:vAlign w:val="bottom"/>
                </w:tcPr>
                <w:p w14:paraId="198F8638" w14:textId="33DAB00B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47515" w:rsidRPr="00353DC0" w14:paraId="6A512B42" w14:textId="77777777" w:rsidTr="001A2282">
              <w:tc>
                <w:tcPr>
                  <w:tcW w:w="1615" w:type="dxa"/>
                </w:tcPr>
                <w:p w14:paraId="30EB3D41" w14:textId="4D4E57F8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990" w:type="dxa"/>
                  <w:vAlign w:val="bottom"/>
                </w:tcPr>
                <w:p w14:paraId="4B99ACE5" w14:textId="2674A33B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17.76</w:t>
                  </w:r>
                </w:p>
              </w:tc>
              <w:tc>
                <w:tcPr>
                  <w:tcW w:w="1170" w:type="dxa"/>
                  <w:vAlign w:val="bottom"/>
                </w:tcPr>
                <w:p w14:paraId="618AB591" w14:textId="1429C29D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18.77</w:t>
                  </w:r>
                </w:p>
              </w:tc>
              <w:tc>
                <w:tcPr>
                  <w:tcW w:w="1260" w:type="dxa"/>
                  <w:vAlign w:val="bottom"/>
                </w:tcPr>
                <w:p w14:paraId="3D45AF17" w14:textId="421092EC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25.83</w:t>
                  </w:r>
                </w:p>
              </w:tc>
              <w:tc>
                <w:tcPr>
                  <w:tcW w:w="1170" w:type="dxa"/>
                  <w:vAlign w:val="bottom"/>
                </w:tcPr>
                <w:p w14:paraId="2164567E" w14:textId="390BFF52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28.36</w:t>
                  </w:r>
                </w:p>
              </w:tc>
              <w:tc>
                <w:tcPr>
                  <w:tcW w:w="1080" w:type="dxa"/>
                  <w:vAlign w:val="bottom"/>
                </w:tcPr>
                <w:p w14:paraId="2156D8F2" w14:textId="2F0EBE62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47515" w:rsidRPr="00353DC0" w14:paraId="059E3A59" w14:textId="77777777" w:rsidTr="001A2282">
              <w:trPr>
                <w:trHeight w:val="98"/>
              </w:trPr>
              <w:tc>
                <w:tcPr>
                  <w:tcW w:w="1615" w:type="dxa"/>
                </w:tcPr>
                <w:p w14:paraId="49C83FCA" w14:textId="51919CFC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990" w:type="dxa"/>
                  <w:vAlign w:val="bottom"/>
                </w:tcPr>
                <w:p w14:paraId="2243F7CF" w14:textId="48DBB6FE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10.63</w:t>
                  </w:r>
                </w:p>
              </w:tc>
              <w:tc>
                <w:tcPr>
                  <w:tcW w:w="1170" w:type="dxa"/>
                  <w:vAlign w:val="bottom"/>
                </w:tcPr>
                <w:p w14:paraId="2486885B" w14:textId="3E9F388B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9.32</w:t>
                  </w:r>
                </w:p>
              </w:tc>
              <w:tc>
                <w:tcPr>
                  <w:tcW w:w="1260" w:type="dxa"/>
                  <w:vAlign w:val="bottom"/>
                </w:tcPr>
                <w:p w14:paraId="7706B74E" w14:textId="76F7B23A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10.51</w:t>
                  </w:r>
                </w:p>
              </w:tc>
              <w:tc>
                <w:tcPr>
                  <w:tcW w:w="1170" w:type="dxa"/>
                  <w:vAlign w:val="bottom"/>
                </w:tcPr>
                <w:p w14:paraId="5829E1D3" w14:textId="1C4EB818" w:rsidR="00447515" w:rsidRPr="00353DC0" w:rsidRDefault="00F24C2D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12.19</w:t>
                  </w:r>
                </w:p>
              </w:tc>
              <w:tc>
                <w:tcPr>
                  <w:tcW w:w="1080" w:type="dxa"/>
                  <w:vAlign w:val="bottom"/>
                </w:tcPr>
                <w:p w14:paraId="59C94287" w14:textId="131FFA4C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447515" w:rsidRPr="00353DC0" w14:paraId="3DD5E939" w14:textId="77777777" w:rsidTr="001A2282">
              <w:trPr>
                <w:trHeight w:val="70"/>
              </w:trPr>
              <w:tc>
                <w:tcPr>
                  <w:tcW w:w="1615" w:type="dxa"/>
                </w:tcPr>
                <w:p w14:paraId="5964CDC4" w14:textId="5A404BDB" w:rsidR="00447515" w:rsidRPr="00353DC0" w:rsidRDefault="00447515" w:rsidP="00447515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Dividend Per share </w:t>
                  </w:r>
                </w:p>
              </w:tc>
              <w:tc>
                <w:tcPr>
                  <w:tcW w:w="990" w:type="dxa"/>
                  <w:vAlign w:val="bottom"/>
                </w:tcPr>
                <w:p w14:paraId="0B36B8CA" w14:textId="1594E546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170" w:type="dxa"/>
                  <w:vAlign w:val="bottom"/>
                </w:tcPr>
                <w:p w14:paraId="4D5BD607" w14:textId="1F2A8225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0.48</w:t>
                  </w:r>
                </w:p>
              </w:tc>
              <w:tc>
                <w:tcPr>
                  <w:tcW w:w="1260" w:type="dxa"/>
                  <w:vAlign w:val="bottom"/>
                </w:tcPr>
                <w:p w14:paraId="0B784E7A" w14:textId="7E811F7D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0.76</w:t>
                  </w:r>
                </w:p>
              </w:tc>
              <w:tc>
                <w:tcPr>
                  <w:tcW w:w="1170" w:type="dxa"/>
                  <w:vAlign w:val="bottom"/>
                </w:tcPr>
                <w:p w14:paraId="572EB0AB" w14:textId="71F6F2B2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0.88</w:t>
                  </w:r>
                </w:p>
              </w:tc>
              <w:tc>
                <w:tcPr>
                  <w:tcW w:w="1080" w:type="dxa"/>
                  <w:vAlign w:val="bottom"/>
                </w:tcPr>
                <w:p w14:paraId="353C8011" w14:textId="193C626C" w:rsidR="00447515" w:rsidRPr="00353DC0" w:rsidRDefault="00447515" w:rsidP="00447515">
                  <w:pPr>
                    <w:jc w:val="right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0.22</w:t>
                  </w:r>
                </w:p>
              </w:tc>
            </w:tr>
          </w:tbl>
          <w:p w14:paraId="6F98E45C" w14:textId="77777777" w:rsidR="00830F06" w:rsidRPr="00353DC0" w:rsidRDefault="00830F06" w:rsidP="00443ED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14:paraId="3276E349" w14:textId="77777777" w:rsidR="00830F06" w:rsidRPr="00353DC0" w:rsidRDefault="00830F06" w:rsidP="00443ED9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08"/>
              <w:gridCol w:w="882"/>
              <w:gridCol w:w="1327"/>
            </w:tblGrid>
            <w:tr w:rsidR="0060598F" w:rsidRPr="00353DC0" w14:paraId="4C54BF94" w14:textId="77777777" w:rsidTr="00B17D67">
              <w:tc>
                <w:tcPr>
                  <w:tcW w:w="1908" w:type="dxa"/>
                  <w:shd w:val="clear" w:color="auto" w:fill="DBE5F1" w:themeFill="accent1" w:themeFillTint="33"/>
                </w:tcPr>
                <w:p w14:paraId="15FA463B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shd w:val="clear" w:color="auto" w:fill="DBE5F1" w:themeFill="accent1" w:themeFillTint="33"/>
                </w:tcPr>
                <w:p w14:paraId="3D650FB0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2001-14</w:t>
                  </w:r>
                </w:p>
              </w:tc>
              <w:tc>
                <w:tcPr>
                  <w:tcW w:w="1327" w:type="dxa"/>
                  <w:shd w:val="clear" w:color="auto" w:fill="DBE5F1" w:themeFill="accent1" w:themeFillTint="33"/>
                </w:tcPr>
                <w:p w14:paraId="6917AD00" w14:textId="03E9B159" w:rsidR="00830F06" w:rsidRPr="00353DC0" w:rsidRDefault="00830F06" w:rsidP="009F74C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2015-</w:t>
                  </w:r>
                  <w:r w:rsidR="009F74C2" w:rsidRPr="00353DC0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60598F" w:rsidRPr="00353DC0" w14:paraId="5A9DD5F4" w14:textId="77777777" w:rsidTr="00B17D67">
              <w:tc>
                <w:tcPr>
                  <w:tcW w:w="1908" w:type="dxa"/>
                </w:tcPr>
                <w:p w14:paraId="6A465DCA" w14:textId="72272EAA" w:rsidR="00830F06" w:rsidRPr="00353DC0" w:rsidRDefault="002F3CA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Avg.  Revenue G</w:t>
                  </w:r>
                  <w:r w:rsidR="00830F06" w:rsidRPr="00353DC0">
                    <w:rPr>
                      <w:sz w:val="16"/>
                      <w:szCs w:val="16"/>
                    </w:rPr>
                    <w:t xml:space="preserve">rowth </w:t>
                  </w:r>
                </w:p>
              </w:tc>
              <w:tc>
                <w:tcPr>
                  <w:tcW w:w="882" w:type="dxa"/>
                </w:tcPr>
                <w:p w14:paraId="28890419" w14:textId="2E4BDCD2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12.8%</w:t>
                  </w:r>
                </w:p>
              </w:tc>
              <w:tc>
                <w:tcPr>
                  <w:tcW w:w="1327" w:type="dxa"/>
                </w:tcPr>
                <w:p w14:paraId="2B6EF445" w14:textId="2F63385C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6.9%</w:t>
                  </w:r>
                </w:p>
              </w:tc>
            </w:tr>
            <w:tr w:rsidR="0060598F" w:rsidRPr="00353DC0" w14:paraId="49A71F37" w14:textId="77777777" w:rsidTr="00B17D67">
              <w:tc>
                <w:tcPr>
                  <w:tcW w:w="1908" w:type="dxa"/>
                </w:tcPr>
                <w:p w14:paraId="7425D824" w14:textId="64361ECD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Avg</w:t>
                  </w:r>
                  <w:r w:rsidR="002F3CA6" w:rsidRPr="00353DC0">
                    <w:rPr>
                      <w:sz w:val="16"/>
                      <w:szCs w:val="16"/>
                    </w:rPr>
                    <w:t>.</w:t>
                  </w:r>
                  <w:r w:rsidRPr="00353DC0">
                    <w:rPr>
                      <w:sz w:val="16"/>
                      <w:szCs w:val="16"/>
                    </w:rPr>
                    <w:t xml:space="preserve">  EBITDA Margin </w:t>
                  </w:r>
                </w:p>
              </w:tc>
              <w:tc>
                <w:tcPr>
                  <w:tcW w:w="882" w:type="dxa"/>
                </w:tcPr>
                <w:p w14:paraId="6AE1C97F" w14:textId="0C75F39F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13.84%</w:t>
                  </w:r>
                </w:p>
              </w:tc>
              <w:tc>
                <w:tcPr>
                  <w:tcW w:w="1327" w:type="dxa"/>
                </w:tcPr>
                <w:p w14:paraId="72FC070B" w14:textId="240FD834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16.55%</w:t>
                  </w:r>
                </w:p>
              </w:tc>
            </w:tr>
            <w:tr w:rsidR="0060598F" w:rsidRPr="00353DC0" w14:paraId="5B01660D" w14:textId="77777777" w:rsidTr="00B17D67">
              <w:tc>
                <w:tcPr>
                  <w:tcW w:w="1908" w:type="dxa"/>
                </w:tcPr>
                <w:p w14:paraId="2B656250" w14:textId="38CF8CA6" w:rsidR="00830F06" w:rsidRPr="00353DC0" w:rsidRDefault="00830F06" w:rsidP="00B73900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Avg</w:t>
                  </w:r>
                  <w:r w:rsidR="002F3CA6" w:rsidRPr="00353DC0">
                    <w:rPr>
                      <w:sz w:val="16"/>
                      <w:szCs w:val="16"/>
                    </w:rPr>
                    <w:t>.</w:t>
                  </w:r>
                  <w:r w:rsidRPr="00353DC0">
                    <w:rPr>
                      <w:sz w:val="16"/>
                      <w:szCs w:val="16"/>
                    </w:rPr>
                    <w:t xml:space="preserve">  </w:t>
                  </w:r>
                  <w:r w:rsidR="00B73900" w:rsidRPr="00353DC0">
                    <w:rPr>
                      <w:sz w:val="16"/>
                      <w:szCs w:val="16"/>
                    </w:rPr>
                    <w:t>NOPAT</w:t>
                  </w:r>
                  <w:r w:rsidRPr="00353DC0">
                    <w:rPr>
                      <w:sz w:val="16"/>
                      <w:szCs w:val="16"/>
                    </w:rPr>
                    <w:t xml:space="preserve"> </w:t>
                  </w:r>
                  <w:r w:rsidR="00B73900" w:rsidRPr="00353DC0">
                    <w:rPr>
                      <w:sz w:val="16"/>
                      <w:szCs w:val="16"/>
                    </w:rPr>
                    <w:t>Margin</w:t>
                  </w:r>
                </w:p>
              </w:tc>
              <w:tc>
                <w:tcPr>
                  <w:tcW w:w="882" w:type="dxa"/>
                </w:tcPr>
                <w:p w14:paraId="6B796F07" w14:textId="0EE61AA3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5.44%</w:t>
                  </w:r>
                </w:p>
              </w:tc>
              <w:tc>
                <w:tcPr>
                  <w:tcW w:w="1327" w:type="dxa"/>
                </w:tcPr>
                <w:p w14:paraId="2CA542D3" w14:textId="2C98873A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6.17%</w:t>
                  </w:r>
                </w:p>
              </w:tc>
            </w:tr>
            <w:tr w:rsidR="00830F06" w:rsidRPr="00353DC0" w14:paraId="42F79EE5" w14:textId="77777777" w:rsidTr="00B17D67">
              <w:tc>
                <w:tcPr>
                  <w:tcW w:w="2790" w:type="dxa"/>
                  <w:gridSpan w:val="2"/>
                </w:tcPr>
                <w:p w14:paraId="11317549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Cost of Debt</w:t>
                  </w:r>
                </w:p>
              </w:tc>
              <w:tc>
                <w:tcPr>
                  <w:tcW w:w="1327" w:type="dxa"/>
                </w:tcPr>
                <w:p w14:paraId="316D237F" w14:textId="728895C2" w:rsidR="00830F06" w:rsidRPr="00353DC0" w:rsidRDefault="008A2A10" w:rsidP="00A008C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1.72%</w:t>
                  </w:r>
                </w:p>
              </w:tc>
            </w:tr>
            <w:tr w:rsidR="00830F06" w:rsidRPr="00353DC0" w14:paraId="67214880" w14:textId="77777777" w:rsidTr="00B17D67">
              <w:tc>
                <w:tcPr>
                  <w:tcW w:w="2790" w:type="dxa"/>
                  <w:gridSpan w:val="2"/>
                </w:tcPr>
                <w:p w14:paraId="30979647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327" w:type="dxa"/>
                </w:tcPr>
                <w:p w14:paraId="426CE887" w14:textId="35B9A717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36%</w:t>
                  </w:r>
                </w:p>
              </w:tc>
            </w:tr>
            <w:tr w:rsidR="00830F06" w:rsidRPr="00353DC0" w14:paraId="0F9564DE" w14:textId="77777777" w:rsidTr="00B17D67">
              <w:tc>
                <w:tcPr>
                  <w:tcW w:w="2790" w:type="dxa"/>
                  <w:gridSpan w:val="2"/>
                </w:tcPr>
                <w:p w14:paraId="02E73EF4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327" w:type="dxa"/>
                </w:tcPr>
                <w:p w14:paraId="7C66D20E" w14:textId="7CE61D92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7.38%</w:t>
                  </w:r>
                </w:p>
              </w:tc>
            </w:tr>
            <w:tr w:rsidR="00830F06" w:rsidRPr="00353DC0" w14:paraId="19A1F6C8" w14:textId="77777777" w:rsidTr="00B17D67">
              <w:tc>
                <w:tcPr>
                  <w:tcW w:w="2790" w:type="dxa"/>
                  <w:gridSpan w:val="2"/>
                </w:tcPr>
                <w:p w14:paraId="714B53EA" w14:textId="77777777" w:rsidR="00830F06" w:rsidRPr="00353DC0" w:rsidRDefault="00830F06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327" w:type="dxa"/>
                </w:tcPr>
                <w:p w14:paraId="71DF2BD8" w14:textId="2D6E3C03" w:rsidR="00830F06" w:rsidRPr="00353DC0" w:rsidRDefault="008A2A10" w:rsidP="00A008C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6.8%</w:t>
                  </w:r>
                </w:p>
              </w:tc>
            </w:tr>
            <w:tr w:rsidR="00830F06" w:rsidRPr="00353DC0" w14:paraId="48232758" w14:textId="77777777" w:rsidTr="00B17D67">
              <w:trPr>
                <w:trHeight w:val="197"/>
              </w:trPr>
              <w:tc>
                <w:tcPr>
                  <w:tcW w:w="2790" w:type="dxa"/>
                  <w:gridSpan w:val="2"/>
                </w:tcPr>
                <w:p w14:paraId="75850D20" w14:textId="0C27CA3A" w:rsidR="00830F06" w:rsidRPr="00353DC0" w:rsidRDefault="0012425D" w:rsidP="0012425D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Perpetuity Growth Rate (Terminal)</w:t>
                  </w:r>
                </w:p>
              </w:tc>
              <w:tc>
                <w:tcPr>
                  <w:tcW w:w="1327" w:type="dxa"/>
                </w:tcPr>
                <w:p w14:paraId="0C5586DB" w14:textId="7900FB67" w:rsidR="00830F06" w:rsidRPr="00353DC0" w:rsidRDefault="008A2A10" w:rsidP="00830F06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3.2%</w:t>
                  </w:r>
                </w:p>
              </w:tc>
            </w:tr>
          </w:tbl>
          <w:p w14:paraId="4363BD08" w14:textId="681172B1" w:rsidR="009F0D12" w:rsidRPr="00353DC0" w:rsidRDefault="009F0D12" w:rsidP="009F0D12">
            <w:pPr>
              <w:jc w:val="both"/>
              <w:rPr>
                <w:sz w:val="16"/>
                <w:szCs w:val="16"/>
              </w:rPr>
            </w:pPr>
            <w:r w:rsidRPr="00353DC0">
              <w:rPr>
                <w:sz w:val="16"/>
                <w:szCs w:val="16"/>
              </w:rPr>
              <w:t xml:space="preserve">Analyst Opinion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3"/>
              <w:gridCol w:w="1363"/>
              <w:gridCol w:w="1363"/>
            </w:tblGrid>
            <w:tr w:rsidR="009F0D12" w:rsidRPr="00353DC0" w14:paraId="2502AA66" w14:textId="77777777" w:rsidTr="0004792E">
              <w:tc>
                <w:tcPr>
                  <w:tcW w:w="1363" w:type="dxa"/>
                  <w:shd w:val="clear" w:color="auto" w:fill="DBE5F1" w:themeFill="accent1" w:themeFillTint="33"/>
                </w:tcPr>
                <w:p w14:paraId="6457A1D0" w14:textId="7A8F7612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Buy: </w:t>
                  </w:r>
                  <w:r w:rsidR="00E34E6A" w:rsidRPr="00353DC0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0E79476" w14:textId="6CB19AC8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Hold: </w:t>
                  </w:r>
                  <w:r w:rsidR="00E34E6A" w:rsidRPr="00353DC0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3" w:type="dxa"/>
                  <w:shd w:val="clear" w:color="auto" w:fill="DBE5F1" w:themeFill="accent1" w:themeFillTint="33"/>
                </w:tcPr>
                <w:p w14:paraId="1F373BED" w14:textId="748BC970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Sell: </w:t>
                  </w:r>
                  <w:r w:rsidR="00E34E6A" w:rsidRPr="00353DC0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724FC07A" w14:textId="77777777" w:rsidR="009F0D12" w:rsidRPr="00353DC0" w:rsidRDefault="009F0D12" w:rsidP="009F0D12">
            <w:pPr>
              <w:jc w:val="both"/>
              <w:rPr>
                <w:sz w:val="16"/>
                <w:szCs w:val="16"/>
              </w:rPr>
            </w:pPr>
          </w:p>
          <w:tbl>
            <w:tblPr>
              <w:tblStyle w:val="TableGrid"/>
              <w:tblW w:w="4117" w:type="dxa"/>
              <w:tblLook w:val="04A0" w:firstRow="1" w:lastRow="0" w:firstColumn="1" w:lastColumn="0" w:noHBand="0" w:noVBand="1"/>
            </w:tblPr>
            <w:tblGrid>
              <w:gridCol w:w="1350"/>
              <w:gridCol w:w="1484"/>
              <w:gridCol w:w="1283"/>
            </w:tblGrid>
            <w:tr w:rsidR="009F0D12" w:rsidRPr="00353DC0" w14:paraId="0A705346" w14:textId="77777777" w:rsidTr="00040E03">
              <w:tc>
                <w:tcPr>
                  <w:tcW w:w="1350" w:type="dxa"/>
                  <w:shd w:val="clear" w:color="auto" w:fill="DBE5F1" w:themeFill="accent1" w:themeFillTint="33"/>
                </w:tcPr>
                <w:p w14:paraId="7897F5B6" w14:textId="77777777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84" w:type="dxa"/>
                  <w:shd w:val="clear" w:color="auto" w:fill="DBE5F1" w:themeFill="accent1" w:themeFillTint="33"/>
                </w:tcPr>
                <w:p w14:paraId="78BA4ECF" w14:textId="77777777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Rating </w:t>
                  </w:r>
                </w:p>
              </w:tc>
              <w:tc>
                <w:tcPr>
                  <w:tcW w:w="1283" w:type="dxa"/>
                  <w:shd w:val="clear" w:color="auto" w:fill="DBE5F1" w:themeFill="accent1" w:themeFillTint="33"/>
                </w:tcPr>
                <w:p w14:paraId="1E6E599B" w14:textId="69E23BCF" w:rsidR="009F0D12" w:rsidRPr="00353DC0" w:rsidRDefault="00E40BA9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Target</w:t>
                  </w:r>
                </w:p>
              </w:tc>
            </w:tr>
            <w:tr w:rsidR="009F0D12" w:rsidRPr="00353DC0" w14:paraId="18B2C8FA" w14:textId="77777777" w:rsidTr="00040E03">
              <w:tc>
                <w:tcPr>
                  <w:tcW w:w="1350" w:type="dxa"/>
                </w:tcPr>
                <w:p w14:paraId="12374E3E" w14:textId="4C4A02B5" w:rsidR="009F0D12" w:rsidRPr="00353DC0" w:rsidRDefault="00F042AA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S&amp;P Net</w:t>
                  </w:r>
                  <w:r w:rsidR="009F0D12" w:rsidRPr="00353DC0">
                    <w:rPr>
                      <w:sz w:val="16"/>
                      <w:szCs w:val="16"/>
                    </w:rPr>
                    <w:t xml:space="preserve">Advantage </w:t>
                  </w:r>
                </w:p>
              </w:tc>
              <w:tc>
                <w:tcPr>
                  <w:tcW w:w="1484" w:type="dxa"/>
                </w:tcPr>
                <w:p w14:paraId="6EC161A2" w14:textId="10389820" w:rsidR="009F0D12" w:rsidRPr="00353DC0" w:rsidRDefault="00313EEF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Strong Buy (5 Star)</w:t>
                  </w:r>
                </w:p>
              </w:tc>
              <w:tc>
                <w:tcPr>
                  <w:tcW w:w="1283" w:type="dxa"/>
                </w:tcPr>
                <w:p w14:paraId="0BCB7E23" w14:textId="12F7A226" w:rsidR="009F0D12" w:rsidRPr="00353DC0" w:rsidRDefault="008A2A10" w:rsidP="00E40BA9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$100</w:t>
                  </w:r>
                </w:p>
              </w:tc>
            </w:tr>
            <w:tr w:rsidR="009F0D12" w:rsidRPr="00353DC0" w14:paraId="35B4D85C" w14:textId="77777777" w:rsidTr="00040E03">
              <w:trPr>
                <w:trHeight w:val="215"/>
              </w:trPr>
              <w:tc>
                <w:tcPr>
                  <w:tcW w:w="1350" w:type="dxa"/>
                </w:tcPr>
                <w:p w14:paraId="1DD4E482" w14:textId="3CAABB83" w:rsidR="009F0D12" w:rsidRPr="00353DC0" w:rsidRDefault="00F042AA" w:rsidP="00F042AA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Mornings</w:t>
                  </w:r>
                  <w:r w:rsidR="0029559F" w:rsidRPr="00353DC0">
                    <w:rPr>
                      <w:sz w:val="16"/>
                      <w:szCs w:val="16"/>
                    </w:rPr>
                    <w:t>tar</w:t>
                  </w:r>
                </w:p>
              </w:tc>
              <w:tc>
                <w:tcPr>
                  <w:tcW w:w="1484" w:type="dxa"/>
                </w:tcPr>
                <w:p w14:paraId="0B4EFFDC" w14:textId="411454B6" w:rsidR="009F0D12" w:rsidRPr="00353DC0" w:rsidRDefault="008A2A1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N/A</w:t>
                  </w:r>
                </w:p>
              </w:tc>
              <w:tc>
                <w:tcPr>
                  <w:tcW w:w="1283" w:type="dxa"/>
                </w:tcPr>
                <w:p w14:paraId="70BA49F9" w14:textId="6CC3C520" w:rsidR="009F0D12" w:rsidRPr="00353DC0" w:rsidRDefault="008A2A1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N/A</w:t>
                  </w:r>
                </w:p>
              </w:tc>
            </w:tr>
            <w:tr w:rsidR="009F0D12" w:rsidRPr="00353DC0" w14:paraId="0BBF9B66" w14:textId="77777777" w:rsidTr="00040E03">
              <w:trPr>
                <w:trHeight w:val="215"/>
              </w:trPr>
              <w:tc>
                <w:tcPr>
                  <w:tcW w:w="1350" w:type="dxa"/>
                </w:tcPr>
                <w:p w14:paraId="0E7E15E7" w14:textId="50B93F2B" w:rsidR="009F0D12" w:rsidRPr="00353DC0" w:rsidRDefault="009F0D12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Value Line </w:t>
                  </w:r>
                </w:p>
              </w:tc>
              <w:tc>
                <w:tcPr>
                  <w:tcW w:w="1484" w:type="dxa"/>
                </w:tcPr>
                <w:p w14:paraId="161AF23F" w14:textId="520A4F4E" w:rsidR="008A2A10" w:rsidRPr="00353DC0" w:rsidRDefault="008A2A1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Timeliness 2</w:t>
                  </w:r>
                  <w:r w:rsidR="00040E03">
                    <w:rPr>
                      <w:sz w:val="16"/>
                      <w:szCs w:val="16"/>
                    </w:rPr>
                    <w:t xml:space="preserve">, </w:t>
                  </w:r>
                  <w:r w:rsidRPr="00353DC0">
                    <w:rPr>
                      <w:sz w:val="16"/>
                      <w:szCs w:val="16"/>
                    </w:rPr>
                    <w:t>Safety 3</w:t>
                  </w:r>
                  <w:r w:rsidR="00040E03">
                    <w:rPr>
                      <w:sz w:val="16"/>
                      <w:szCs w:val="16"/>
                    </w:rPr>
                    <w:t xml:space="preserve">, </w:t>
                  </w:r>
                  <w:r w:rsidRPr="00353DC0">
                    <w:rPr>
                      <w:sz w:val="16"/>
                      <w:szCs w:val="16"/>
                    </w:rPr>
                    <w:t>Financial strength B++</w:t>
                  </w:r>
                </w:p>
              </w:tc>
              <w:tc>
                <w:tcPr>
                  <w:tcW w:w="1283" w:type="dxa"/>
                </w:tcPr>
                <w:p w14:paraId="22CC1EA0" w14:textId="36516CB2" w:rsidR="009F0D12" w:rsidRPr="00353DC0" w:rsidRDefault="008A2A10" w:rsidP="009F0D12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$115-$170</w:t>
                  </w:r>
                </w:p>
              </w:tc>
            </w:tr>
          </w:tbl>
          <w:p w14:paraId="577D83D9" w14:textId="1C22E6FF" w:rsidR="002D3CFC" w:rsidRPr="00353DC0" w:rsidRDefault="002D3CFC" w:rsidP="00443ED9">
            <w:pPr>
              <w:jc w:val="both"/>
              <w:rPr>
                <w:sz w:val="16"/>
                <w:szCs w:val="16"/>
              </w:rPr>
            </w:pPr>
          </w:p>
        </w:tc>
      </w:tr>
    </w:tbl>
    <w:p w14:paraId="2B589A9D" w14:textId="77777777" w:rsidR="00830F06" w:rsidRPr="00353DC0" w:rsidRDefault="00830F06" w:rsidP="00443ED9">
      <w:pPr>
        <w:ind w:left="-1440"/>
        <w:jc w:val="both"/>
        <w:rPr>
          <w:sz w:val="16"/>
          <w:szCs w:val="16"/>
        </w:rPr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7483"/>
        <w:gridCol w:w="4392"/>
      </w:tblGrid>
      <w:tr w:rsidR="004F2EAA" w:rsidRPr="00353DC0" w14:paraId="660DEC2C" w14:textId="77777777" w:rsidTr="00034A52">
        <w:tc>
          <w:tcPr>
            <w:tcW w:w="7488" w:type="dxa"/>
            <w:shd w:val="clear" w:color="auto" w:fill="365F91" w:themeFill="accent1" w:themeFillShade="BF"/>
          </w:tcPr>
          <w:p w14:paraId="1BAF6900" w14:textId="27A2E398" w:rsidR="004F2EAA" w:rsidRPr="00353DC0" w:rsidRDefault="004F2EAA" w:rsidP="004F2EAA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320" w:type="dxa"/>
            <w:shd w:val="clear" w:color="auto" w:fill="365F91" w:themeFill="accent1" w:themeFillShade="BF"/>
          </w:tcPr>
          <w:p w14:paraId="335BDBD9" w14:textId="160EB620" w:rsidR="004F2EAA" w:rsidRPr="00353DC0" w:rsidRDefault="000E0407" w:rsidP="0004792E">
            <w:pPr>
              <w:jc w:val="both"/>
              <w:rPr>
                <w:b/>
                <w:color w:val="FFFFFF" w:themeColor="background1"/>
                <w:sz w:val="16"/>
                <w:szCs w:val="16"/>
              </w:rPr>
            </w:pPr>
            <w:r w:rsidRPr="00353DC0">
              <w:rPr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4F2EAA" w:rsidRPr="00353DC0" w14:paraId="2AA141CB" w14:textId="77777777" w:rsidTr="0004792E">
        <w:tc>
          <w:tcPr>
            <w:tcW w:w="7488" w:type="dxa"/>
          </w:tcPr>
          <w:p w14:paraId="3F2A33BE" w14:textId="77777777" w:rsidR="004F2EAA" w:rsidRPr="00353DC0" w:rsidRDefault="004F2EAA" w:rsidP="0004792E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7257" w:type="dxa"/>
              <w:tblLook w:val="04A0" w:firstRow="1" w:lastRow="0" w:firstColumn="1" w:lastColumn="0" w:noHBand="0" w:noVBand="1"/>
            </w:tblPr>
            <w:tblGrid>
              <w:gridCol w:w="1615"/>
              <w:gridCol w:w="782"/>
              <w:gridCol w:w="1068"/>
              <w:gridCol w:w="869"/>
              <w:gridCol w:w="925"/>
              <w:gridCol w:w="1000"/>
              <w:gridCol w:w="998"/>
            </w:tblGrid>
            <w:tr w:rsidR="00313EEF" w:rsidRPr="00353DC0" w14:paraId="03A7F5D8" w14:textId="77777777" w:rsidTr="00E255B0">
              <w:tc>
                <w:tcPr>
                  <w:tcW w:w="1615" w:type="dxa"/>
                  <w:shd w:val="clear" w:color="auto" w:fill="DBE5F1" w:themeFill="accent1" w:themeFillTint="33"/>
                </w:tcPr>
                <w:p w14:paraId="18F981FE" w14:textId="6A48FFE7" w:rsidR="004F2EAA" w:rsidRPr="00353DC0" w:rsidRDefault="004F2EAA" w:rsidP="004F2E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2" w:type="dxa"/>
                  <w:shd w:val="clear" w:color="auto" w:fill="DBE5F1" w:themeFill="accent1" w:themeFillTint="33"/>
                </w:tcPr>
                <w:p w14:paraId="36FCBD39" w14:textId="582BF7D1" w:rsidR="004F2EAA" w:rsidRPr="00353DC0" w:rsidRDefault="008A2A10" w:rsidP="004F2EA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KATE</w:t>
                  </w:r>
                </w:p>
              </w:tc>
              <w:tc>
                <w:tcPr>
                  <w:tcW w:w="1068" w:type="dxa"/>
                  <w:shd w:val="clear" w:color="auto" w:fill="DBE5F1" w:themeFill="accent1" w:themeFillTint="33"/>
                </w:tcPr>
                <w:p w14:paraId="18F40648" w14:textId="29CEFD18" w:rsidR="004F2EAA" w:rsidRPr="00353DC0" w:rsidRDefault="008A2A10" w:rsidP="004F2EA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VNCE</w:t>
                  </w:r>
                </w:p>
              </w:tc>
              <w:tc>
                <w:tcPr>
                  <w:tcW w:w="869" w:type="dxa"/>
                  <w:shd w:val="clear" w:color="auto" w:fill="DBE5F1" w:themeFill="accent1" w:themeFillTint="33"/>
                </w:tcPr>
                <w:p w14:paraId="64A1B213" w14:textId="04D05857" w:rsidR="004F2EAA" w:rsidRPr="00353DC0" w:rsidRDefault="008A2A10" w:rsidP="004F2EA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VFC</w:t>
                  </w:r>
                </w:p>
              </w:tc>
              <w:tc>
                <w:tcPr>
                  <w:tcW w:w="925" w:type="dxa"/>
                  <w:shd w:val="clear" w:color="auto" w:fill="DBE5F1" w:themeFill="accent1" w:themeFillTint="33"/>
                </w:tcPr>
                <w:p w14:paraId="2A396C67" w14:textId="47D9B42F" w:rsidR="004F2EAA" w:rsidRPr="00353DC0" w:rsidRDefault="008A2A10" w:rsidP="004F2EA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PVH</w:t>
                  </w:r>
                </w:p>
              </w:tc>
              <w:tc>
                <w:tcPr>
                  <w:tcW w:w="1000" w:type="dxa"/>
                  <w:shd w:val="clear" w:color="auto" w:fill="DBE5F1" w:themeFill="accent1" w:themeFillTint="33"/>
                </w:tcPr>
                <w:p w14:paraId="78007BAA" w14:textId="79199DAD" w:rsidR="004F2EAA" w:rsidRPr="00353DC0" w:rsidRDefault="005B16A4" w:rsidP="004F2EAA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Ind.</w:t>
                  </w:r>
                  <w:r w:rsidR="004F2EAA" w:rsidRPr="00353DC0">
                    <w:rPr>
                      <w:sz w:val="16"/>
                      <w:szCs w:val="16"/>
                    </w:rPr>
                    <w:t xml:space="preserve"> Average </w:t>
                  </w:r>
                </w:p>
              </w:tc>
              <w:tc>
                <w:tcPr>
                  <w:tcW w:w="998" w:type="dxa"/>
                  <w:shd w:val="clear" w:color="auto" w:fill="DBE5F1" w:themeFill="accent1" w:themeFillTint="33"/>
                </w:tcPr>
                <w:p w14:paraId="45951734" w14:textId="0AE1C963" w:rsidR="004F2EAA" w:rsidRPr="00353DC0" w:rsidRDefault="008A2A10" w:rsidP="004F2EAA">
                  <w:pPr>
                    <w:rPr>
                      <w:b/>
                      <w:sz w:val="16"/>
                      <w:szCs w:val="16"/>
                    </w:rPr>
                  </w:pPr>
                  <w:r w:rsidRPr="00353DC0">
                    <w:rPr>
                      <w:b/>
                      <w:sz w:val="16"/>
                      <w:szCs w:val="16"/>
                    </w:rPr>
                    <w:t>CRI</w:t>
                  </w:r>
                </w:p>
              </w:tc>
            </w:tr>
            <w:tr w:rsidR="002242A6" w:rsidRPr="00353DC0" w14:paraId="5DA42BF7" w14:textId="77777777" w:rsidTr="00E255B0">
              <w:tc>
                <w:tcPr>
                  <w:tcW w:w="1615" w:type="dxa"/>
                </w:tcPr>
                <w:p w14:paraId="5D8F0BAD" w14:textId="7777777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782" w:type="dxa"/>
                  <w:vAlign w:val="bottom"/>
                </w:tcPr>
                <w:p w14:paraId="53BFCC21" w14:textId="375638F2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18.59</w:t>
                  </w:r>
                </w:p>
              </w:tc>
              <w:tc>
                <w:tcPr>
                  <w:tcW w:w="1068" w:type="dxa"/>
                  <w:vAlign w:val="bottom"/>
                </w:tcPr>
                <w:p w14:paraId="0006F77E" w14:textId="01D375FB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12.47</w:t>
                  </w:r>
                </w:p>
              </w:tc>
              <w:tc>
                <w:tcPr>
                  <w:tcW w:w="869" w:type="dxa"/>
                  <w:vAlign w:val="bottom"/>
                </w:tcPr>
                <w:p w14:paraId="265146A9" w14:textId="2861DE66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19.62</w:t>
                  </w:r>
                </w:p>
              </w:tc>
              <w:tc>
                <w:tcPr>
                  <w:tcW w:w="925" w:type="dxa"/>
                  <w:vAlign w:val="bottom"/>
                </w:tcPr>
                <w:p w14:paraId="1710897B" w14:textId="4D9DBC15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11.41</w:t>
                  </w:r>
                </w:p>
              </w:tc>
              <w:tc>
                <w:tcPr>
                  <w:tcW w:w="1000" w:type="dxa"/>
                  <w:vAlign w:val="bottom"/>
                </w:tcPr>
                <w:p w14:paraId="7076EAC1" w14:textId="63B71DC4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22.67</w:t>
                  </w:r>
                </w:p>
              </w:tc>
              <w:tc>
                <w:tcPr>
                  <w:tcW w:w="998" w:type="dxa"/>
                  <w:vAlign w:val="bottom"/>
                </w:tcPr>
                <w:p w14:paraId="1D18DB5C" w14:textId="2AA05909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21.83</w:t>
                  </w:r>
                </w:p>
              </w:tc>
            </w:tr>
            <w:tr w:rsidR="002242A6" w:rsidRPr="00353DC0" w14:paraId="3CF28431" w14:textId="77777777" w:rsidTr="00E255B0">
              <w:tc>
                <w:tcPr>
                  <w:tcW w:w="1615" w:type="dxa"/>
                </w:tcPr>
                <w:p w14:paraId="7E3790DF" w14:textId="5EE07BA5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782" w:type="dxa"/>
                  <w:vAlign w:val="bottom"/>
                </w:tcPr>
                <w:p w14:paraId="34BDBBAA" w14:textId="374557FB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12.61</w:t>
                  </w:r>
                </w:p>
              </w:tc>
              <w:tc>
                <w:tcPr>
                  <w:tcW w:w="1068" w:type="dxa"/>
                  <w:vAlign w:val="bottom"/>
                </w:tcPr>
                <w:p w14:paraId="6DD53DF3" w14:textId="7A4D16AA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2.47</w:t>
                  </w:r>
                </w:p>
              </w:tc>
              <w:tc>
                <w:tcPr>
                  <w:tcW w:w="869" w:type="dxa"/>
                  <w:vAlign w:val="bottom"/>
                </w:tcPr>
                <w:p w14:paraId="28B68146" w14:textId="7A6B79D5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4.86</w:t>
                  </w:r>
                </w:p>
              </w:tc>
              <w:tc>
                <w:tcPr>
                  <w:tcW w:w="925" w:type="dxa"/>
                  <w:vAlign w:val="bottom"/>
                </w:tcPr>
                <w:p w14:paraId="7C8A26C7" w14:textId="082DC6CF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1.38</w:t>
                  </w:r>
                </w:p>
              </w:tc>
              <w:tc>
                <w:tcPr>
                  <w:tcW w:w="1000" w:type="dxa"/>
                  <w:vAlign w:val="bottom"/>
                </w:tcPr>
                <w:p w14:paraId="5AFEA404" w14:textId="6000A404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4.97</w:t>
                  </w:r>
                </w:p>
              </w:tc>
              <w:tc>
                <w:tcPr>
                  <w:tcW w:w="998" w:type="dxa"/>
                  <w:vAlign w:val="bottom"/>
                </w:tcPr>
                <w:p w14:paraId="75E713E1" w14:textId="47AC16C8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5.88</w:t>
                  </w:r>
                </w:p>
              </w:tc>
            </w:tr>
            <w:tr w:rsidR="002242A6" w:rsidRPr="00353DC0" w14:paraId="0617F604" w14:textId="77777777" w:rsidTr="00E255B0">
              <w:tc>
                <w:tcPr>
                  <w:tcW w:w="1615" w:type="dxa"/>
                </w:tcPr>
                <w:p w14:paraId="3EC6238B" w14:textId="7777777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782" w:type="dxa"/>
                  <w:vAlign w:val="bottom"/>
                </w:tcPr>
                <w:p w14:paraId="524E59DF" w14:textId="5F30B25D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1068" w:type="dxa"/>
                  <w:vAlign w:val="bottom"/>
                </w:tcPr>
                <w:p w14:paraId="22DA99B4" w14:textId="6A377858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869" w:type="dxa"/>
                  <w:vAlign w:val="bottom"/>
                </w:tcPr>
                <w:p w14:paraId="37475220" w14:textId="6D10AAA6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925" w:type="dxa"/>
                  <w:vAlign w:val="bottom"/>
                </w:tcPr>
                <w:p w14:paraId="46267742" w14:textId="336F849D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0.20</w:t>
                  </w:r>
                </w:p>
              </w:tc>
              <w:tc>
                <w:tcPr>
                  <w:tcW w:w="1000" w:type="dxa"/>
                  <w:vAlign w:val="bottom"/>
                </w:tcPr>
                <w:p w14:paraId="4CB9EC74" w14:textId="24064C66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0.72</w:t>
                  </w:r>
                </w:p>
              </w:tc>
              <w:tc>
                <w:tcPr>
                  <w:tcW w:w="998" w:type="dxa"/>
                  <w:vAlign w:val="bottom"/>
                </w:tcPr>
                <w:p w14:paraId="13B0F0F0" w14:textId="0F35C0D5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0.88</w:t>
                  </w:r>
                </w:p>
              </w:tc>
            </w:tr>
            <w:tr w:rsidR="002242A6" w:rsidRPr="00353DC0" w14:paraId="4505851E" w14:textId="77777777" w:rsidTr="00E255B0">
              <w:tc>
                <w:tcPr>
                  <w:tcW w:w="1615" w:type="dxa"/>
                </w:tcPr>
                <w:p w14:paraId="6045AE39" w14:textId="7777777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PEG Ratio </w:t>
                  </w:r>
                </w:p>
              </w:tc>
              <w:tc>
                <w:tcPr>
                  <w:tcW w:w="782" w:type="dxa"/>
                  <w:vAlign w:val="bottom"/>
                </w:tcPr>
                <w:p w14:paraId="6C39B871" w14:textId="583F3A80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0.91</w:t>
                  </w:r>
                </w:p>
              </w:tc>
              <w:tc>
                <w:tcPr>
                  <w:tcW w:w="1068" w:type="dxa"/>
                  <w:vAlign w:val="bottom"/>
                </w:tcPr>
                <w:p w14:paraId="7D65AAED" w14:textId="0CB41493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3.90</w:t>
                  </w:r>
                </w:p>
              </w:tc>
              <w:tc>
                <w:tcPr>
                  <w:tcW w:w="869" w:type="dxa"/>
                  <w:vAlign w:val="bottom"/>
                </w:tcPr>
                <w:p w14:paraId="405B4B3F" w14:textId="7385F73C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1.82</w:t>
                  </w:r>
                </w:p>
              </w:tc>
              <w:tc>
                <w:tcPr>
                  <w:tcW w:w="925" w:type="dxa"/>
                  <w:vAlign w:val="bottom"/>
                </w:tcPr>
                <w:p w14:paraId="09628130" w14:textId="756A9C99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1.47</w:t>
                  </w:r>
                </w:p>
              </w:tc>
              <w:tc>
                <w:tcPr>
                  <w:tcW w:w="1000" w:type="dxa"/>
                  <w:vAlign w:val="bottom"/>
                </w:tcPr>
                <w:p w14:paraId="2302C4FD" w14:textId="3EB5EB99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1.77</w:t>
                  </w:r>
                </w:p>
              </w:tc>
              <w:tc>
                <w:tcPr>
                  <w:tcW w:w="998" w:type="dxa"/>
                  <w:vAlign w:val="bottom"/>
                </w:tcPr>
                <w:p w14:paraId="3C4BDA61" w14:textId="7A6BC1FC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1.63</w:t>
                  </w:r>
                </w:p>
              </w:tc>
            </w:tr>
            <w:tr w:rsidR="002242A6" w:rsidRPr="00353DC0" w14:paraId="06FF3325" w14:textId="77777777" w:rsidTr="00E255B0">
              <w:tc>
                <w:tcPr>
                  <w:tcW w:w="1615" w:type="dxa"/>
                </w:tcPr>
                <w:p w14:paraId="7FD0AD7B" w14:textId="054EB04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EPS (Last FY)</w:t>
                  </w:r>
                </w:p>
              </w:tc>
              <w:tc>
                <w:tcPr>
                  <w:tcW w:w="782" w:type="dxa"/>
                  <w:vAlign w:val="bottom"/>
                </w:tcPr>
                <w:p w14:paraId="039C42DF" w14:textId="160697B0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1.26</w:t>
                  </w:r>
                </w:p>
              </w:tc>
              <w:tc>
                <w:tcPr>
                  <w:tcW w:w="1068" w:type="dxa"/>
                  <w:vAlign w:val="bottom"/>
                </w:tcPr>
                <w:p w14:paraId="1CBE09CE" w14:textId="15F60964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0.97</w:t>
                  </w:r>
                </w:p>
              </w:tc>
              <w:tc>
                <w:tcPr>
                  <w:tcW w:w="869" w:type="dxa"/>
                  <w:vAlign w:val="bottom"/>
                </w:tcPr>
                <w:p w14:paraId="418ADE6E" w14:textId="1AD2FBA0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2.42</w:t>
                  </w:r>
                </w:p>
              </w:tc>
              <w:tc>
                <w:tcPr>
                  <w:tcW w:w="925" w:type="dxa"/>
                  <w:vAlign w:val="bottom"/>
                </w:tcPr>
                <w:p w14:paraId="0783FD74" w14:textId="2B0BE8BE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5.33</w:t>
                  </w:r>
                </w:p>
              </w:tc>
              <w:tc>
                <w:tcPr>
                  <w:tcW w:w="1000" w:type="dxa"/>
                  <w:vAlign w:val="bottom"/>
                </w:tcPr>
                <w:p w14:paraId="6D9EF64C" w14:textId="23A23573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2.59</w:t>
                  </w:r>
                </w:p>
              </w:tc>
              <w:tc>
                <w:tcPr>
                  <w:tcW w:w="998" w:type="dxa"/>
                  <w:vAlign w:val="bottom"/>
                </w:tcPr>
                <w:p w14:paraId="065BB36E" w14:textId="307BB94F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4.55</w:t>
                  </w:r>
                </w:p>
              </w:tc>
            </w:tr>
            <w:tr w:rsidR="002242A6" w:rsidRPr="00353DC0" w14:paraId="777301C1" w14:textId="77777777" w:rsidTr="00E255B0">
              <w:tc>
                <w:tcPr>
                  <w:tcW w:w="1615" w:type="dxa"/>
                </w:tcPr>
                <w:p w14:paraId="0759BE0E" w14:textId="4C32979F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Rev Growth (Last FY)</w:t>
                  </w:r>
                </w:p>
              </w:tc>
              <w:tc>
                <w:tcPr>
                  <w:tcW w:w="782" w:type="dxa"/>
                  <w:vAlign w:val="bottom"/>
                </w:tcPr>
                <w:p w14:paraId="18DCC7A0" w14:textId="02EC7CAC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-6.44</w:t>
                  </w:r>
                </w:p>
              </w:tc>
              <w:tc>
                <w:tcPr>
                  <w:tcW w:w="1068" w:type="dxa"/>
                  <w:vAlign w:val="bottom"/>
                </w:tcPr>
                <w:p w14:paraId="68E302DD" w14:textId="45777613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13.00</w:t>
                  </w:r>
                </w:p>
              </w:tc>
              <w:tc>
                <w:tcPr>
                  <w:tcW w:w="869" w:type="dxa"/>
                  <w:vAlign w:val="bottom"/>
                </w:tcPr>
                <w:p w14:paraId="67F1CBE6" w14:textId="12F99B76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22.81</w:t>
                  </w:r>
                </w:p>
              </w:tc>
              <w:tc>
                <w:tcPr>
                  <w:tcW w:w="925" w:type="dxa"/>
                  <w:vAlign w:val="bottom"/>
                </w:tcPr>
                <w:p w14:paraId="42281ACF" w14:textId="0CCDBF35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27.04</w:t>
                  </w:r>
                </w:p>
              </w:tc>
              <w:tc>
                <w:tcPr>
                  <w:tcW w:w="1000" w:type="dxa"/>
                  <w:vAlign w:val="bottom"/>
                </w:tcPr>
                <w:p w14:paraId="17995264" w14:textId="2CECFF49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17.75</w:t>
                  </w:r>
                </w:p>
              </w:tc>
              <w:tc>
                <w:tcPr>
                  <w:tcW w:w="998" w:type="dxa"/>
                  <w:vAlign w:val="bottom"/>
                </w:tcPr>
                <w:p w14:paraId="6FFA7BF9" w14:textId="0B12A668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12.89</w:t>
                  </w:r>
                </w:p>
              </w:tc>
            </w:tr>
            <w:tr w:rsidR="002242A6" w:rsidRPr="00353DC0" w14:paraId="616F0554" w14:textId="77777777" w:rsidTr="00E255B0">
              <w:tc>
                <w:tcPr>
                  <w:tcW w:w="1615" w:type="dxa"/>
                </w:tcPr>
                <w:p w14:paraId="12174486" w14:textId="2FA7970B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NI Growth (Last FY) </w:t>
                  </w:r>
                </w:p>
              </w:tc>
              <w:tc>
                <w:tcPr>
                  <w:tcW w:w="782" w:type="dxa"/>
                  <w:vAlign w:val="bottom"/>
                </w:tcPr>
                <w:p w14:paraId="21AC8274" w14:textId="31BBC559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68" w:type="dxa"/>
                  <w:vAlign w:val="bottom"/>
                </w:tcPr>
                <w:p w14:paraId="72155156" w14:textId="532C89CB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-55.73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69" w:type="dxa"/>
                  <w:vAlign w:val="bottom"/>
                </w:tcPr>
                <w:p w14:paraId="36DE4F19" w14:textId="00F5077A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-2.27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25" w:type="dxa"/>
                  <w:vAlign w:val="bottom"/>
                </w:tcPr>
                <w:p w14:paraId="098D397E" w14:textId="6C39D032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-1.68</w:t>
                  </w: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00" w:type="dxa"/>
                  <w:vAlign w:val="bottom"/>
                </w:tcPr>
                <w:p w14:paraId="09E34E39" w14:textId="6B06500C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-225.37%</w:t>
                  </w:r>
                </w:p>
              </w:tc>
              <w:tc>
                <w:tcPr>
                  <w:tcW w:w="998" w:type="dxa"/>
                  <w:vAlign w:val="bottom"/>
                </w:tcPr>
                <w:p w14:paraId="703CA411" w14:textId="76FB356E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5.84</w:t>
                  </w:r>
                </w:p>
              </w:tc>
            </w:tr>
            <w:tr w:rsidR="002242A6" w:rsidRPr="00353DC0" w14:paraId="339AECB6" w14:textId="77777777" w:rsidTr="00E255B0">
              <w:tc>
                <w:tcPr>
                  <w:tcW w:w="1615" w:type="dxa"/>
                </w:tcPr>
                <w:p w14:paraId="7B2C49BE" w14:textId="5C491906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Operating Margin </w:t>
                  </w:r>
                </w:p>
              </w:tc>
              <w:tc>
                <w:tcPr>
                  <w:tcW w:w="782" w:type="dxa"/>
                  <w:vAlign w:val="bottom"/>
                </w:tcPr>
                <w:p w14:paraId="6D16033E" w14:textId="37D822E2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4.44</w:t>
                  </w:r>
                </w:p>
              </w:tc>
              <w:tc>
                <w:tcPr>
                  <w:tcW w:w="1068" w:type="dxa"/>
                  <w:vAlign w:val="bottom"/>
                </w:tcPr>
                <w:p w14:paraId="0087603B" w14:textId="764F47A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15.26</w:t>
                  </w:r>
                </w:p>
              </w:tc>
              <w:tc>
                <w:tcPr>
                  <w:tcW w:w="869" w:type="dxa"/>
                  <w:vAlign w:val="bottom"/>
                </w:tcPr>
                <w:p w14:paraId="648370E7" w14:textId="64606860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11.64</w:t>
                  </w:r>
                </w:p>
              </w:tc>
              <w:tc>
                <w:tcPr>
                  <w:tcW w:w="925" w:type="dxa"/>
                  <w:vAlign w:val="bottom"/>
                </w:tcPr>
                <w:p w14:paraId="218F33F9" w14:textId="5470927E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11.72</w:t>
                  </w:r>
                </w:p>
              </w:tc>
              <w:tc>
                <w:tcPr>
                  <w:tcW w:w="1000" w:type="dxa"/>
                  <w:vAlign w:val="bottom"/>
                </w:tcPr>
                <w:p w14:paraId="0DC9A589" w14:textId="61DB5D41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11.70</w:t>
                  </w:r>
                </w:p>
              </w:tc>
              <w:tc>
                <w:tcPr>
                  <w:tcW w:w="998" w:type="dxa"/>
                  <w:vAlign w:val="bottom"/>
                </w:tcPr>
                <w:p w14:paraId="0BE03697" w14:textId="41582863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13.41</w:t>
                  </w:r>
                </w:p>
              </w:tc>
            </w:tr>
            <w:tr w:rsidR="002242A6" w:rsidRPr="00353DC0" w14:paraId="064AA80D" w14:textId="77777777" w:rsidTr="00E255B0">
              <w:tc>
                <w:tcPr>
                  <w:tcW w:w="1615" w:type="dxa"/>
                </w:tcPr>
                <w:p w14:paraId="5977E240" w14:textId="77777777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Debt / Equity </w:t>
                  </w:r>
                </w:p>
              </w:tc>
              <w:tc>
                <w:tcPr>
                  <w:tcW w:w="782" w:type="dxa"/>
                  <w:vAlign w:val="bottom"/>
                </w:tcPr>
                <w:p w14:paraId="672F8CCF" w14:textId="7DB0C4EF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231.59</w:t>
                  </w:r>
                </w:p>
              </w:tc>
              <w:tc>
                <w:tcPr>
                  <w:tcW w:w="1068" w:type="dxa"/>
                  <w:vAlign w:val="bottom"/>
                </w:tcPr>
                <w:p w14:paraId="2639E00E" w14:textId="11FDECD1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98.75</w:t>
                  </w:r>
                </w:p>
              </w:tc>
              <w:tc>
                <w:tcPr>
                  <w:tcW w:w="869" w:type="dxa"/>
                  <w:vAlign w:val="bottom"/>
                </w:tcPr>
                <w:p w14:paraId="1555406C" w14:textId="2F2F33AE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34.63</w:t>
                  </w:r>
                </w:p>
              </w:tc>
              <w:tc>
                <w:tcPr>
                  <w:tcW w:w="925" w:type="dxa"/>
                  <w:vAlign w:val="bottom"/>
                </w:tcPr>
                <w:p w14:paraId="02951FB8" w14:textId="03BECDB8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74.08</w:t>
                  </w:r>
                </w:p>
              </w:tc>
              <w:tc>
                <w:tcPr>
                  <w:tcW w:w="1000" w:type="dxa"/>
                  <w:vAlign w:val="bottom"/>
                </w:tcPr>
                <w:p w14:paraId="2DEE76F7" w14:textId="7ABB9BA0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62.93</w:t>
                  </w:r>
                </w:p>
              </w:tc>
              <w:tc>
                <w:tcPr>
                  <w:tcW w:w="998" w:type="dxa"/>
                  <w:vAlign w:val="bottom"/>
                </w:tcPr>
                <w:p w14:paraId="3056A026" w14:textId="4C1EC991" w:rsidR="002242A6" w:rsidRPr="00353DC0" w:rsidRDefault="002242A6" w:rsidP="002242A6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66.79</w:t>
                  </w:r>
                </w:p>
              </w:tc>
            </w:tr>
            <w:tr w:rsidR="005E237F" w:rsidRPr="00353DC0" w14:paraId="36B329ED" w14:textId="77777777" w:rsidTr="00E255B0">
              <w:tc>
                <w:tcPr>
                  <w:tcW w:w="1615" w:type="dxa"/>
                </w:tcPr>
                <w:p w14:paraId="791DB0D1" w14:textId="77777777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Market Cap</w:t>
                  </w:r>
                </w:p>
              </w:tc>
              <w:tc>
                <w:tcPr>
                  <w:tcW w:w="782" w:type="dxa"/>
                  <w:vAlign w:val="bottom"/>
                </w:tcPr>
                <w:p w14:paraId="031547AD" w14:textId="49E6B1F2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2186.13</w:t>
                  </w:r>
                </w:p>
              </w:tc>
              <w:tc>
                <w:tcPr>
                  <w:tcW w:w="1068" w:type="dxa"/>
                  <w:vAlign w:val="bottom"/>
                </w:tcPr>
                <w:p w14:paraId="626B742A" w14:textId="3245658C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188.31</w:t>
                  </w:r>
                </w:p>
              </w:tc>
              <w:tc>
                <w:tcPr>
                  <w:tcW w:w="869" w:type="dxa"/>
                  <w:vAlign w:val="bottom"/>
                </w:tcPr>
                <w:p w14:paraId="4F545191" w14:textId="2B5578BD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26073.06</w:t>
                  </w:r>
                </w:p>
              </w:tc>
              <w:tc>
                <w:tcPr>
                  <w:tcW w:w="925" w:type="dxa"/>
                  <w:vAlign w:val="bottom"/>
                </w:tcPr>
                <w:p w14:paraId="70C9FE24" w14:textId="0905AC14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6274.61</w:t>
                  </w:r>
                </w:p>
              </w:tc>
              <w:tc>
                <w:tcPr>
                  <w:tcW w:w="1000" w:type="dxa"/>
                  <w:vAlign w:val="bottom"/>
                </w:tcPr>
                <w:p w14:paraId="10279C73" w14:textId="77CD53C8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2242A6">
                    <w:rPr>
                      <w:sz w:val="16"/>
                      <w:szCs w:val="16"/>
                    </w:rPr>
                    <w:t>7352.51</w:t>
                  </w:r>
                </w:p>
              </w:tc>
              <w:tc>
                <w:tcPr>
                  <w:tcW w:w="998" w:type="dxa"/>
                  <w:vAlign w:val="bottom"/>
                </w:tcPr>
                <w:p w14:paraId="5AA99482" w14:textId="0CB15A4C" w:rsidR="005E237F" w:rsidRPr="00353DC0" w:rsidRDefault="005E237F" w:rsidP="005E237F">
                  <w:pPr>
                    <w:jc w:val="both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4731.12</w:t>
                  </w:r>
                </w:p>
              </w:tc>
            </w:tr>
          </w:tbl>
          <w:p w14:paraId="79D95697" w14:textId="1240ACC0" w:rsidR="000362B3" w:rsidRPr="00353DC0" w:rsidRDefault="00C8063B" w:rsidP="0004792E">
            <w:pPr>
              <w:jc w:val="both"/>
              <w:rPr>
                <w:b/>
                <w:sz w:val="16"/>
                <w:szCs w:val="16"/>
              </w:rPr>
            </w:pPr>
            <w:r w:rsidRPr="00353DC0">
              <w:rPr>
                <w:b/>
                <w:sz w:val="16"/>
                <w:szCs w:val="16"/>
              </w:rPr>
              <w:t>Prepared By:</w:t>
            </w:r>
            <w:r w:rsidR="00B919B7" w:rsidRPr="00353DC0">
              <w:rPr>
                <w:b/>
                <w:sz w:val="16"/>
                <w:szCs w:val="16"/>
              </w:rPr>
              <w:t xml:space="preserve"> Yun </w:t>
            </w:r>
            <w:proofErr w:type="spellStart"/>
            <w:r w:rsidR="00B919B7" w:rsidRPr="00353DC0">
              <w:rPr>
                <w:b/>
                <w:sz w:val="16"/>
                <w:szCs w:val="16"/>
              </w:rPr>
              <w:t>Xie</w:t>
            </w:r>
            <w:proofErr w:type="spellEnd"/>
          </w:p>
          <w:p w14:paraId="67108435" w14:textId="21DBE44E" w:rsidR="000362B3" w:rsidRPr="00353DC0" w:rsidRDefault="000362B3" w:rsidP="0004792E">
            <w:pPr>
              <w:jc w:val="both"/>
              <w:rPr>
                <w:b/>
                <w:sz w:val="16"/>
                <w:szCs w:val="16"/>
              </w:rPr>
            </w:pPr>
            <w:r w:rsidRPr="00353DC0">
              <w:rPr>
                <w:b/>
                <w:sz w:val="16"/>
                <w:szCs w:val="16"/>
              </w:rPr>
              <w:t xml:space="preserve">Sources: Bloomberg, S&amp;P </w:t>
            </w:r>
            <w:proofErr w:type="spellStart"/>
            <w:r w:rsidRPr="00353DC0">
              <w:rPr>
                <w:b/>
                <w:sz w:val="16"/>
                <w:szCs w:val="16"/>
              </w:rPr>
              <w:t>NetAdvantage</w:t>
            </w:r>
            <w:proofErr w:type="spellEnd"/>
            <w:r w:rsidRPr="00353DC0">
              <w:rPr>
                <w:b/>
                <w:sz w:val="16"/>
                <w:szCs w:val="16"/>
              </w:rPr>
              <w:t>, VLIS, Morningstar</w:t>
            </w:r>
          </w:p>
        </w:tc>
        <w:tc>
          <w:tcPr>
            <w:tcW w:w="4320" w:type="dxa"/>
          </w:tcPr>
          <w:p w14:paraId="7FACE228" w14:textId="170AD80A" w:rsidR="004F2EAA" w:rsidRPr="00353DC0" w:rsidRDefault="004F2EAA" w:rsidP="0004792E">
            <w:pPr>
              <w:jc w:val="both"/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4094" w:type="dxa"/>
              <w:tblLook w:val="04A0" w:firstRow="1" w:lastRow="0" w:firstColumn="1" w:lastColumn="0" w:noHBand="0" w:noVBand="1"/>
            </w:tblPr>
            <w:tblGrid>
              <w:gridCol w:w="1422"/>
              <w:gridCol w:w="900"/>
              <w:gridCol w:w="810"/>
              <w:gridCol w:w="962"/>
            </w:tblGrid>
            <w:tr w:rsidR="00EA5213" w:rsidRPr="00353DC0" w14:paraId="39927E41" w14:textId="77777777" w:rsidTr="0060598F">
              <w:tc>
                <w:tcPr>
                  <w:tcW w:w="1422" w:type="dxa"/>
                  <w:shd w:val="clear" w:color="auto" w:fill="DBE5F1" w:themeFill="accent1" w:themeFillTint="33"/>
                </w:tcPr>
                <w:p w14:paraId="405B542F" w14:textId="7C67957F" w:rsidR="00EA5213" w:rsidRPr="00353DC0" w:rsidRDefault="00EA5213" w:rsidP="00EA521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0AB96B2A" w14:textId="3C6890D2" w:rsidR="00EA5213" w:rsidRPr="00353DC0" w:rsidRDefault="008A2A10" w:rsidP="00EA5213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CRI</w:t>
                  </w:r>
                </w:p>
              </w:tc>
              <w:tc>
                <w:tcPr>
                  <w:tcW w:w="810" w:type="dxa"/>
                  <w:shd w:val="clear" w:color="auto" w:fill="DBE5F1" w:themeFill="accent1" w:themeFillTint="33"/>
                </w:tcPr>
                <w:p w14:paraId="0650E6CE" w14:textId="77777777" w:rsidR="00EA5213" w:rsidRPr="00353DC0" w:rsidRDefault="00EA5213" w:rsidP="00EA5213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Sector </w:t>
                  </w:r>
                </w:p>
              </w:tc>
              <w:tc>
                <w:tcPr>
                  <w:tcW w:w="962" w:type="dxa"/>
                  <w:shd w:val="clear" w:color="auto" w:fill="DBE5F1" w:themeFill="accent1" w:themeFillTint="33"/>
                </w:tcPr>
                <w:p w14:paraId="68B31751" w14:textId="77777777" w:rsidR="00EA5213" w:rsidRPr="00353DC0" w:rsidRDefault="00EA5213" w:rsidP="00EA5213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S&amp;P 500</w:t>
                  </w:r>
                </w:p>
              </w:tc>
            </w:tr>
            <w:tr w:rsidR="00EA5213" w:rsidRPr="00353DC0" w14:paraId="47681D86" w14:textId="77777777" w:rsidTr="00371C05">
              <w:tc>
                <w:tcPr>
                  <w:tcW w:w="1422" w:type="dxa"/>
                </w:tcPr>
                <w:p w14:paraId="440258CF" w14:textId="77777777" w:rsidR="00EA5213" w:rsidRPr="00353DC0" w:rsidRDefault="00EA5213" w:rsidP="00EA5213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900" w:type="dxa"/>
                </w:tcPr>
                <w:p w14:paraId="2915C4D5" w14:textId="1A6CFB48" w:rsidR="00EA5213" w:rsidRPr="00353DC0" w:rsidRDefault="00851F0A" w:rsidP="008919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8.89</w:t>
                  </w:r>
                  <w:r w:rsidR="0033570E" w:rsidRPr="00353DC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</w:tcPr>
                <w:p w14:paraId="432CEBBB" w14:textId="57FB55F5" w:rsidR="00EA5213" w:rsidRPr="00353DC0" w:rsidRDefault="00851F0A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-5.30</w:t>
                  </w:r>
                  <w:r w:rsidR="0033570E" w:rsidRPr="00353DC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2D5C424C" w14:textId="207C349E" w:rsidR="00EA5213" w:rsidRPr="00353DC0" w:rsidRDefault="00851F0A" w:rsidP="00EA52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-5.58%</w:t>
                  </w:r>
                </w:p>
              </w:tc>
            </w:tr>
            <w:tr w:rsidR="00B17D67" w:rsidRPr="00353DC0" w14:paraId="0876038A" w14:textId="77777777" w:rsidTr="00371C05">
              <w:tc>
                <w:tcPr>
                  <w:tcW w:w="1422" w:type="dxa"/>
                </w:tcPr>
                <w:p w14:paraId="1F90980B" w14:textId="77777777" w:rsidR="00B17D67" w:rsidRPr="00353DC0" w:rsidRDefault="00B17D67" w:rsidP="00B17D67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900" w:type="dxa"/>
                </w:tcPr>
                <w:p w14:paraId="0925A661" w14:textId="6AAE026A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67.84</w:t>
                  </w:r>
                  <w:r w:rsidR="0033570E" w:rsidRPr="00353DC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10" w:type="dxa"/>
                </w:tcPr>
                <w:p w14:paraId="046C9C8D" w14:textId="107C0236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45.75</w:t>
                  </w:r>
                  <w:r w:rsidR="0033570E" w:rsidRPr="00353DC0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962" w:type="dxa"/>
                </w:tcPr>
                <w:p w14:paraId="55BE815F" w14:textId="006D79B5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26.98%</w:t>
                  </w:r>
                </w:p>
              </w:tc>
            </w:tr>
            <w:tr w:rsidR="00B17D67" w:rsidRPr="00353DC0" w14:paraId="28B8CB1E" w14:textId="77777777" w:rsidTr="00371C05">
              <w:tc>
                <w:tcPr>
                  <w:tcW w:w="1422" w:type="dxa"/>
                </w:tcPr>
                <w:p w14:paraId="3272796F" w14:textId="77777777" w:rsidR="00B17D67" w:rsidRPr="00353DC0" w:rsidRDefault="00B17D67" w:rsidP="00B17D67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900" w:type="dxa"/>
                </w:tcPr>
                <w:p w14:paraId="6CA968EB" w14:textId="25D4139D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223.73%</w:t>
                  </w:r>
                </w:p>
              </w:tc>
              <w:tc>
                <w:tcPr>
                  <w:tcW w:w="810" w:type="dxa"/>
                </w:tcPr>
                <w:p w14:paraId="3A2AF828" w14:textId="02E2CF0D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86.24%</w:t>
                  </w:r>
                </w:p>
              </w:tc>
              <w:tc>
                <w:tcPr>
                  <w:tcW w:w="962" w:type="dxa"/>
                </w:tcPr>
                <w:p w14:paraId="1D7EE8E1" w14:textId="522DE556" w:rsidR="00B17D67" w:rsidRPr="00353DC0" w:rsidRDefault="00851F0A" w:rsidP="00B17D6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43.69%</w:t>
                  </w:r>
                </w:p>
              </w:tc>
            </w:tr>
          </w:tbl>
          <w:p w14:paraId="51BB9526" w14:textId="77777777" w:rsidR="00096901" w:rsidRPr="00353DC0" w:rsidRDefault="00096901" w:rsidP="0004792E">
            <w:pPr>
              <w:jc w:val="both"/>
              <w:rPr>
                <w:b/>
                <w:sz w:val="16"/>
                <w:szCs w:val="16"/>
              </w:rPr>
            </w:pPr>
          </w:p>
          <w:p w14:paraId="221910A7" w14:textId="368D2A1A" w:rsidR="009F0D12" w:rsidRPr="00353DC0" w:rsidRDefault="009F0D12" w:rsidP="0004792E">
            <w:pPr>
              <w:jc w:val="both"/>
              <w:rPr>
                <w:b/>
                <w:sz w:val="16"/>
                <w:szCs w:val="16"/>
              </w:rPr>
            </w:pPr>
            <w:r w:rsidRPr="00353DC0">
              <w:rPr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166" w:type="dxa"/>
              <w:tblLook w:val="04A0" w:firstRow="1" w:lastRow="0" w:firstColumn="1" w:lastColumn="0" w:noHBand="0" w:noVBand="1"/>
            </w:tblPr>
            <w:tblGrid>
              <w:gridCol w:w="2202"/>
              <w:gridCol w:w="862"/>
              <w:gridCol w:w="1102"/>
            </w:tblGrid>
            <w:tr w:rsidR="009F0D12" w:rsidRPr="00353DC0" w14:paraId="45EE1C47" w14:textId="77777777" w:rsidTr="00C167A6">
              <w:tc>
                <w:tcPr>
                  <w:tcW w:w="2220" w:type="dxa"/>
                  <w:shd w:val="clear" w:color="auto" w:fill="DBE5F1" w:themeFill="accent1" w:themeFillTint="33"/>
                </w:tcPr>
                <w:p w14:paraId="48F472B3" w14:textId="77777777" w:rsidR="009F0D12" w:rsidRPr="00353DC0" w:rsidRDefault="009F0D12" w:rsidP="009F0D1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shd w:val="clear" w:color="auto" w:fill="DBE5F1" w:themeFill="accent1" w:themeFillTint="33"/>
                </w:tcPr>
                <w:p w14:paraId="64E10A6D" w14:textId="44610BDA" w:rsidR="009F0D12" w:rsidRPr="00353DC0" w:rsidRDefault="009F0D12" w:rsidP="009F0D1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Company </w:t>
                  </w:r>
                </w:p>
              </w:tc>
              <w:tc>
                <w:tcPr>
                  <w:tcW w:w="1107" w:type="dxa"/>
                  <w:shd w:val="clear" w:color="auto" w:fill="DBE5F1" w:themeFill="accent1" w:themeFillTint="33"/>
                </w:tcPr>
                <w:p w14:paraId="2859E9CA" w14:textId="46E55C19" w:rsidR="009F0D12" w:rsidRPr="00353DC0" w:rsidRDefault="009F0D12" w:rsidP="009F0D1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9F0D12" w:rsidRPr="00353DC0" w14:paraId="7789B7FE" w14:textId="77777777" w:rsidTr="00C167A6">
              <w:tc>
                <w:tcPr>
                  <w:tcW w:w="2220" w:type="dxa"/>
                </w:tcPr>
                <w:p w14:paraId="6E37B1E0" w14:textId="321D190E" w:rsidR="009F0D12" w:rsidRPr="00353DC0" w:rsidRDefault="00BA7CED" w:rsidP="009F0D1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ESG Disclosure</w:t>
                  </w:r>
                </w:p>
              </w:tc>
              <w:tc>
                <w:tcPr>
                  <w:tcW w:w="839" w:type="dxa"/>
                </w:tcPr>
                <w:p w14:paraId="69AFC6D3" w14:textId="1288A20E" w:rsidR="009F0D12" w:rsidRPr="00353DC0" w:rsidRDefault="008A2A10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21.53</w:t>
                  </w:r>
                </w:p>
              </w:tc>
              <w:tc>
                <w:tcPr>
                  <w:tcW w:w="1107" w:type="dxa"/>
                </w:tcPr>
                <w:p w14:paraId="176B6E96" w14:textId="1EBDBDCB" w:rsidR="009F0D12" w:rsidRPr="00353DC0" w:rsidRDefault="008A2A10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21.43</w:t>
                  </w:r>
                </w:p>
              </w:tc>
            </w:tr>
            <w:tr w:rsidR="00BA7CED" w:rsidRPr="00353DC0" w14:paraId="56095003" w14:textId="77777777" w:rsidTr="00C167A6">
              <w:tc>
                <w:tcPr>
                  <w:tcW w:w="2220" w:type="dxa"/>
                </w:tcPr>
                <w:p w14:paraId="01F06376" w14:textId="3ABF203A" w:rsidR="00BA7CED" w:rsidRPr="00353DC0" w:rsidRDefault="00E02ABF" w:rsidP="009F0D1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839" w:type="dxa"/>
                </w:tcPr>
                <w:p w14:paraId="7E2457FE" w14:textId="793C5734" w:rsidR="00BA7CED" w:rsidRPr="00353DC0" w:rsidRDefault="001A27F4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51.79</w:t>
                  </w:r>
                </w:p>
              </w:tc>
              <w:tc>
                <w:tcPr>
                  <w:tcW w:w="1107" w:type="dxa"/>
                </w:tcPr>
                <w:p w14:paraId="535098F8" w14:textId="1AEA4C65" w:rsidR="00BA7CED" w:rsidRPr="00353DC0" w:rsidRDefault="001A27F4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52.17</w:t>
                  </w:r>
                </w:p>
              </w:tc>
            </w:tr>
            <w:tr w:rsidR="009F0D12" w:rsidRPr="00353DC0" w14:paraId="2AED786D" w14:textId="77777777" w:rsidTr="00C167A6">
              <w:tc>
                <w:tcPr>
                  <w:tcW w:w="2220" w:type="dxa"/>
                </w:tcPr>
                <w:p w14:paraId="1512DF1C" w14:textId="514427D6" w:rsidR="009F0D12" w:rsidRPr="00353DC0" w:rsidRDefault="00E02ABF" w:rsidP="009F0D12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839" w:type="dxa"/>
                </w:tcPr>
                <w:p w14:paraId="1005E3B5" w14:textId="298184C0" w:rsidR="009F0D12" w:rsidRPr="00353DC0" w:rsidRDefault="001A27F4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28.07</w:t>
                  </w:r>
                </w:p>
              </w:tc>
              <w:tc>
                <w:tcPr>
                  <w:tcW w:w="1107" w:type="dxa"/>
                </w:tcPr>
                <w:p w14:paraId="4CFD4283" w14:textId="68CE8D38" w:rsidR="009F0D12" w:rsidRPr="00353DC0" w:rsidRDefault="001A27F4" w:rsidP="0001176B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23.51</w:t>
                  </w:r>
                </w:p>
              </w:tc>
            </w:tr>
            <w:tr w:rsidR="00C167A6" w:rsidRPr="00353DC0" w14:paraId="51ECD4C4" w14:textId="77777777" w:rsidTr="00C167A6">
              <w:trPr>
                <w:trHeight w:val="70"/>
              </w:trPr>
              <w:tc>
                <w:tcPr>
                  <w:tcW w:w="2220" w:type="dxa"/>
                </w:tcPr>
                <w:p w14:paraId="141C9522" w14:textId="183B7621" w:rsidR="00C167A6" w:rsidRPr="00353DC0" w:rsidRDefault="00C167A6" w:rsidP="00313EEF">
                  <w:pPr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Environmental Disclosure Score</w:t>
                  </w:r>
                </w:p>
              </w:tc>
              <w:tc>
                <w:tcPr>
                  <w:tcW w:w="839" w:type="dxa"/>
                </w:tcPr>
                <w:p w14:paraId="2791F153" w14:textId="570C8485" w:rsidR="00C167A6" w:rsidRPr="00353DC0" w:rsidRDefault="001A27F4" w:rsidP="00313EEF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1107" w:type="dxa"/>
                  <w:vAlign w:val="bottom"/>
                </w:tcPr>
                <w:p w14:paraId="24E3CAEE" w14:textId="1644C0BB" w:rsidR="00C167A6" w:rsidRPr="00353DC0" w:rsidRDefault="001A27F4" w:rsidP="00C167A6">
                  <w:pPr>
                    <w:jc w:val="center"/>
                    <w:rPr>
                      <w:sz w:val="16"/>
                      <w:szCs w:val="16"/>
                    </w:rPr>
                  </w:pPr>
                  <w:r w:rsidRPr="00353DC0">
                    <w:rPr>
                      <w:sz w:val="16"/>
                      <w:szCs w:val="16"/>
                    </w:rPr>
                    <w:t>17.63</w:t>
                  </w:r>
                </w:p>
              </w:tc>
            </w:tr>
          </w:tbl>
          <w:p w14:paraId="62EFF545" w14:textId="453E5262" w:rsidR="009F0D12" w:rsidRPr="00353DC0" w:rsidRDefault="009F0D12" w:rsidP="0004792E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C1E381E" w14:textId="36A09156" w:rsidR="00830F06" w:rsidRPr="00842C1A" w:rsidRDefault="00830F06" w:rsidP="000362B3">
      <w:pPr>
        <w:jc w:val="both"/>
        <w:rPr>
          <w:b/>
          <w:sz w:val="13"/>
          <w:szCs w:val="13"/>
        </w:rPr>
      </w:pPr>
    </w:p>
    <w:sectPr w:rsidR="00830F06" w:rsidRPr="00842C1A" w:rsidSect="00920D13">
      <w:pgSz w:w="12240" w:h="15840"/>
      <w:pgMar w:top="45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LTStd-BoldC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1A1"/>
    <w:multiLevelType w:val="hybridMultilevel"/>
    <w:tmpl w:val="7D2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4BB6"/>
    <w:multiLevelType w:val="hybridMultilevel"/>
    <w:tmpl w:val="B04E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7E04"/>
    <w:multiLevelType w:val="hybridMultilevel"/>
    <w:tmpl w:val="E878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6B8A"/>
    <w:multiLevelType w:val="hybridMultilevel"/>
    <w:tmpl w:val="9680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3CD2"/>
    <w:multiLevelType w:val="hybridMultilevel"/>
    <w:tmpl w:val="ECA8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75878"/>
    <w:multiLevelType w:val="hybridMultilevel"/>
    <w:tmpl w:val="71B4A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B8"/>
    <w:rsid w:val="0001176B"/>
    <w:rsid w:val="000145A7"/>
    <w:rsid w:val="00022508"/>
    <w:rsid w:val="00026F5E"/>
    <w:rsid w:val="000308A0"/>
    <w:rsid w:val="00034A52"/>
    <w:rsid w:val="000362B3"/>
    <w:rsid w:val="00040E03"/>
    <w:rsid w:val="0004792E"/>
    <w:rsid w:val="00056CE9"/>
    <w:rsid w:val="00066CC4"/>
    <w:rsid w:val="00071029"/>
    <w:rsid w:val="00071F4F"/>
    <w:rsid w:val="00096901"/>
    <w:rsid w:val="000A0372"/>
    <w:rsid w:val="000C5560"/>
    <w:rsid w:val="000E0407"/>
    <w:rsid w:val="000E0631"/>
    <w:rsid w:val="000E0C3A"/>
    <w:rsid w:val="000F0DD2"/>
    <w:rsid w:val="0012425D"/>
    <w:rsid w:val="0013332F"/>
    <w:rsid w:val="001366A3"/>
    <w:rsid w:val="0014778C"/>
    <w:rsid w:val="0015239F"/>
    <w:rsid w:val="00197A37"/>
    <w:rsid w:val="001A0951"/>
    <w:rsid w:val="001A2282"/>
    <w:rsid w:val="001A27F4"/>
    <w:rsid w:val="001A4CD7"/>
    <w:rsid w:val="001A54DB"/>
    <w:rsid w:val="001C5C89"/>
    <w:rsid w:val="001E7B80"/>
    <w:rsid w:val="001F411C"/>
    <w:rsid w:val="001F4C8C"/>
    <w:rsid w:val="001F6872"/>
    <w:rsid w:val="00202280"/>
    <w:rsid w:val="00214834"/>
    <w:rsid w:val="002242A6"/>
    <w:rsid w:val="00231ED5"/>
    <w:rsid w:val="00245DD4"/>
    <w:rsid w:val="002535D2"/>
    <w:rsid w:val="00254456"/>
    <w:rsid w:val="00274740"/>
    <w:rsid w:val="0029559F"/>
    <w:rsid w:val="002A168E"/>
    <w:rsid w:val="002B04FE"/>
    <w:rsid w:val="002D3CFC"/>
    <w:rsid w:val="002F3CA6"/>
    <w:rsid w:val="003073EA"/>
    <w:rsid w:val="00313EEF"/>
    <w:rsid w:val="003173DA"/>
    <w:rsid w:val="0033512A"/>
    <w:rsid w:val="0033570E"/>
    <w:rsid w:val="00353DC0"/>
    <w:rsid w:val="00371C05"/>
    <w:rsid w:val="00375DB5"/>
    <w:rsid w:val="00384388"/>
    <w:rsid w:val="00392411"/>
    <w:rsid w:val="00392719"/>
    <w:rsid w:val="003B3070"/>
    <w:rsid w:val="003E5BC6"/>
    <w:rsid w:val="003E5DB4"/>
    <w:rsid w:val="003E7CA1"/>
    <w:rsid w:val="00401063"/>
    <w:rsid w:val="00443ED9"/>
    <w:rsid w:val="00447515"/>
    <w:rsid w:val="00462682"/>
    <w:rsid w:val="0047443F"/>
    <w:rsid w:val="004D3729"/>
    <w:rsid w:val="004D7282"/>
    <w:rsid w:val="004E72D5"/>
    <w:rsid w:val="004F2EAA"/>
    <w:rsid w:val="0050052A"/>
    <w:rsid w:val="00501519"/>
    <w:rsid w:val="00547B13"/>
    <w:rsid w:val="005509E7"/>
    <w:rsid w:val="0056019E"/>
    <w:rsid w:val="00575123"/>
    <w:rsid w:val="005A335E"/>
    <w:rsid w:val="005B16A4"/>
    <w:rsid w:val="005C11BA"/>
    <w:rsid w:val="005D6DDB"/>
    <w:rsid w:val="005E114B"/>
    <w:rsid w:val="005E237F"/>
    <w:rsid w:val="0060598F"/>
    <w:rsid w:val="00640425"/>
    <w:rsid w:val="00674795"/>
    <w:rsid w:val="006953F0"/>
    <w:rsid w:val="006A37B5"/>
    <w:rsid w:val="006A61A4"/>
    <w:rsid w:val="006C1408"/>
    <w:rsid w:val="006E2939"/>
    <w:rsid w:val="006E44B8"/>
    <w:rsid w:val="006E4FF3"/>
    <w:rsid w:val="006E5EA1"/>
    <w:rsid w:val="00704289"/>
    <w:rsid w:val="0076327C"/>
    <w:rsid w:val="007B2A6D"/>
    <w:rsid w:val="007B6409"/>
    <w:rsid w:val="007F4659"/>
    <w:rsid w:val="00802DA3"/>
    <w:rsid w:val="00804E00"/>
    <w:rsid w:val="00806665"/>
    <w:rsid w:val="00815FF3"/>
    <w:rsid w:val="00830F06"/>
    <w:rsid w:val="00832142"/>
    <w:rsid w:val="00835134"/>
    <w:rsid w:val="00842C1A"/>
    <w:rsid w:val="00845D70"/>
    <w:rsid w:val="00851F0A"/>
    <w:rsid w:val="00857BC1"/>
    <w:rsid w:val="00874223"/>
    <w:rsid w:val="0089190C"/>
    <w:rsid w:val="00895CA3"/>
    <w:rsid w:val="008A2A10"/>
    <w:rsid w:val="008B72AE"/>
    <w:rsid w:val="008B796D"/>
    <w:rsid w:val="008C2798"/>
    <w:rsid w:val="008D49EF"/>
    <w:rsid w:val="00900789"/>
    <w:rsid w:val="009007A6"/>
    <w:rsid w:val="00911AF8"/>
    <w:rsid w:val="00913FF8"/>
    <w:rsid w:val="00915605"/>
    <w:rsid w:val="00920D13"/>
    <w:rsid w:val="00923CAB"/>
    <w:rsid w:val="00924700"/>
    <w:rsid w:val="009A4F52"/>
    <w:rsid w:val="009C57C6"/>
    <w:rsid w:val="009D5A45"/>
    <w:rsid w:val="009D7A72"/>
    <w:rsid w:val="009F0D12"/>
    <w:rsid w:val="009F2E51"/>
    <w:rsid w:val="009F74C2"/>
    <w:rsid w:val="00A008CA"/>
    <w:rsid w:val="00A037C0"/>
    <w:rsid w:val="00A30926"/>
    <w:rsid w:val="00A56542"/>
    <w:rsid w:val="00A603A6"/>
    <w:rsid w:val="00A63E9D"/>
    <w:rsid w:val="00A8460D"/>
    <w:rsid w:val="00A85575"/>
    <w:rsid w:val="00AA0C48"/>
    <w:rsid w:val="00AA5ED5"/>
    <w:rsid w:val="00AA6378"/>
    <w:rsid w:val="00AB003F"/>
    <w:rsid w:val="00AB2EAC"/>
    <w:rsid w:val="00AC6D0C"/>
    <w:rsid w:val="00AF2149"/>
    <w:rsid w:val="00B17D67"/>
    <w:rsid w:val="00B22327"/>
    <w:rsid w:val="00B502EC"/>
    <w:rsid w:val="00B73900"/>
    <w:rsid w:val="00B7642F"/>
    <w:rsid w:val="00B87084"/>
    <w:rsid w:val="00B919B7"/>
    <w:rsid w:val="00B94DBA"/>
    <w:rsid w:val="00BA6F89"/>
    <w:rsid w:val="00BA7CED"/>
    <w:rsid w:val="00BB3908"/>
    <w:rsid w:val="00BB61F8"/>
    <w:rsid w:val="00BC5E50"/>
    <w:rsid w:val="00BE4ABF"/>
    <w:rsid w:val="00BF2DE5"/>
    <w:rsid w:val="00C05E76"/>
    <w:rsid w:val="00C15E83"/>
    <w:rsid w:val="00C161B3"/>
    <w:rsid w:val="00C167A6"/>
    <w:rsid w:val="00C2195E"/>
    <w:rsid w:val="00C352F3"/>
    <w:rsid w:val="00C441B3"/>
    <w:rsid w:val="00C5690E"/>
    <w:rsid w:val="00C8063B"/>
    <w:rsid w:val="00C9117C"/>
    <w:rsid w:val="00C96757"/>
    <w:rsid w:val="00CE4435"/>
    <w:rsid w:val="00CF27D4"/>
    <w:rsid w:val="00CF2F28"/>
    <w:rsid w:val="00CF6BDE"/>
    <w:rsid w:val="00D16B81"/>
    <w:rsid w:val="00D34136"/>
    <w:rsid w:val="00D363A8"/>
    <w:rsid w:val="00D570FE"/>
    <w:rsid w:val="00D636EF"/>
    <w:rsid w:val="00D64477"/>
    <w:rsid w:val="00DA56AC"/>
    <w:rsid w:val="00DB5A10"/>
    <w:rsid w:val="00DC16C2"/>
    <w:rsid w:val="00E02ABF"/>
    <w:rsid w:val="00E14AC6"/>
    <w:rsid w:val="00E255B0"/>
    <w:rsid w:val="00E349B1"/>
    <w:rsid w:val="00E34E6A"/>
    <w:rsid w:val="00E3542E"/>
    <w:rsid w:val="00E40BA9"/>
    <w:rsid w:val="00E51FAC"/>
    <w:rsid w:val="00E5675C"/>
    <w:rsid w:val="00E84142"/>
    <w:rsid w:val="00E8555E"/>
    <w:rsid w:val="00E90970"/>
    <w:rsid w:val="00E96739"/>
    <w:rsid w:val="00EA31B0"/>
    <w:rsid w:val="00EA5213"/>
    <w:rsid w:val="00EC2755"/>
    <w:rsid w:val="00EC75B4"/>
    <w:rsid w:val="00EF303F"/>
    <w:rsid w:val="00F042AA"/>
    <w:rsid w:val="00F04E1E"/>
    <w:rsid w:val="00F24C2D"/>
    <w:rsid w:val="00F3198D"/>
    <w:rsid w:val="00F41BA6"/>
    <w:rsid w:val="00F56067"/>
    <w:rsid w:val="00F65A7F"/>
    <w:rsid w:val="00F77D0C"/>
    <w:rsid w:val="00F856C9"/>
    <w:rsid w:val="00F92EDE"/>
    <w:rsid w:val="00F96F5E"/>
    <w:rsid w:val="00FA7540"/>
    <w:rsid w:val="00FB2352"/>
    <w:rsid w:val="00FC20D0"/>
    <w:rsid w:val="00FC33EF"/>
    <w:rsid w:val="00FC4084"/>
    <w:rsid w:val="00FF2C25"/>
    <w:rsid w:val="00FF480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  <w15:docId w15:val="{640D5B2E-2CB7-4F3E-86A1-5EBF616E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4ABF"/>
  </w:style>
  <w:style w:type="character" w:styleId="Hyperlink">
    <w:name w:val="Hyperlink"/>
    <w:basedOn w:val="DefaultParagraphFont"/>
    <w:uiPriority w:val="99"/>
    <w:semiHidden/>
    <w:unhideWhenUsed/>
    <w:rsid w:val="00BE4A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9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9E2A6-01B2-4C06-957F-9638948D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Harris</dc:creator>
  <cp:keywords/>
  <dc:description/>
  <cp:lastModifiedBy>sbtrader</cp:lastModifiedBy>
  <cp:revision>2</cp:revision>
  <cp:lastPrinted>2015-11-12T19:19:00Z</cp:lastPrinted>
  <dcterms:created xsi:type="dcterms:W3CDTF">2016-02-25T22:01:00Z</dcterms:created>
  <dcterms:modified xsi:type="dcterms:W3CDTF">2016-02-25T22:01:00Z</dcterms:modified>
</cp:coreProperties>
</file>