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FD34FE">
        <w:trPr>
          <w:trHeight w:val="80"/>
        </w:trPr>
        <w:tc>
          <w:tcPr>
            <w:tcW w:w="3150" w:type="dxa"/>
            <w:shd w:val="clear" w:color="auto" w:fill="365F91" w:themeFill="accent1" w:themeFillShade="BF"/>
          </w:tcPr>
          <w:p w14:paraId="2E49CA38" w14:textId="68268102" w:rsidR="00C8095F" w:rsidRPr="00D9079F" w:rsidRDefault="00C8095F" w:rsidP="00070A2C">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Company: </w:t>
            </w:r>
            <w:r w:rsidR="00070A2C">
              <w:rPr>
                <w:rFonts w:asciiTheme="majorHAnsi" w:hAnsiTheme="majorHAnsi"/>
                <w:b/>
                <w:color w:val="FFFFFF" w:themeColor="background1"/>
                <w:sz w:val="16"/>
                <w:szCs w:val="16"/>
              </w:rPr>
              <w:t>Boston Properties Inc.</w:t>
            </w:r>
          </w:p>
        </w:tc>
        <w:tc>
          <w:tcPr>
            <w:tcW w:w="3150" w:type="dxa"/>
            <w:shd w:val="clear" w:color="auto" w:fill="365F91" w:themeFill="accent1" w:themeFillShade="BF"/>
          </w:tcPr>
          <w:p w14:paraId="5FDF97F0" w14:textId="31F0A6C2" w:rsidR="00C8095F" w:rsidRPr="00D9079F" w:rsidRDefault="00C8095F" w:rsidP="00070A2C">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Ticker: </w:t>
            </w:r>
            <w:r w:rsidR="00070A2C">
              <w:rPr>
                <w:rFonts w:asciiTheme="majorHAnsi" w:hAnsiTheme="majorHAnsi"/>
                <w:b/>
                <w:color w:val="FFFFFF" w:themeColor="background1"/>
                <w:sz w:val="16"/>
                <w:szCs w:val="16"/>
              </w:rPr>
              <w:t>BXP</w:t>
            </w:r>
            <w:r w:rsidRPr="00D9079F">
              <w:rPr>
                <w:rFonts w:asciiTheme="majorHAnsi" w:hAnsiTheme="majorHAnsi"/>
                <w:b/>
                <w:color w:val="FFFFFF" w:themeColor="background1"/>
                <w:sz w:val="16"/>
                <w:szCs w:val="16"/>
              </w:rPr>
              <w:t xml:space="preserve">         Current Price: $ </w:t>
            </w:r>
            <w:r w:rsidR="00070A2C">
              <w:rPr>
                <w:rFonts w:asciiTheme="majorHAnsi" w:hAnsiTheme="majorHAnsi"/>
                <w:b/>
                <w:color w:val="FFFFFF" w:themeColor="background1"/>
                <w:sz w:val="16"/>
                <w:szCs w:val="16"/>
              </w:rPr>
              <w:t>111.79</w:t>
            </w:r>
          </w:p>
        </w:tc>
        <w:tc>
          <w:tcPr>
            <w:tcW w:w="5400" w:type="dxa"/>
            <w:gridSpan w:val="2"/>
            <w:shd w:val="clear" w:color="auto" w:fill="365F91" w:themeFill="accent1" w:themeFillShade="BF"/>
          </w:tcPr>
          <w:p w14:paraId="417B84CE" w14:textId="5C317A4A" w:rsidR="00C8095F" w:rsidRPr="00D9079F" w:rsidRDefault="00C8095F" w:rsidP="00AF2158">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Industry: </w:t>
            </w:r>
            <w:r w:rsidR="00AF2158">
              <w:rPr>
                <w:rFonts w:asciiTheme="majorHAnsi" w:hAnsiTheme="majorHAnsi"/>
                <w:b/>
                <w:color w:val="FFFFFF" w:themeColor="background1"/>
                <w:sz w:val="16"/>
                <w:szCs w:val="16"/>
              </w:rPr>
              <w:t>REIT</w:t>
            </w:r>
            <w:r w:rsidRPr="00D9079F">
              <w:rPr>
                <w:rFonts w:asciiTheme="majorHAnsi" w:hAnsiTheme="majorHAnsi"/>
                <w:b/>
                <w:color w:val="FFFFFF" w:themeColor="background1"/>
                <w:sz w:val="16"/>
                <w:szCs w:val="16"/>
              </w:rPr>
              <w:t xml:space="preserve">              Sub Industry: </w:t>
            </w:r>
            <w:r w:rsidR="00AF2158">
              <w:rPr>
                <w:rFonts w:asciiTheme="majorHAnsi" w:hAnsiTheme="majorHAnsi"/>
                <w:b/>
                <w:color w:val="FFFFFF" w:themeColor="background1"/>
                <w:sz w:val="16"/>
                <w:szCs w:val="16"/>
              </w:rPr>
              <w:t>Class A office</w:t>
            </w:r>
          </w:p>
        </w:tc>
      </w:tr>
      <w:tr w:rsidR="006E44B8" w:rsidRPr="00D9079F" w14:paraId="185E94E4" w14:textId="77777777" w:rsidTr="00AC6A2C">
        <w:trPr>
          <w:trHeight w:val="512"/>
        </w:trPr>
        <w:tc>
          <w:tcPr>
            <w:tcW w:w="3150" w:type="dxa"/>
          </w:tcPr>
          <w:p w14:paraId="159CAB82" w14:textId="75378C4D" w:rsidR="00E8555E" w:rsidRPr="00D9079F" w:rsidRDefault="00E8555E" w:rsidP="00E8555E">
            <w:pPr>
              <w:rPr>
                <w:rFonts w:asciiTheme="majorHAnsi" w:hAnsiTheme="majorHAnsi"/>
                <w:sz w:val="16"/>
                <w:szCs w:val="16"/>
              </w:rPr>
            </w:pPr>
            <w:r w:rsidRPr="00291662">
              <w:rPr>
                <w:rFonts w:asciiTheme="majorHAnsi" w:hAnsiTheme="majorHAnsi"/>
                <w:sz w:val="16"/>
                <w:szCs w:val="16"/>
              </w:rPr>
              <w:t>Target Price</w:t>
            </w:r>
            <w:r w:rsidR="00C161B3" w:rsidRPr="00291662">
              <w:rPr>
                <w:rFonts w:asciiTheme="majorHAnsi" w:hAnsiTheme="majorHAnsi"/>
                <w:sz w:val="16"/>
                <w:szCs w:val="16"/>
              </w:rPr>
              <w:t>:</w:t>
            </w:r>
            <w:r w:rsidR="00743904" w:rsidRPr="00291662">
              <w:rPr>
                <w:rFonts w:asciiTheme="majorHAnsi" w:hAnsiTheme="majorHAnsi"/>
                <w:sz w:val="16"/>
                <w:szCs w:val="16"/>
              </w:rPr>
              <w:t xml:space="preserve"> $</w:t>
            </w:r>
            <w:r w:rsidR="00291662" w:rsidRPr="00291662">
              <w:rPr>
                <w:rFonts w:asciiTheme="majorHAnsi" w:hAnsiTheme="majorHAnsi"/>
                <w:sz w:val="16"/>
                <w:szCs w:val="16"/>
              </w:rPr>
              <w:t xml:space="preserve"> </w:t>
            </w:r>
            <w:r w:rsidR="00E55791">
              <w:rPr>
                <w:rFonts w:asciiTheme="majorHAnsi" w:hAnsiTheme="majorHAnsi"/>
                <w:sz w:val="16"/>
                <w:szCs w:val="16"/>
              </w:rPr>
              <w:t xml:space="preserve">137.93-237.02  </w:t>
            </w:r>
          </w:p>
          <w:p w14:paraId="366C508D" w14:textId="65C0E044" w:rsidR="00E8555E" w:rsidRPr="00D9079F" w:rsidRDefault="00C161B3" w:rsidP="00E8555E">
            <w:pPr>
              <w:rPr>
                <w:rFonts w:asciiTheme="majorHAnsi" w:hAnsiTheme="majorHAnsi"/>
                <w:sz w:val="16"/>
                <w:szCs w:val="16"/>
              </w:rPr>
            </w:pPr>
            <w:r w:rsidRPr="00D9079F">
              <w:rPr>
                <w:rFonts w:asciiTheme="majorHAnsi" w:hAnsiTheme="majorHAnsi"/>
                <w:sz w:val="16"/>
                <w:szCs w:val="16"/>
              </w:rPr>
              <w:t>Stop Loss:</w:t>
            </w:r>
            <w:r w:rsidR="00743904" w:rsidRPr="00D9079F">
              <w:rPr>
                <w:rFonts w:asciiTheme="majorHAnsi" w:hAnsiTheme="majorHAnsi"/>
                <w:sz w:val="16"/>
                <w:szCs w:val="16"/>
              </w:rPr>
              <w:t xml:space="preserve"> </w:t>
            </w:r>
            <w:r w:rsidR="00E55791">
              <w:rPr>
                <w:rFonts w:asciiTheme="majorHAnsi" w:hAnsiTheme="majorHAnsi"/>
                <w:sz w:val="16"/>
                <w:szCs w:val="16"/>
              </w:rPr>
              <w:t>@20%</w:t>
            </w:r>
          </w:p>
          <w:p w14:paraId="7E50A51D" w14:textId="1F18D454" w:rsidR="006E44B8" w:rsidRPr="00D9079F" w:rsidRDefault="00E8555E" w:rsidP="00070A2C">
            <w:pPr>
              <w:rPr>
                <w:rFonts w:asciiTheme="majorHAnsi" w:hAnsiTheme="majorHAnsi"/>
                <w:sz w:val="16"/>
                <w:szCs w:val="16"/>
              </w:rPr>
            </w:pPr>
            <w:r w:rsidRPr="00D9079F">
              <w:rPr>
                <w:rFonts w:asciiTheme="majorHAnsi" w:hAnsiTheme="majorHAnsi"/>
                <w:sz w:val="16"/>
                <w:szCs w:val="16"/>
              </w:rPr>
              <w:t xml:space="preserve">52 Week </w:t>
            </w:r>
            <w:r w:rsidR="00630E4C">
              <w:rPr>
                <w:rFonts w:asciiTheme="majorHAnsi" w:hAnsiTheme="majorHAnsi"/>
                <w:sz w:val="16"/>
                <w:szCs w:val="16"/>
              </w:rPr>
              <w:t>h</w:t>
            </w:r>
            <w:r w:rsidRPr="00D9079F">
              <w:rPr>
                <w:rFonts w:asciiTheme="majorHAnsi" w:hAnsiTheme="majorHAnsi"/>
                <w:sz w:val="16"/>
                <w:szCs w:val="16"/>
              </w:rPr>
              <w:t>igh/ Low:</w:t>
            </w:r>
            <w:r w:rsidR="00743904" w:rsidRPr="00D9079F">
              <w:rPr>
                <w:rFonts w:asciiTheme="majorHAnsi" w:hAnsiTheme="majorHAnsi"/>
                <w:sz w:val="16"/>
                <w:szCs w:val="16"/>
              </w:rPr>
              <w:t xml:space="preserve"> $</w:t>
            </w:r>
            <w:r w:rsidR="00070A2C">
              <w:rPr>
                <w:rFonts w:asciiTheme="majorHAnsi" w:hAnsiTheme="majorHAnsi" w:cs="Arial"/>
                <w:color w:val="000000"/>
                <w:sz w:val="16"/>
                <w:szCs w:val="16"/>
                <w:shd w:val="clear" w:color="auto" w:fill="FFFFFF"/>
              </w:rPr>
              <w:t>144.49</w:t>
            </w:r>
            <w:r w:rsidR="00F90D77">
              <w:rPr>
                <w:rFonts w:asciiTheme="majorHAnsi" w:hAnsiTheme="majorHAnsi" w:cs="Arial"/>
                <w:color w:val="000000"/>
                <w:sz w:val="16"/>
                <w:szCs w:val="16"/>
                <w:shd w:val="clear" w:color="auto" w:fill="FFFFFF"/>
              </w:rPr>
              <w:t>/</w:t>
            </w:r>
            <w:r w:rsidR="00070A2C">
              <w:rPr>
                <w:rFonts w:asciiTheme="majorHAnsi" w:hAnsiTheme="majorHAnsi" w:cs="Arial"/>
                <w:color w:val="000000"/>
                <w:sz w:val="16"/>
                <w:szCs w:val="16"/>
                <w:shd w:val="clear" w:color="auto" w:fill="FFFFFF"/>
              </w:rPr>
              <w:t>93.99</w:t>
            </w:r>
          </w:p>
        </w:tc>
        <w:tc>
          <w:tcPr>
            <w:tcW w:w="3150" w:type="dxa"/>
          </w:tcPr>
          <w:p w14:paraId="461A4200" w14:textId="21678EBB" w:rsidR="00E8555E" w:rsidRPr="00D9079F" w:rsidRDefault="00E8555E" w:rsidP="00E8555E">
            <w:pPr>
              <w:rPr>
                <w:rFonts w:asciiTheme="majorHAnsi" w:hAnsiTheme="majorHAnsi"/>
                <w:sz w:val="16"/>
                <w:szCs w:val="16"/>
              </w:rPr>
            </w:pPr>
            <w:r w:rsidRPr="00D9079F">
              <w:rPr>
                <w:rFonts w:asciiTheme="majorHAnsi" w:hAnsiTheme="majorHAnsi"/>
                <w:sz w:val="16"/>
                <w:szCs w:val="16"/>
              </w:rPr>
              <w:t xml:space="preserve">TTM P/E: </w:t>
            </w:r>
            <w:r w:rsidR="00070A2C">
              <w:rPr>
                <w:rFonts w:asciiTheme="majorHAnsi" w:hAnsiTheme="majorHAnsi"/>
                <w:sz w:val="16"/>
                <w:szCs w:val="16"/>
              </w:rPr>
              <w:t>28.93</w:t>
            </w:r>
          </w:p>
          <w:p w14:paraId="4BB1D830" w14:textId="3200618A" w:rsidR="00AF471E" w:rsidRDefault="00AF2158" w:rsidP="00AF471E">
            <w:pPr>
              <w:rPr>
                <w:rFonts w:asciiTheme="majorHAnsi" w:hAnsiTheme="majorHAnsi"/>
                <w:sz w:val="16"/>
                <w:szCs w:val="16"/>
              </w:rPr>
            </w:pPr>
            <w:r>
              <w:rPr>
                <w:rFonts w:asciiTheme="majorHAnsi" w:hAnsiTheme="majorHAnsi"/>
                <w:sz w:val="16"/>
                <w:szCs w:val="16"/>
              </w:rPr>
              <w:t xml:space="preserve">Forward P/E: </w:t>
            </w:r>
          </w:p>
          <w:p w14:paraId="5AA3FEF7" w14:textId="731D7A7C" w:rsidR="006E44B8" w:rsidRPr="00D9079F" w:rsidRDefault="00E8555E" w:rsidP="00070A2C">
            <w:pPr>
              <w:rPr>
                <w:rFonts w:asciiTheme="majorHAnsi" w:hAnsiTheme="majorHAnsi"/>
                <w:sz w:val="16"/>
                <w:szCs w:val="16"/>
              </w:rPr>
            </w:pPr>
            <w:r w:rsidRPr="00D9079F">
              <w:rPr>
                <w:rFonts w:asciiTheme="majorHAnsi" w:hAnsiTheme="majorHAnsi"/>
                <w:sz w:val="16"/>
                <w:szCs w:val="16"/>
              </w:rPr>
              <w:t xml:space="preserve">EPS: </w:t>
            </w:r>
            <w:r w:rsidR="00E60A49" w:rsidRPr="00D9079F">
              <w:rPr>
                <w:rFonts w:asciiTheme="majorHAnsi" w:hAnsiTheme="majorHAnsi"/>
                <w:sz w:val="16"/>
                <w:szCs w:val="16"/>
              </w:rPr>
              <w:t>$</w:t>
            </w:r>
            <w:r w:rsidR="00070A2C">
              <w:rPr>
                <w:rFonts w:asciiTheme="majorHAnsi" w:hAnsiTheme="majorHAnsi"/>
                <w:sz w:val="16"/>
                <w:szCs w:val="16"/>
              </w:rPr>
              <w:t>3.74</w:t>
            </w:r>
          </w:p>
        </w:tc>
        <w:tc>
          <w:tcPr>
            <w:tcW w:w="2160" w:type="dxa"/>
            <w:shd w:val="clear" w:color="auto" w:fill="auto"/>
          </w:tcPr>
          <w:p w14:paraId="25238E11" w14:textId="159AFD13" w:rsidR="00E8555E" w:rsidRPr="00AC6A2C" w:rsidRDefault="00923CAB" w:rsidP="00E8555E">
            <w:pPr>
              <w:rPr>
                <w:rFonts w:asciiTheme="majorHAnsi" w:hAnsiTheme="majorHAnsi"/>
                <w:sz w:val="16"/>
                <w:szCs w:val="16"/>
              </w:rPr>
            </w:pPr>
            <w:r w:rsidRPr="00F5552B">
              <w:rPr>
                <w:rFonts w:asciiTheme="majorHAnsi" w:hAnsiTheme="majorHAnsi"/>
                <w:sz w:val="16"/>
                <w:szCs w:val="16"/>
              </w:rPr>
              <w:t xml:space="preserve">Beta: </w:t>
            </w:r>
            <w:r w:rsidR="008938FE">
              <w:rPr>
                <w:rFonts w:asciiTheme="majorHAnsi" w:hAnsiTheme="majorHAnsi"/>
                <w:sz w:val="16"/>
                <w:szCs w:val="16"/>
              </w:rPr>
              <w:t>.97</w:t>
            </w:r>
            <w:r w:rsidR="00925975" w:rsidRPr="00F5552B">
              <w:rPr>
                <w:rFonts w:asciiTheme="majorHAnsi" w:hAnsiTheme="majorHAnsi"/>
                <w:sz w:val="16"/>
                <w:szCs w:val="16"/>
              </w:rPr>
              <w:t xml:space="preserve"> (Bloomberg)</w:t>
            </w:r>
          </w:p>
          <w:p w14:paraId="668080B0" w14:textId="7297D61F" w:rsidR="00E60A49" w:rsidRPr="008C7FEA" w:rsidRDefault="00E8555E" w:rsidP="00E60A49">
            <w:pPr>
              <w:rPr>
                <w:rFonts w:asciiTheme="majorHAnsi" w:hAnsiTheme="majorHAnsi"/>
                <w:sz w:val="16"/>
                <w:szCs w:val="16"/>
              </w:rPr>
            </w:pPr>
            <w:r w:rsidRPr="00AC6A2C">
              <w:rPr>
                <w:rFonts w:asciiTheme="majorHAnsi" w:hAnsiTheme="majorHAnsi"/>
                <w:sz w:val="16"/>
                <w:szCs w:val="16"/>
              </w:rPr>
              <w:t>Credit Rating:</w:t>
            </w:r>
            <w:r w:rsidR="00743904" w:rsidRPr="00AC6A2C">
              <w:rPr>
                <w:rFonts w:asciiTheme="majorHAnsi" w:hAnsiTheme="majorHAnsi"/>
                <w:sz w:val="16"/>
                <w:szCs w:val="16"/>
              </w:rPr>
              <w:t xml:space="preserve"> </w:t>
            </w:r>
            <w:r w:rsidR="00CD7EF5">
              <w:rPr>
                <w:rFonts w:asciiTheme="majorHAnsi" w:hAnsiTheme="majorHAnsi"/>
                <w:sz w:val="16"/>
                <w:szCs w:val="16"/>
              </w:rPr>
              <w:t>BBB+</w:t>
            </w:r>
            <w:r w:rsidR="008C7FEA" w:rsidRPr="008C7FEA">
              <w:rPr>
                <w:rFonts w:asciiTheme="majorHAnsi" w:hAnsiTheme="majorHAnsi"/>
                <w:sz w:val="16"/>
                <w:szCs w:val="16"/>
              </w:rPr>
              <w:t xml:space="preserve"> (</w:t>
            </w:r>
            <w:r w:rsidR="00CD7EF5">
              <w:rPr>
                <w:rFonts w:asciiTheme="majorHAnsi" w:hAnsiTheme="majorHAnsi"/>
                <w:sz w:val="16"/>
                <w:szCs w:val="16"/>
              </w:rPr>
              <w:t>Fitch</w:t>
            </w:r>
            <w:r w:rsidR="00AC6A2C" w:rsidRPr="008C7FEA">
              <w:rPr>
                <w:rFonts w:asciiTheme="majorHAnsi" w:hAnsiTheme="majorHAnsi"/>
                <w:sz w:val="16"/>
                <w:szCs w:val="16"/>
              </w:rPr>
              <w:t>)</w:t>
            </w:r>
          </w:p>
          <w:p w14:paraId="5BFE3D7B" w14:textId="47B00098" w:rsidR="003073EA" w:rsidRPr="00AC6A2C" w:rsidRDefault="003073EA" w:rsidP="00CD7EF5">
            <w:pPr>
              <w:rPr>
                <w:rFonts w:asciiTheme="majorHAnsi" w:hAnsiTheme="majorHAnsi"/>
                <w:sz w:val="16"/>
                <w:szCs w:val="16"/>
                <w:highlight w:val="yellow"/>
              </w:rPr>
            </w:pPr>
            <w:r w:rsidRPr="008C7FEA">
              <w:rPr>
                <w:rFonts w:asciiTheme="majorHAnsi" w:hAnsiTheme="majorHAnsi"/>
                <w:sz w:val="16"/>
                <w:szCs w:val="16"/>
              </w:rPr>
              <w:t>Rating Outloo</w:t>
            </w:r>
            <w:r w:rsidRPr="00AC6A2C">
              <w:rPr>
                <w:rFonts w:asciiTheme="majorHAnsi" w:hAnsiTheme="majorHAnsi"/>
                <w:sz w:val="16"/>
                <w:szCs w:val="16"/>
              </w:rPr>
              <w:t xml:space="preserve">k: </w:t>
            </w:r>
            <w:r w:rsidR="00CD7EF5">
              <w:rPr>
                <w:rFonts w:asciiTheme="majorHAnsi" w:hAnsiTheme="majorHAnsi"/>
                <w:sz w:val="16"/>
                <w:szCs w:val="16"/>
              </w:rPr>
              <w:t>stable</w:t>
            </w:r>
          </w:p>
        </w:tc>
        <w:tc>
          <w:tcPr>
            <w:tcW w:w="3240" w:type="dxa"/>
          </w:tcPr>
          <w:p w14:paraId="438980BC" w14:textId="242C04B3" w:rsidR="006E44B8" w:rsidRPr="00D9079F" w:rsidRDefault="0013332F">
            <w:pPr>
              <w:rPr>
                <w:rFonts w:asciiTheme="majorHAnsi" w:hAnsiTheme="majorHAnsi"/>
                <w:sz w:val="16"/>
                <w:szCs w:val="16"/>
              </w:rPr>
            </w:pPr>
            <w:r w:rsidRPr="00D9079F">
              <w:rPr>
                <w:rFonts w:asciiTheme="majorHAnsi" w:hAnsiTheme="majorHAnsi"/>
                <w:sz w:val="16"/>
                <w:szCs w:val="16"/>
              </w:rPr>
              <w:t xml:space="preserve">Market Cap: </w:t>
            </w:r>
            <w:r w:rsidR="00743904" w:rsidRPr="00D9079F">
              <w:rPr>
                <w:rFonts w:asciiTheme="majorHAnsi" w:hAnsiTheme="majorHAnsi"/>
                <w:sz w:val="16"/>
                <w:szCs w:val="16"/>
              </w:rPr>
              <w:t>$</w:t>
            </w:r>
            <w:r w:rsidR="00070A2C">
              <w:rPr>
                <w:rFonts w:asciiTheme="majorHAnsi" w:hAnsiTheme="majorHAnsi"/>
                <w:sz w:val="16"/>
                <w:szCs w:val="16"/>
              </w:rPr>
              <w:t>17.2</w:t>
            </w:r>
            <w:r w:rsidR="0021182D">
              <w:rPr>
                <w:rFonts w:asciiTheme="majorHAnsi" w:hAnsiTheme="majorHAnsi"/>
                <w:sz w:val="16"/>
                <w:szCs w:val="16"/>
              </w:rPr>
              <w:t>b</w:t>
            </w:r>
          </w:p>
          <w:p w14:paraId="37B82920" w14:textId="2E53CB8A" w:rsidR="00C441B3" w:rsidRPr="00D9079F" w:rsidRDefault="004E1936">
            <w:pPr>
              <w:rPr>
                <w:rFonts w:asciiTheme="majorHAnsi" w:hAnsiTheme="majorHAnsi"/>
                <w:sz w:val="16"/>
                <w:szCs w:val="16"/>
              </w:rPr>
            </w:pPr>
            <w:r>
              <w:rPr>
                <w:rFonts w:asciiTheme="majorHAnsi" w:hAnsiTheme="majorHAnsi" w:cs="UniversLTStd-BoldCn"/>
                <w:bCs/>
                <w:sz w:val="16"/>
                <w:szCs w:val="16"/>
              </w:rPr>
              <w:t>Avg Vol</w:t>
            </w:r>
            <w:r w:rsidR="00BF2DE5" w:rsidRPr="00D9079F">
              <w:rPr>
                <w:rFonts w:asciiTheme="majorHAnsi" w:hAnsiTheme="majorHAnsi" w:cs="UniversLTStd-BoldCn"/>
                <w:bCs/>
                <w:sz w:val="16"/>
                <w:szCs w:val="16"/>
              </w:rPr>
              <w:t>:</w:t>
            </w:r>
            <w:r w:rsidR="00743904" w:rsidRPr="00D9079F">
              <w:rPr>
                <w:rFonts w:asciiTheme="majorHAnsi" w:hAnsiTheme="majorHAnsi" w:cs="UniversLTStd-BoldCn"/>
                <w:bCs/>
                <w:sz w:val="16"/>
                <w:szCs w:val="16"/>
              </w:rPr>
              <w:t xml:space="preserve"> </w:t>
            </w:r>
            <w:r>
              <w:rPr>
                <w:rFonts w:asciiTheme="majorHAnsi" w:hAnsiTheme="majorHAnsi" w:cs="UniversLTStd-BoldCn"/>
                <w:bCs/>
                <w:sz w:val="16"/>
                <w:szCs w:val="16"/>
              </w:rPr>
              <w:t>947,095</w:t>
            </w:r>
          </w:p>
          <w:p w14:paraId="0D1C791A" w14:textId="5A39B831" w:rsidR="00E5675C" w:rsidRPr="00D9079F" w:rsidRDefault="00E5675C" w:rsidP="00852DFB">
            <w:pPr>
              <w:rPr>
                <w:rFonts w:asciiTheme="majorHAnsi" w:hAnsiTheme="majorHAnsi"/>
                <w:sz w:val="16"/>
                <w:szCs w:val="16"/>
              </w:rPr>
            </w:pPr>
            <w:r w:rsidRPr="00D9079F">
              <w:rPr>
                <w:rFonts w:asciiTheme="majorHAnsi" w:hAnsiTheme="majorHAnsi"/>
                <w:sz w:val="16"/>
                <w:szCs w:val="16"/>
              </w:rPr>
              <w:t xml:space="preserve">Dividend Yield: </w:t>
            </w:r>
            <w:r w:rsidR="00CD7EF5">
              <w:rPr>
                <w:rFonts w:asciiTheme="majorHAnsi" w:hAnsiTheme="majorHAnsi"/>
                <w:sz w:val="16"/>
                <w:szCs w:val="16"/>
              </w:rPr>
              <w:t>3.4</w:t>
            </w:r>
            <w:r w:rsidR="00743904" w:rsidRPr="00D9079F">
              <w:rPr>
                <w:rFonts w:asciiTheme="majorHAnsi" w:hAnsiTheme="majorHAnsi"/>
                <w:sz w:val="16"/>
                <w:szCs w:val="16"/>
              </w:rPr>
              <w:t>%</w:t>
            </w:r>
            <w:r w:rsidR="00CD7EF5">
              <w:rPr>
                <w:rFonts w:asciiTheme="majorHAnsi" w:hAnsiTheme="majorHAnsi"/>
                <w:sz w:val="16"/>
                <w:szCs w:val="16"/>
              </w:rPr>
              <w:t xml:space="preserve"> (including special dvd)</w:t>
            </w:r>
          </w:p>
        </w:tc>
      </w:tr>
    </w:tbl>
    <w:p w14:paraId="4F402887" w14:textId="4198B064" w:rsidR="00443ED9" w:rsidRPr="00D9079F" w:rsidRDefault="00852DFB" w:rsidP="005E114B">
      <w:pPr>
        <w:rPr>
          <w:rFonts w:asciiTheme="majorHAnsi" w:hAnsiTheme="majorHAnsi"/>
          <w:sz w:val="16"/>
          <w:szCs w:val="16"/>
        </w:rPr>
      </w:pPr>
      <w:r>
        <w:rPr>
          <w:rFonts w:asciiTheme="majorHAnsi" w:hAnsiTheme="majorHAnsi"/>
          <w:sz w:val="16"/>
          <w:szCs w:val="16"/>
        </w:rPr>
        <w:tab/>
      </w: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6FDDA7DB" w:rsidR="00852DFB" w:rsidRPr="00D9079F" w:rsidRDefault="006A7E5F" w:rsidP="006A7E5F">
            <w:pPr>
              <w:rPr>
                <w:rFonts w:asciiTheme="majorHAnsi" w:hAnsiTheme="majorHAnsi"/>
                <w:sz w:val="16"/>
                <w:szCs w:val="18"/>
              </w:rPr>
            </w:pPr>
            <w:r>
              <w:rPr>
                <w:rFonts w:asciiTheme="majorHAnsi" w:hAnsiTheme="majorHAnsi" w:cs="Arial"/>
                <w:color w:val="000000"/>
                <w:sz w:val="16"/>
                <w:szCs w:val="18"/>
                <w:shd w:val="clear" w:color="auto" w:fill="FFFFFF"/>
              </w:rPr>
              <w:t>Boston Properties, Inc. is this largest by market cap public office REIT.  They are</w:t>
            </w:r>
            <w:r w:rsidRPr="006A7E5F">
              <w:rPr>
                <w:rFonts w:asciiTheme="majorHAnsi" w:hAnsiTheme="majorHAnsi" w:cs="Arial"/>
                <w:color w:val="000000"/>
                <w:sz w:val="16"/>
                <w:szCs w:val="18"/>
                <w:shd w:val="clear" w:color="auto" w:fill="FFFFFF"/>
              </w:rPr>
              <w:t xml:space="preserve"> fully integrated</w:t>
            </w:r>
            <w:r>
              <w:rPr>
                <w:rFonts w:asciiTheme="majorHAnsi" w:hAnsiTheme="majorHAnsi" w:cs="Arial"/>
                <w:color w:val="000000"/>
                <w:sz w:val="16"/>
                <w:szCs w:val="18"/>
                <w:shd w:val="clear" w:color="auto" w:fill="FFFFFF"/>
              </w:rPr>
              <w:t xml:space="preserve"> </w:t>
            </w:r>
            <w:r w:rsidRPr="006A7E5F">
              <w:rPr>
                <w:rFonts w:asciiTheme="majorHAnsi" w:hAnsiTheme="majorHAnsi" w:cs="Arial"/>
                <w:color w:val="000000"/>
                <w:sz w:val="16"/>
                <w:szCs w:val="18"/>
                <w:shd w:val="clear" w:color="auto" w:fill="FFFFFF"/>
              </w:rPr>
              <w:t xml:space="preserve">and self-managed </w:t>
            </w:r>
            <w:r>
              <w:rPr>
                <w:rFonts w:asciiTheme="majorHAnsi" w:hAnsiTheme="majorHAnsi" w:cs="Arial"/>
                <w:color w:val="000000"/>
                <w:sz w:val="16"/>
                <w:szCs w:val="18"/>
                <w:shd w:val="clear" w:color="auto" w:fill="FFFFFF"/>
              </w:rPr>
              <w:t xml:space="preserve">with a portfolio that is largely focused on very high quality </w:t>
            </w:r>
            <w:r w:rsidRPr="006A7E5F">
              <w:rPr>
                <w:rFonts w:asciiTheme="majorHAnsi" w:hAnsiTheme="majorHAnsi" w:cs="Arial"/>
                <w:color w:val="000000"/>
                <w:sz w:val="16"/>
                <w:szCs w:val="18"/>
                <w:shd w:val="clear" w:color="auto" w:fill="FFFFFF"/>
              </w:rPr>
              <w:t>class-A office space</w:t>
            </w:r>
            <w:r>
              <w:rPr>
                <w:rFonts w:asciiTheme="majorHAnsi" w:hAnsiTheme="majorHAnsi" w:cs="Arial"/>
                <w:color w:val="000000"/>
                <w:sz w:val="16"/>
                <w:szCs w:val="18"/>
                <w:shd w:val="clear" w:color="auto" w:fill="FFFFFF"/>
              </w:rPr>
              <w:t xml:space="preserve"> with a small percentage of revenue coming from hotel, residential and retail properties</w:t>
            </w:r>
            <w:r w:rsidRPr="006A7E5F">
              <w:rPr>
                <w:rFonts w:asciiTheme="majorHAnsi" w:hAnsiTheme="majorHAnsi" w:cs="Arial"/>
                <w:color w:val="000000"/>
                <w:sz w:val="16"/>
                <w:szCs w:val="18"/>
                <w:shd w:val="clear" w:color="auto" w:fill="FFFFFF"/>
              </w:rPr>
              <w:t>.</w:t>
            </w:r>
            <w:r>
              <w:rPr>
                <w:rFonts w:asciiTheme="majorHAnsi" w:hAnsiTheme="majorHAnsi" w:cs="Arial"/>
                <w:color w:val="000000"/>
                <w:sz w:val="16"/>
                <w:szCs w:val="18"/>
                <w:shd w:val="clear" w:color="auto" w:fill="FFFFFF"/>
              </w:rPr>
              <w:t xml:space="preserve"> The company’s market </w:t>
            </w:r>
            <w:r w:rsidRPr="006A7E5F">
              <w:rPr>
                <w:rFonts w:asciiTheme="majorHAnsi" w:hAnsiTheme="majorHAnsi" w:cs="Arial"/>
                <w:color w:val="000000"/>
                <w:sz w:val="16"/>
                <w:szCs w:val="18"/>
                <w:shd w:val="clear" w:color="auto" w:fill="FFFFFF"/>
              </w:rPr>
              <w:t xml:space="preserve">is concentrated in </w:t>
            </w:r>
            <w:r>
              <w:rPr>
                <w:rFonts w:asciiTheme="majorHAnsi" w:hAnsiTheme="majorHAnsi" w:cs="Arial"/>
                <w:color w:val="000000"/>
                <w:sz w:val="16"/>
                <w:szCs w:val="18"/>
                <w:shd w:val="clear" w:color="auto" w:fill="FFFFFF"/>
              </w:rPr>
              <w:t>Boston,</w:t>
            </w:r>
            <w:r w:rsidRPr="006A7E5F">
              <w:rPr>
                <w:rFonts w:asciiTheme="majorHAnsi" w:hAnsiTheme="majorHAnsi" w:cs="Arial"/>
                <w:color w:val="000000"/>
                <w:sz w:val="16"/>
                <w:szCs w:val="18"/>
                <w:shd w:val="clear" w:color="auto" w:fill="FFFFFF"/>
              </w:rPr>
              <w:t xml:space="preserve"> Washington,</w:t>
            </w:r>
            <w:r>
              <w:rPr>
                <w:rFonts w:asciiTheme="majorHAnsi" w:hAnsiTheme="majorHAnsi" w:cs="Arial"/>
                <w:color w:val="000000"/>
                <w:sz w:val="16"/>
                <w:szCs w:val="18"/>
                <w:shd w:val="clear" w:color="auto" w:fill="FFFFFF"/>
              </w:rPr>
              <w:t xml:space="preserve"> DC and</w:t>
            </w:r>
            <w:r w:rsidRPr="006A7E5F">
              <w:rPr>
                <w:rFonts w:asciiTheme="majorHAnsi" w:hAnsiTheme="majorHAnsi" w:cs="Arial"/>
                <w:color w:val="000000"/>
                <w:sz w:val="16"/>
                <w:szCs w:val="18"/>
                <w:shd w:val="clear" w:color="auto" w:fill="FFFFFF"/>
              </w:rPr>
              <w:t xml:space="preserve"> midtown Manhattan</w:t>
            </w:r>
            <w:r>
              <w:rPr>
                <w:rFonts w:asciiTheme="majorHAnsi" w:hAnsiTheme="majorHAnsi" w:cs="Arial"/>
                <w:color w:val="000000"/>
                <w:sz w:val="16"/>
                <w:szCs w:val="18"/>
                <w:shd w:val="clear" w:color="auto" w:fill="FFFFFF"/>
              </w:rPr>
              <w:t>.</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1A48A7" w14:paraId="52C52C72" w14:textId="77777777" w:rsidTr="00DB5A10">
        <w:tc>
          <w:tcPr>
            <w:tcW w:w="11700" w:type="dxa"/>
          </w:tcPr>
          <w:p w14:paraId="6E182A3E" w14:textId="71D287F3" w:rsidR="00BB0E38" w:rsidRPr="0059647E" w:rsidRDefault="006A7E5F" w:rsidP="0059647E">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Class A office </w:t>
            </w:r>
            <w:r w:rsidR="003932CD">
              <w:rPr>
                <w:rFonts w:asciiTheme="majorHAnsi" w:hAnsiTheme="majorHAnsi" w:cs="Arial"/>
                <w:color w:val="000000"/>
                <w:sz w:val="16"/>
                <w:szCs w:val="18"/>
                <w:shd w:val="clear" w:color="auto" w:fill="FFFFFF"/>
              </w:rPr>
              <w:t>vacancies hav</w:t>
            </w:r>
            <w:bookmarkStart w:id="0" w:name="_GoBack"/>
            <w:bookmarkEnd w:id="0"/>
            <w:r w:rsidR="003932CD">
              <w:rPr>
                <w:rFonts w:asciiTheme="majorHAnsi" w:hAnsiTheme="majorHAnsi" w:cs="Arial"/>
                <w:color w:val="000000"/>
                <w:sz w:val="16"/>
                <w:szCs w:val="18"/>
                <w:shd w:val="clear" w:color="auto" w:fill="FFFFFF"/>
              </w:rPr>
              <w:t xml:space="preserve">e been dropping steadily, especially in the CBD markets BXP deals in </w:t>
            </w:r>
          </w:p>
          <w:p w14:paraId="18F2262E" w14:textId="650EFC17" w:rsidR="0059647E" w:rsidRPr="0059647E" w:rsidRDefault="00A27AE0" w:rsidP="0059647E">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Effective rents have also been sky rocketing in the markets BXP is focused in </w:t>
            </w:r>
          </w:p>
          <w:p w14:paraId="2219CC73" w14:textId="7705D1A2" w:rsidR="0059647E" w:rsidRPr="0059647E" w:rsidRDefault="00A27AE0" w:rsidP="0059647E">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Cap rates have also been on a declining meaning that there is more demand for these properties and decreasing potential yields</w:t>
            </w:r>
          </w:p>
        </w:tc>
      </w:tr>
      <w:tr w:rsidR="00DB5A10" w:rsidRPr="001A48A7" w14:paraId="6A32B295" w14:textId="77777777" w:rsidTr="00DB5A10">
        <w:tc>
          <w:tcPr>
            <w:tcW w:w="11700" w:type="dxa"/>
            <w:shd w:val="clear" w:color="auto" w:fill="365F91" w:themeFill="accent1" w:themeFillShade="BF"/>
          </w:tcPr>
          <w:p w14:paraId="22F69EB1" w14:textId="5B91B2A3" w:rsidR="00DB5A10" w:rsidRPr="0059647E" w:rsidRDefault="00DB5A10" w:rsidP="00DB5A10">
            <w:pPr>
              <w:tabs>
                <w:tab w:val="left" w:pos="3225"/>
              </w:tabs>
              <w:rPr>
                <w:rFonts w:asciiTheme="majorHAnsi" w:hAnsiTheme="majorHAnsi"/>
                <w:b/>
                <w:color w:val="FFFFFF" w:themeColor="background1"/>
                <w:sz w:val="16"/>
                <w:szCs w:val="18"/>
              </w:rPr>
            </w:pPr>
            <w:r w:rsidRPr="0059647E">
              <w:rPr>
                <w:rFonts w:asciiTheme="majorHAnsi" w:hAnsiTheme="majorHAnsi"/>
                <w:b/>
                <w:color w:val="FFFFFF" w:themeColor="background1"/>
                <w:sz w:val="16"/>
                <w:szCs w:val="18"/>
              </w:rPr>
              <w:t>Investment Thesis:</w:t>
            </w:r>
            <w:r w:rsidRPr="0059647E">
              <w:rPr>
                <w:rFonts w:asciiTheme="majorHAnsi" w:hAnsiTheme="majorHAnsi"/>
                <w:b/>
                <w:color w:val="FFFFFF" w:themeColor="background1"/>
                <w:sz w:val="16"/>
                <w:szCs w:val="18"/>
              </w:rPr>
              <w:tab/>
            </w:r>
          </w:p>
        </w:tc>
      </w:tr>
      <w:tr w:rsidR="00DB5A10" w:rsidRPr="001A48A7" w14:paraId="4F0CBDAD" w14:textId="77777777" w:rsidTr="00DB5A10">
        <w:tc>
          <w:tcPr>
            <w:tcW w:w="11700" w:type="dxa"/>
          </w:tcPr>
          <w:p w14:paraId="39EF4A3D" w14:textId="3531ED92" w:rsidR="00581B35" w:rsidRPr="00230BFF" w:rsidRDefault="00A27AE0" w:rsidP="0000557E">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BXP is an especially good at managing their capital.  This means developing and buying in market downturns and selling on upswings.  Just today with they sold a property for $105 million, a price supported by these low market cap rates.</w:t>
            </w:r>
            <w:r w:rsidR="00841679">
              <w:rPr>
                <w:rFonts w:asciiTheme="majorHAnsi" w:hAnsiTheme="majorHAnsi" w:cs="Arial"/>
                <w:color w:val="000000"/>
                <w:sz w:val="16"/>
                <w:szCs w:val="18"/>
                <w:shd w:val="clear" w:color="auto" w:fill="FFFFFF"/>
              </w:rPr>
              <w:t xml:space="preserve"> Look for BXP to continue selling in the hot market and perhaps repeat another strong special dividend come December </w:t>
            </w:r>
            <w:r w:rsidR="00130415">
              <w:rPr>
                <w:rFonts w:asciiTheme="majorHAnsi" w:hAnsiTheme="majorHAnsi" w:cs="Arial"/>
                <w:color w:val="000000"/>
                <w:sz w:val="16"/>
                <w:szCs w:val="18"/>
                <w:shd w:val="clear" w:color="auto" w:fill="FFFFFF"/>
              </w:rPr>
              <w:t xml:space="preserve"> </w:t>
            </w:r>
          </w:p>
          <w:p w14:paraId="27A3B91F" w14:textId="1511B06A" w:rsidR="0000557E" w:rsidRDefault="00A27AE0" w:rsidP="00230BFF">
            <w:pPr>
              <w:pStyle w:val="ListParagraph"/>
              <w:numPr>
                <w:ilvl w:val="0"/>
                <w:numId w:val="7"/>
              </w:numPr>
              <w:rPr>
                <w:rFonts w:asciiTheme="majorHAnsi" w:hAnsiTheme="majorHAnsi"/>
                <w:sz w:val="16"/>
                <w:szCs w:val="18"/>
              </w:rPr>
            </w:pPr>
            <w:r>
              <w:rPr>
                <w:rFonts w:asciiTheme="majorHAnsi" w:hAnsiTheme="majorHAnsi"/>
                <w:sz w:val="16"/>
                <w:szCs w:val="18"/>
              </w:rPr>
              <w:t xml:space="preserve">A majority of their assets are unencumbered by debt putting them in a great position </w:t>
            </w:r>
            <w:r w:rsidR="00130415">
              <w:rPr>
                <w:rFonts w:asciiTheme="majorHAnsi" w:hAnsiTheme="majorHAnsi"/>
                <w:sz w:val="16"/>
                <w:szCs w:val="18"/>
              </w:rPr>
              <w:t>to</w:t>
            </w:r>
            <w:r>
              <w:rPr>
                <w:rFonts w:asciiTheme="majorHAnsi" w:hAnsiTheme="majorHAnsi"/>
                <w:sz w:val="16"/>
                <w:szCs w:val="18"/>
              </w:rPr>
              <w:t xml:space="preserve"> refinance the </w:t>
            </w:r>
            <w:r w:rsidR="00130415">
              <w:rPr>
                <w:rFonts w:asciiTheme="majorHAnsi" w:hAnsiTheme="majorHAnsi"/>
                <w:sz w:val="16"/>
                <w:szCs w:val="18"/>
              </w:rPr>
              <w:t>costlier</w:t>
            </w:r>
            <w:r>
              <w:rPr>
                <w:rFonts w:asciiTheme="majorHAnsi" w:hAnsiTheme="majorHAnsi"/>
                <w:sz w:val="16"/>
                <w:szCs w:val="18"/>
              </w:rPr>
              <w:t xml:space="preserve"> debt on their books to take advantage of the continued low rates</w:t>
            </w:r>
          </w:p>
          <w:p w14:paraId="35F9E681" w14:textId="018DFC88" w:rsidR="00A27AE0" w:rsidRPr="00230BFF" w:rsidRDefault="00A27AE0" w:rsidP="00230BFF">
            <w:pPr>
              <w:pStyle w:val="ListParagraph"/>
              <w:numPr>
                <w:ilvl w:val="0"/>
                <w:numId w:val="7"/>
              </w:numPr>
              <w:rPr>
                <w:rFonts w:asciiTheme="majorHAnsi" w:hAnsiTheme="majorHAnsi"/>
                <w:sz w:val="16"/>
                <w:szCs w:val="18"/>
              </w:rPr>
            </w:pPr>
            <w:r>
              <w:rPr>
                <w:rFonts w:asciiTheme="majorHAnsi" w:hAnsiTheme="majorHAnsi"/>
                <w:sz w:val="16"/>
                <w:szCs w:val="18"/>
              </w:rPr>
              <w:t xml:space="preserve">Despite vacancy rates improving overall BXP’s vacancy rates still have room to improve.  This is favorable because of the trend of market rents, making same store rent increases an intriguing factor moving forward </w:t>
            </w:r>
          </w:p>
        </w:tc>
      </w:tr>
      <w:tr w:rsidR="00DB5A10" w:rsidRPr="001A48A7" w14:paraId="3604FAC8" w14:textId="77777777" w:rsidTr="00DB5A10">
        <w:tc>
          <w:tcPr>
            <w:tcW w:w="11700" w:type="dxa"/>
            <w:shd w:val="clear" w:color="auto" w:fill="365F91" w:themeFill="accent1" w:themeFillShade="BF"/>
          </w:tcPr>
          <w:p w14:paraId="36D57562" w14:textId="69893D12" w:rsidR="00DB5A10" w:rsidRPr="0059647E" w:rsidRDefault="00DB5A10" w:rsidP="00DB5A10">
            <w:pPr>
              <w:tabs>
                <w:tab w:val="left" w:pos="2235"/>
              </w:tabs>
              <w:rPr>
                <w:rFonts w:asciiTheme="majorHAnsi" w:hAnsiTheme="majorHAnsi"/>
                <w:sz w:val="16"/>
                <w:szCs w:val="18"/>
              </w:rPr>
            </w:pPr>
            <w:r w:rsidRPr="0059647E">
              <w:rPr>
                <w:rFonts w:asciiTheme="majorHAnsi" w:hAnsiTheme="majorHAnsi"/>
                <w:b/>
                <w:color w:val="FFFFFF" w:themeColor="background1"/>
                <w:sz w:val="16"/>
                <w:szCs w:val="18"/>
              </w:rPr>
              <w:t>Investment Risks:</w:t>
            </w:r>
            <w:r w:rsidRPr="0059647E">
              <w:rPr>
                <w:rFonts w:asciiTheme="majorHAnsi" w:hAnsiTheme="majorHAnsi"/>
                <w:b/>
                <w:color w:val="FFFFFF" w:themeColor="background1"/>
                <w:sz w:val="16"/>
                <w:szCs w:val="18"/>
              </w:rPr>
              <w:tab/>
            </w:r>
          </w:p>
        </w:tc>
      </w:tr>
      <w:tr w:rsidR="00DB5A10" w:rsidRPr="001A48A7" w14:paraId="7051B972" w14:textId="77777777" w:rsidTr="00DB5A10">
        <w:tc>
          <w:tcPr>
            <w:tcW w:w="11700" w:type="dxa"/>
          </w:tcPr>
          <w:p w14:paraId="48D03E44" w14:textId="129BADD3" w:rsidR="00130415" w:rsidRPr="00130415" w:rsidRDefault="00130415" w:rsidP="00130415">
            <w:pPr>
              <w:pStyle w:val="ListParagraph"/>
              <w:numPr>
                <w:ilvl w:val="0"/>
                <w:numId w:val="7"/>
              </w:numPr>
              <w:rPr>
                <w:rFonts w:asciiTheme="majorHAnsi" w:hAnsiTheme="majorHAnsi"/>
                <w:sz w:val="16"/>
                <w:szCs w:val="18"/>
              </w:rPr>
            </w:pPr>
            <w:r>
              <w:rPr>
                <w:rFonts w:asciiTheme="majorHAnsi" w:hAnsiTheme="majorHAnsi" w:cs="Arial"/>
                <w:color w:val="000000"/>
                <w:sz w:val="16"/>
                <w:szCs w:val="18"/>
                <w:shd w:val="clear" w:color="auto" w:fill="FFFFFF"/>
              </w:rPr>
              <w:t>A</w:t>
            </w:r>
            <w:r w:rsidR="00A27AE0">
              <w:rPr>
                <w:rFonts w:asciiTheme="majorHAnsi" w:hAnsiTheme="majorHAnsi" w:cs="Arial"/>
                <w:color w:val="000000"/>
                <w:sz w:val="16"/>
                <w:szCs w:val="18"/>
                <w:shd w:val="clear" w:color="auto" w:fill="FFFFFF"/>
              </w:rPr>
              <w:t>s a whole</w:t>
            </w:r>
            <w:r>
              <w:rPr>
                <w:rFonts w:asciiTheme="majorHAnsi" w:hAnsiTheme="majorHAnsi" w:cs="Arial"/>
                <w:color w:val="000000"/>
                <w:sz w:val="16"/>
                <w:szCs w:val="18"/>
                <w:shd w:val="clear" w:color="auto" w:fill="FFFFFF"/>
              </w:rPr>
              <w:t xml:space="preserve"> the company has a greater </w:t>
            </w:r>
            <w:r w:rsidR="00A27AE0">
              <w:rPr>
                <w:rFonts w:asciiTheme="majorHAnsi" w:hAnsiTheme="majorHAnsi" w:cs="Arial"/>
                <w:color w:val="000000"/>
                <w:sz w:val="16"/>
                <w:szCs w:val="18"/>
                <w:shd w:val="clear" w:color="auto" w:fill="FFFFFF"/>
              </w:rPr>
              <w:t xml:space="preserve">than industry average amount of debt.  This won’t be as big an issue as long as the economy </w:t>
            </w:r>
            <w:r>
              <w:rPr>
                <w:rFonts w:asciiTheme="majorHAnsi" w:hAnsiTheme="majorHAnsi" w:cs="Arial"/>
                <w:color w:val="000000"/>
                <w:sz w:val="16"/>
                <w:szCs w:val="18"/>
                <w:shd w:val="clear" w:color="auto" w:fill="FFFFFF"/>
              </w:rPr>
              <w:t>stays on its good recovery pace.  If matters change for the worse then BXP could find itself in a difficult working capital position in 3 years’ time, as they have sufficient C &amp; CE at the moment</w:t>
            </w:r>
          </w:p>
          <w:p w14:paraId="78159DC0" w14:textId="0B9A7952" w:rsidR="004F5B56" w:rsidRPr="00FD34FE" w:rsidRDefault="00130415" w:rsidP="00130415">
            <w:pPr>
              <w:pStyle w:val="ListParagraph"/>
              <w:numPr>
                <w:ilvl w:val="0"/>
                <w:numId w:val="7"/>
              </w:numPr>
              <w:rPr>
                <w:rFonts w:asciiTheme="majorHAnsi" w:hAnsiTheme="majorHAnsi"/>
                <w:sz w:val="16"/>
                <w:szCs w:val="18"/>
              </w:rPr>
            </w:pPr>
            <w:r>
              <w:rPr>
                <w:rFonts w:asciiTheme="majorHAnsi" w:hAnsiTheme="majorHAnsi"/>
                <w:sz w:val="16"/>
                <w:szCs w:val="18"/>
              </w:rPr>
              <w:t>As with all REITs investors are yield seeking, meaning when rates rise there is typically a reactionary sell off.  Exiting the position should be timed appropriately.</w:t>
            </w:r>
          </w:p>
        </w:tc>
      </w:tr>
      <w:tr w:rsidR="00DB5A10" w:rsidRPr="001A48A7" w14:paraId="76F577E7" w14:textId="77777777" w:rsidTr="00DB5A10">
        <w:tc>
          <w:tcPr>
            <w:tcW w:w="11700" w:type="dxa"/>
            <w:shd w:val="clear" w:color="auto" w:fill="365F91" w:themeFill="accent1" w:themeFillShade="BF"/>
          </w:tcPr>
          <w:p w14:paraId="0A443D6F" w14:textId="7BD4E877" w:rsidR="00DB5A10" w:rsidRPr="0059647E" w:rsidRDefault="00DB5A10" w:rsidP="00DB5A10">
            <w:pPr>
              <w:ind w:left="72"/>
              <w:jc w:val="both"/>
              <w:rPr>
                <w:rFonts w:asciiTheme="majorHAnsi" w:hAnsiTheme="majorHAnsi"/>
                <w:color w:val="FFFFFF" w:themeColor="background1"/>
                <w:sz w:val="16"/>
                <w:szCs w:val="18"/>
              </w:rPr>
            </w:pPr>
            <w:r w:rsidRPr="0059647E">
              <w:rPr>
                <w:rFonts w:asciiTheme="majorHAnsi" w:hAnsiTheme="majorHAnsi"/>
                <w:b/>
                <w:color w:val="FFFFFF" w:themeColor="background1"/>
                <w:sz w:val="16"/>
                <w:szCs w:val="18"/>
              </w:rPr>
              <w:t xml:space="preserve">3-5 take </w:t>
            </w:r>
            <w:r w:rsidR="00274740" w:rsidRPr="0059647E">
              <w:rPr>
                <w:rFonts w:asciiTheme="majorHAnsi" w:hAnsiTheme="majorHAnsi"/>
                <w:b/>
                <w:color w:val="FFFFFF" w:themeColor="background1"/>
                <w:sz w:val="16"/>
                <w:szCs w:val="18"/>
              </w:rPr>
              <w:t>away</w:t>
            </w:r>
            <w:r w:rsidRPr="0059647E">
              <w:rPr>
                <w:rFonts w:asciiTheme="majorHAnsi" w:hAnsiTheme="majorHAnsi"/>
                <w:b/>
                <w:color w:val="FFFFFF" w:themeColor="background1"/>
                <w:sz w:val="16"/>
                <w:szCs w:val="18"/>
              </w:rPr>
              <w:t xml:space="preserve"> from last quarter investor call transcript: </w:t>
            </w:r>
          </w:p>
        </w:tc>
      </w:tr>
      <w:tr w:rsidR="00DB5A10" w:rsidRPr="00D9079F" w14:paraId="75D76709" w14:textId="77777777" w:rsidTr="00DB5A10">
        <w:trPr>
          <w:trHeight w:val="70"/>
        </w:trPr>
        <w:tc>
          <w:tcPr>
            <w:tcW w:w="11700" w:type="dxa"/>
          </w:tcPr>
          <w:p w14:paraId="4028C2FB" w14:textId="4FE2CE58" w:rsidR="005A0D42" w:rsidRDefault="005A0D42" w:rsidP="00D672EC">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EPS beat estimates by $.01 at $1.28 and raised guidance for Q1 2016</w:t>
            </w:r>
          </w:p>
          <w:p w14:paraId="2B286F9D" w14:textId="3449D9E3" w:rsidR="005A0D42" w:rsidRDefault="005A0D42" w:rsidP="005A0D42">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Macro outlook looks moderate but good, Q4 2015 GDP had a slowdown</w:t>
            </w:r>
            <w:r w:rsidR="00841679">
              <w:rPr>
                <w:rFonts w:asciiTheme="majorHAnsi" w:hAnsiTheme="majorHAnsi" w:cs="Arial"/>
                <w:color w:val="000000"/>
                <w:sz w:val="16"/>
                <w:szCs w:val="18"/>
                <w:shd w:val="clear" w:color="auto" w:fill="FFFFFF"/>
              </w:rPr>
              <w:t xml:space="preserve"> and jobs figures were soft</w:t>
            </w:r>
          </w:p>
          <w:p w14:paraId="66882AC5" w14:textId="77E9E0BF" w:rsidR="00006C9A" w:rsidRDefault="00006C9A" w:rsidP="005A0D42">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 xml:space="preserve">Will continue strategy of selling non-core assets at attractive values while focusing on value add, the Kendall Center sale to MIT would represent approximately half of asset sales </w:t>
            </w:r>
          </w:p>
          <w:p w14:paraId="4205DC0B" w14:textId="23151060" w:rsidR="00925975" w:rsidRPr="00D672EC" w:rsidRDefault="00006C9A" w:rsidP="005A0D42">
            <w:pPr>
              <w:pStyle w:val="ListParagraph"/>
              <w:numPr>
                <w:ilvl w:val="0"/>
                <w:numId w:val="7"/>
              </w:num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Will deliver FFO growth through aggressive leasing strategies and adding new buildings through development</w:t>
            </w:r>
          </w:p>
        </w:tc>
      </w:tr>
    </w:tbl>
    <w:p w14:paraId="5873EF7F" w14:textId="2051E1B5"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218"/>
        <w:gridCol w:w="4590"/>
      </w:tblGrid>
      <w:tr w:rsidR="00830F06" w:rsidRPr="00D9079F" w14:paraId="730DB2FF" w14:textId="77777777" w:rsidTr="00FC0F5A">
        <w:tc>
          <w:tcPr>
            <w:tcW w:w="721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59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FC0F5A">
        <w:tc>
          <w:tcPr>
            <w:tcW w:w="7218" w:type="dxa"/>
          </w:tcPr>
          <w:p w14:paraId="0E62487F" w14:textId="023DE97D" w:rsidR="00284A3E" w:rsidRDefault="009060FE" w:rsidP="00443ED9">
            <w:pPr>
              <w:jc w:val="both"/>
              <w:rPr>
                <w:noProof/>
              </w:rPr>
            </w:pPr>
            <w:r>
              <w:rPr>
                <w:noProof/>
              </w:rPr>
              <w:drawing>
                <wp:inline distT="0" distB="0" distL="0" distR="0" wp14:anchorId="1C332233" wp14:editId="0895D895">
                  <wp:extent cx="4446270" cy="21443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66530" cy="2154170"/>
                          </a:xfrm>
                          <a:prstGeom prst="rect">
                            <a:avLst/>
                          </a:prstGeom>
                        </pic:spPr>
                      </pic:pic>
                    </a:graphicData>
                  </a:graphic>
                </wp:inline>
              </w:drawing>
            </w:r>
          </w:p>
          <w:p w14:paraId="6973B10F" w14:textId="1F90709C" w:rsidR="00830F06" w:rsidRPr="00D9079F" w:rsidRDefault="00830F06" w:rsidP="00443ED9">
            <w:pPr>
              <w:jc w:val="both"/>
              <w:rPr>
                <w:rFonts w:asciiTheme="majorHAnsi" w:hAnsiTheme="majorHAnsi"/>
                <w:b/>
                <w:sz w:val="16"/>
                <w:szCs w:val="16"/>
              </w:rPr>
            </w:pPr>
          </w:p>
          <w:p w14:paraId="6F98E45C" w14:textId="3E837B4D" w:rsidR="00830F06" w:rsidRPr="00D9079F" w:rsidRDefault="00830F06" w:rsidP="00443ED9">
            <w:pPr>
              <w:jc w:val="both"/>
              <w:rPr>
                <w:rFonts w:asciiTheme="majorHAnsi" w:hAnsiTheme="majorHAnsi"/>
                <w:b/>
                <w:sz w:val="16"/>
                <w:szCs w:val="16"/>
              </w:rPr>
            </w:pPr>
          </w:p>
        </w:tc>
        <w:tc>
          <w:tcPr>
            <w:tcW w:w="459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60598F" w:rsidRPr="00D9079F" w14:paraId="4C54BF94" w14:textId="77777777" w:rsidTr="00FC0F5A">
              <w:tc>
                <w:tcPr>
                  <w:tcW w:w="1897"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3" w:type="dxa"/>
                  <w:shd w:val="clear" w:color="auto" w:fill="DBE5F1" w:themeFill="accent1" w:themeFillTint="33"/>
                </w:tcPr>
                <w:p w14:paraId="3D650FB0" w14:textId="4826DF0D"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E42CC2" w:rsidRPr="00D9079F">
                    <w:rPr>
                      <w:rFonts w:asciiTheme="majorHAnsi" w:hAnsiTheme="majorHAnsi"/>
                      <w:sz w:val="16"/>
                      <w:szCs w:val="16"/>
                    </w:rPr>
                    <w:t>0</w:t>
                  </w:r>
                  <w:r w:rsidR="001A1781" w:rsidRPr="00D9079F">
                    <w:rPr>
                      <w:rFonts w:asciiTheme="majorHAnsi" w:hAnsiTheme="majorHAnsi"/>
                      <w:sz w:val="16"/>
                      <w:szCs w:val="16"/>
                    </w:rPr>
                    <w:t>-15</w:t>
                  </w:r>
                </w:p>
              </w:tc>
              <w:tc>
                <w:tcPr>
                  <w:tcW w:w="1074" w:type="dxa"/>
                  <w:shd w:val="clear" w:color="auto" w:fill="DBE5F1" w:themeFill="accent1" w:themeFillTint="33"/>
                </w:tcPr>
                <w:p w14:paraId="6917AD00" w14:textId="06AD074B" w:rsidR="00830F06" w:rsidRPr="00D9079F" w:rsidRDefault="001A1781" w:rsidP="00830F06">
                  <w:pPr>
                    <w:rPr>
                      <w:rFonts w:asciiTheme="majorHAnsi" w:hAnsiTheme="majorHAnsi"/>
                      <w:sz w:val="16"/>
                      <w:szCs w:val="16"/>
                    </w:rPr>
                  </w:pPr>
                  <w:r w:rsidRPr="00D9079F">
                    <w:rPr>
                      <w:rFonts w:asciiTheme="majorHAnsi" w:hAnsiTheme="majorHAnsi"/>
                      <w:sz w:val="16"/>
                      <w:szCs w:val="16"/>
                    </w:rPr>
                    <w:t>2016-20</w:t>
                  </w:r>
                </w:p>
              </w:tc>
            </w:tr>
            <w:tr w:rsidR="0060598F" w:rsidRPr="00D9079F" w14:paraId="5A9DD5F4" w14:textId="77777777" w:rsidTr="00FC0F5A">
              <w:tc>
                <w:tcPr>
                  <w:tcW w:w="1897" w:type="dxa"/>
                </w:tcPr>
                <w:p w14:paraId="6A465DCA" w14:textId="145269FA"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Avg  Revenue growth </w:t>
                  </w:r>
                </w:p>
              </w:tc>
              <w:tc>
                <w:tcPr>
                  <w:tcW w:w="1123" w:type="dxa"/>
                </w:tcPr>
                <w:p w14:paraId="28890419" w14:textId="2D9ED456" w:rsidR="00830F06" w:rsidRPr="00D9079F" w:rsidRDefault="008938FE" w:rsidP="00830F06">
                  <w:pPr>
                    <w:rPr>
                      <w:rFonts w:asciiTheme="majorHAnsi" w:hAnsiTheme="majorHAnsi"/>
                      <w:sz w:val="16"/>
                      <w:szCs w:val="16"/>
                    </w:rPr>
                  </w:pPr>
                  <w:r>
                    <w:rPr>
                      <w:rFonts w:asciiTheme="majorHAnsi" w:hAnsiTheme="majorHAnsi"/>
                      <w:sz w:val="16"/>
                      <w:szCs w:val="16"/>
                    </w:rPr>
                    <w:t>10%</w:t>
                  </w:r>
                </w:p>
              </w:tc>
              <w:tc>
                <w:tcPr>
                  <w:tcW w:w="1074" w:type="dxa"/>
                </w:tcPr>
                <w:p w14:paraId="2B6EF445" w14:textId="31087C8C" w:rsidR="00830F06" w:rsidRPr="00D9079F" w:rsidRDefault="008938FE" w:rsidP="00830F06">
                  <w:pPr>
                    <w:rPr>
                      <w:rFonts w:asciiTheme="majorHAnsi" w:hAnsiTheme="majorHAnsi"/>
                      <w:sz w:val="16"/>
                      <w:szCs w:val="16"/>
                    </w:rPr>
                  </w:pPr>
                  <w:r>
                    <w:rPr>
                      <w:rFonts w:asciiTheme="majorHAnsi" w:hAnsiTheme="majorHAnsi"/>
                      <w:sz w:val="16"/>
                      <w:szCs w:val="16"/>
                    </w:rPr>
                    <w:t>4.9%</w:t>
                  </w:r>
                </w:p>
              </w:tc>
            </w:tr>
            <w:tr w:rsidR="0060598F" w:rsidRPr="00D9079F" w14:paraId="49A71F37" w14:textId="77777777" w:rsidTr="00FC0F5A">
              <w:tc>
                <w:tcPr>
                  <w:tcW w:w="1897" w:type="dxa"/>
                </w:tcPr>
                <w:p w14:paraId="7425D824"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Avg  EBITDA Margin </w:t>
                  </w:r>
                </w:p>
              </w:tc>
              <w:tc>
                <w:tcPr>
                  <w:tcW w:w="1123" w:type="dxa"/>
                </w:tcPr>
                <w:p w14:paraId="6AE1C97F" w14:textId="38C612F2" w:rsidR="00830F06" w:rsidRPr="00D9079F" w:rsidRDefault="008938FE" w:rsidP="00FD0265">
                  <w:pPr>
                    <w:rPr>
                      <w:rFonts w:asciiTheme="majorHAnsi" w:hAnsiTheme="majorHAnsi"/>
                      <w:sz w:val="16"/>
                      <w:szCs w:val="16"/>
                    </w:rPr>
                  </w:pPr>
                  <w:r>
                    <w:rPr>
                      <w:rFonts w:asciiTheme="majorHAnsi" w:hAnsiTheme="majorHAnsi"/>
                      <w:sz w:val="16"/>
                      <w:szCs w:val="16"/>
                    </w:rPr>
                    <w:t>59.5</w:t>
                  </w:r>
                  <w:r w:rsidR="007C5299">
                    <w:rPr>
                      <w:rFonts w:asciiTheme="majorHAnsi" w:hAnsiTheme="majorHAnsi"/>
                      <w:sz w:val="16"/>
                      <w:szCs w:val="16"/>
                    </w:rPr>
                    <w:t>%</w:t>
                  </w:r>
                </w:p>
              </w:tc>
              <w:tc>
                <w:tcPr>
                  <w:tcW w:w="1074" w:type="dxa"/>
                </w:tcPr>
                <w:p w14:paraId="72FC070B" w14:textId="4020451F" w:rsidR="00830F06" w:rsidRPr="00D9079F" w:rsidRDefault="008938FE" w:rsidP="00830F06">
                  <w:pPr>
                    <w:rPr>
                      <w:rFonts w:asciiTheme="majorHAnsi" w:hAnsiTheme="majorHAnsi"/>
                      <w:sz w:val="16"/>
                      <w:szCs w:val="16"/>
                    </w:rPr>
                  </w:pPr>
                  <w:r>
                    <w:rPr>
                      <w:rFonts w:asciiTheme="majorHAnsi" w:hAnsiTheme="majorHAnsi"/>
                      <w:sz w:val="16"/>
                      <w:szCs w:val="16"/>
                    </w:rPr>
                    <w:t>59</w:t>
                  </w:r>
                  <w:r w:rsidR="007C5299">
                    <w:rPr>
                      <w:rFonts w:asciiTheme="majorHAnsi" w:hAnsiTheme="majorHAnsi"/>
                      <w:sz w:val="16"/>
                      <w:szCs w:val="16"/>
                    </w:rPr>
                    <w:t>%</w:t>
                  </w:r>
                </w:p>
              </w:tc>
            </w:tr>
            <w:tr w:rsidR="0060598F" w:rsidRPr="00D9079F" w14:paraId="5B01660D" w14:textId="77777777" w:rsidTr="00FC0F5A">
              <w:tc>
                <w:tcPr>
                  <w:tcW w:w="1897" w:type="dxa"/>
                </w:tcPr>
                <w:p w14:paraId="2B656250" w14:textId="256511D5" w:rsidR="00830F06" w:rsidRPr="00230BD4" w:rsidRDefault="00830F06" w:rsidP="009B5E2E">
                  <w:pPr>
                    <w:rPr>
                      <w:rFonts w:asciiTheme="majorHAnsi" w:hAnsiTheme="majorHAnsi"/>
                      <w:sz w:val="16"/>
                      <w:szCs w:val="16"/>
                    </w:rPr>
                  </w:pPr>
                  <w:r w:rsidRPr="00230BD4">
                    <w:rPr>
                      <w:rFonts w:asciiTheme="majorHAnsi" w:hAnsiTheme="majorHAnsi"/>
                      <w:sz w:val="16"/>
                      <w:szCs w:val="16"/>
                    </w:rPr>
                    <w:t xml:space="preserve">Avg  </w:t>
                  </w:r>
                  <w:r w:rsidR="009B5E2E">
                    <w:rPr>
                      <w:rFonts w:asciiTheme="majorHAnsi" w:hAnsiTheme="majorHAnsi"/>
                      <w:sz w:val="16"/>
                      <w:szCs w:val="16"/>
                    </w:rPr>
                    <w:t>NOPAT</w:t>
                  </w:r>
                  <w:r w:rsidRPr="00230BD4">
                    <w:rPr>
                      <w:rFonts w:asciiTheme="majorHAnsi" w:hAnsiTheme="majorHAnsi"/>
                      <w:sz w:val="16"/>
                      <w:szCs w:val="16"/>
                    </w:rPr>
                    <w:t xml:space="preserve"> </w:t>
                  </w:r>
                </w:p>
              </w:tc>
              <w:tc>
                <w:tcPr>
                  <w:tcW w:w="1123" w:type="dxa"/>
                </w:tcPr>
                <w:p w14:paraId="6B796F07" w14:textId="512CC5A4" w:rsidR="00830F06" w:rsidRPr="00D9079F" w:rsidRDefault="008938FE" w:rsidP="00830F06">
                  <w:pPr>
                    <w:rPr>
                      <w:rFonts w:asciiTheme="majorHAnsi" w:hAnsiTheme="majorHAnsi"/>
                      <w:sz w:val="16"/>
                      <w:szCs w:val="16"/>
                    </w:rPr>
                  </w:pPr>
                  <w:r>
                    <w:rPr>
                      <w:rFonts w:asciiTheme="majorHAnsi" w:hAnsiTheme="majorHAnsi"/>
                      <w:sz w:val="16"/>
                      <w:szCs w:val="16"/>
                    </w:rPr>
                    <w:t>33.9</w:t>
                  </w:r>
                  <w:r w:rsidR="00925975">
                    <w:rPr>
                      <w:rFonts w:asciiTheme="majorHAnsi" w:hAnsiTheme="majorHAnsi"/>
                      <w:sz w:val="16"/>
                      <w:szCs w:val="16"/>
                    </w:rPr>
                    <w:t>%</w:t>
                  </w:r>
                </w:p>
              </w:tc>
              <w:tc>
                <w:tcPr>
                  <w:tcW w:w="1074" w:type="dxa"/>
                </w:tcPr>
                <w:p w14:paraId="2CA542D3" w14:textId="4387903E" w:rsidR="00830F06" w:rsidRPr="00D9079F" w:rsidRDefault="008938FE" w:rsidP="00830F06">
                  <w:pPr>
                    <w:rPr>
                      <w:rFonts w:asciiTheme="majorHAnsi" w:hAnsiTheme="majorHAnsi"/>
                      <w:sz w:val="16"/>
                      <w:szCs w:val="16"/>
                    </w:rPr>
                  </w:pPr>
                  <w:r>
                    <w:rPr>
                      <w:rFonts w:asciiTheme="majorHAnsi" w:hAnsiTheme="majorHAnsi"/>
                      <w:sz w:val="16"/>
                      <w:szCs w:val="16"/>
                    </w:rPr>
                    <w:t>34.1</w:t>
                  </w:r>
                  <w:r w:rsidR="00925975">
                    <w:rPr>
                      <w:rFonts w:asciiTheme="majorHAnsi" w:hAnsiTheme="majorHAnsi"/>
                      <w:sz w:val="16"/>
                      <w:szCs w:val="16"/>
                    </w:rPr>
                    <w:t>%</w:t>
                  </w:r>
                </w:p>
              </w:tc>
            </w:tr>
            <w:tr w:rsidR="0060598F" w:rsidRPr="00D9079F" w14:paraId="1407D251" w14:textId="77777777" w:rsidTr="00070A2C">
              <w:tc>
                <w:tcPr>
                  <w:tcW w:w="1897" w:type="dxa"/>
                </w:tcPr>
                <w:p w14:paraId="5FB4F2E9" w14:textId="7E05DB84" w:rsidR="00830F06" w:rsidRPr="00230BD4" w:rsidRDefault="00830F06" w:rsidP="00830F06">
                  <w:pPr>
                    <w:rPr>
                      <w:rFonts w:asciiTheme="majorHAnsi" w:hAnsiTheme="majorHAnsi"/>
                      <w:sz w:val="16"/>
                      <w:szCs w:val="16"/>
                    </w:rPr>
                  </w:pPr>
                  <w:r w:rsidRPr="00230BD4">
                    <w:rPr>
                      <w:rFonts w:asciiTheme="majorHAnsi" w:hAnsiTheme="majorHAnsi"/>
                      <w:sz w:val="16"/>
                      <w:szCs w:val="16"/>
                    </w:rPr>
                    <w:t xml:space="preserve">Debt/Equity </w:t>
                  </w:r>
                  <w:r w:rsidR="00070A2C">
                    <w:rPr>
                      <w:rFonts w:asciiTheme="majorHAnsi" w:hAnsiTheme="majorHAnsi"/>
                      <w:sz w:val="16"/>
                      <w:szCs w:val="16"/>
                    </w:rPr>
                    <w:t>LF</w:t>
                  </w:r>
                </w:p>
              </w:tc>
              <w:tc>
                <w:tcPr>
                  <w:tcW w:w="1123" w:type="dxa"/>
                  <w:shd w:val="clear" w:color="auto" w:fill="auto"/>
                </w:tcPr>
                <w:p w14:paraId="3BD7CDF4" w14:textId="41C3579B" w:rsidR="00830F06" w:rsidRPr="008C630B" w:rsidRDefault="00070A2C" w:rsidP="00830F06">
                  <w:pPr>
                    <w:rPr>
                      <w:rFonts w:asciiTheme="majorHAnsi" w:hAnsiTheme="majorHAnsi"/>
                      <w:sz w:val="16"/>
                      <w:szCs w:val="16"/>
                      <w:highlight w:val="yellow"/>
                    </w:rPr>
                  </w:pPr>
                  <w:r w:rsidRPr="00070A2C">
                    <w:rPr>
                      <w:rFonts w:asciiTheme="majorHAnsi" w:hAnsiTheme="majorHAnsi"/>
                      <w:sz w:val="16"/>
                      <w:szCs w:val="16"/>
                    </w:rPr>
                    <w:t>114.6%</w:t>
                  </w:r>
                </w:p>
              </w:tc>
              <w:tc>
                <w:tcPr>
                  <w:tcW w:w="1074" w:type="dxa"/>
                </w:tcPr>
                <w:p w14:paraId="6104E666" w14:textId="3582AA0E" w:rsidR="00830F06" w:rsidRPr="008C630B" w:rsidRDefault="00830F06" w:rsidP="00830F06">
                  <w:pPr>
                    <w:rPr>
                      <w:rFonts w:asciiTheme="majorHAnsi" w:hAnsiTheme="majorHAnsi"/>
                      <w:sz w:val="16"/>
                      <w:szCs w:val="16"/>
                      <w:highlight w:val="yellow"/>
                    </w:rPr>
                  </w:pPr>
                </w:p>
              </w:tc>
            </w:tr>
            <w:tr w:rsidR="0060598F" w:rsidRPr="00D9079F" w14:paraId="261F133B" w14:textId="77777777" w:rsidTr="00FC0F5A">
              <w:tc>
                <w:tcPr>
                  <w:tcW w:w="1897" w:type="dxa"/>
                </w:tcPr>
                <w:p w14:paraId="0B1C1930" w14:textId="7822A15F" w:rsidR="00830F06" w:rsidRPr="00D9079F" w:rsidRDefault="00830F06" w:rsidP="009B5E2E">
                  <w:pPr>
                    <w:rPr>
                      <w:rFonts w:asciiTheme="majorHAnsi" w:hAnsiTheme="majorHAnsi"/>
                      <w:sz w:val="16"/>
                      <w:szCs w:val="16"/>
                    </w:rPr>
                  </w:pPr>
                  <w:r w:rsidRPr="00D9079F">
                    <w:rPr>
                      <w:rFonts w:asciiTheme="majorHAnsi" w:hAnsiTheme="majorHAnsi"/>
                      <w:sz w:val="16"/>
                      <w:szCs w:val="16"/>
                    </w:rPr>
                    <w:t xml:space="preserve">Avg  </w:t>
                  </w:r>
                  <w:r w:rsidR="00FD0265" w:rsidRPr="00D9079F">
                    <w:rPr>
                      <w:rFonts w:asciiTheme="majorHAnsi" w:hAnsiTheme="majorHAnsi"/>
                      <w:sz w:val="16"/>
                      <w:szCs w:val="16"/>
                    </w:rPr>
                    <w:t>FCF</w:t>
                  </w:r>
                  <w:r w:rsidRPr="00D9079F">
                    <w:rPr>
                      <w:rFonts w:asciiTheme="majorHAnsi" w:hAnsiTheme="majorHAnsi"/>
                      <w:sz w:val="16"/>
                      <w:szCs w:val="16"/>
                    </w:rPr>
                    <w:t xml:space="preserve"> / </w:t>
                  </w:r>
                  <w:r w:rsidR="00FD0265" w:rsidRPr="00D9079F">
                    <w:rPr>
                      <w:rFonts w:asciiTheme="majorHAnsi" w:hAnsiTheme="majorHAnsi"/>
                      <w:sz w:val="16"/>
                      <w:szCs w:val="16"/>
                    </w:rPr>
                    <w:t>Margin</w:t>
                  </w:r>
                  <w:r w:rsidRPr="00D9079F">
                    <w:rPr>
                      <w:rFonts w:asciiTheme="majorHAnsi" w:hAnsiTheme="majorHAnsi"/>
                      <w:sz w:val="16"/>
                      <w:szCs w:val="16"/>
                    </w:rPr>
                    <w:t xml:space="preserve"> </w:t>
                  </w:r>
                  <w:r w:rsidR="009B5E2E">
                    <w:rPr>
                      <w:rFonts w:asciiTheme="majorHAnsi" w:hAnsiTheme="majorHAnsi"/>
                      <w:sz w:val="16"/>
                      <w:szCs w:val="16"/>
                    </w:rPr>
                    <w:t xml:space="preserve"> L3yr</w:t>
                  </w:r>
                </w:p>
              </w:tc>
              <w:tc>
                <w:tcPr>
                  <w:tcW w:w="1123" w:type="dxa"/>
                  <w:shd w:val="clear" w:color="auto" w:fill="auto"/>
                </w:tcPr>
                <w:p w14:paraId="4FFEFCE9" w14:textId="7D46FF3D" w:rsidR="00830F06" w:rsidRPr="00D9079F" w:rsidRDefault="008938FE" w:rsidP="00830F06">
                  <w:pPr>
                    <w:rPr>
                      <w:rFonts w:asciiTheme="majorHAnsi" w:hAnsiTheme="majorHAnsi"/>
                      <w:sz w:val="16"/>
                      <w:szCs w:val="16"/>
                    </w:rPr>
                  </w:pPr>
                  <w:r>
                    <w:rPr>
                      <w:rFonts w:asciiTheme="majorHAnsi" w:hAnsiTheme="majorHAnsi"/>
                      <w:sz w:val="16"/>
                      <w:szCs w:val="16"/>
                    </w:rPr>
                    <w:t>44.77</w:t>
                  </w:r>
                  <w:r w:rsidR="009B5E2E">
                    <w:rPr>
                      <w:rFonts w:asciiTheme="majorHAnsi" w:hAnsiTheme="majorHAnsi"/>
                      <w:sz w:val="16"/>
                      <w:szCs w:val="16"/>
                    </w:rPr>
                    <w:t>%</w:t>
                  </w:r>
                </w:p>
              </w:tc>
              <w:tc>
                <w:tcPr>
                  <w:tcW w:w="1074" w:type="dxa"/>
                  <w:shd w:val="clear" w:color="auto" w:fill="auto"/>
                </w:tcPr>
                <w:p w14:paraId="04395283" w14:textId="27BABCE0" w:rsidR="00830F06" w:rsidRPr="00D9079F" w:rsidRDefault="008938FE" w:rsidP="00830F06">
                  <w:pPr>
                    <w:rPr>
                      <w:rFonts w:asciiTheme="majorHAnsi" w:hAnsiTheme="majorHAnsi"/>
                      <w:sz w:val="16"/>
                      <w:szCs w:val="16"/>
                    </w:rPr>
                  </w:pPr>
                  <w:r>
                    <w:rPr>
                      <w:rFonts w:asciiTheme="majorHAnsi" w:hAnsiTheme="majorHAnsi"/>
                      <w:sz w:val="16"/>
                      <w:szCs w:val="16"/>
                    </w:rPr>
                    <w:t>54.3%</w:t>
                  </w:r>
                </w:p>
              </w:tc>
            </w:tr>
            <w:tr w:rsidR="00830F06" w:rsidRPr="00D9079F" w14:paraId="42F79EE5" w14:textId="77777777" w:rsidTr="00FC0F5A">
              <w:tc>
                <w:tcPr>
                  <w:tcW w:w="3020" w:type="dxa"/>
                  <w:gridSpan w:val="2"/>
                </w:tcPr>
                <w:p w14:paraId="11317549" w14:textId="1F427D44" w:rsidR="00830F06" w:rsidRPr="00D9079F" w:rsidRDefault="00830F06" w:rsidP="00830F06">
                  <w:pPr>
                    <w:rPr>
                      <w:rFonts w:asciiTheme="majorHAnsi" w:hAnsiTheme="majorHAnsi"/>
                      <w:sz w:val="16"/>
                      <w:szCs w:val="16"/>
                    </w:rPr>
                  </w:pPr>
                  <w:r w:rsidRPr="00D9079F">
                    <w:rPr>
                      <w:rFonts w:asciiTheme="majorHAnsi" w:hAnsiTheme="majorHAnsi"/>
                      <w:sz w:val="16"/>
                      <w:szCs w:val="16"/>
                    </w:rPr>
                    <w:t>Cost of Debt</w:t>
                  </w:r>
                  <w:r w:rsidR="00DD2BB1">
                    <w:rPr>
                      <w:rFonts w:asciiTheme="majorHAnsi" w:hAnsiTheme="majorHAnsi"/>
                      <w:sz w:val="16"/>
                      <w:szCs w:val="16"/>
                    </w:rPr>
                    <w:t xml:space="preserve"> (after tax)</w:t>
                  </w:r>
                </w:p>
              </w:tc>
              <w:tc>
                <w:tcPr>
                  <w:tcW w:w="1074" w:type="dxa"/>
                </w:tcPr>
                <w:p w14:paraId="316D237F" w14:textId="56C555EB" w:rsidR="00830F06" w:rsidRPr="00D9079F" w:rsidRDefault="008938FE" w:rsidP="00830F06">
                  <w:pPr>
                    <w:rPr>
                      <w:rFonts w:asciiTheme="majorHAnsi" w:hAnsiTheme="majorHAnsi"/>
                      <w:sz w:val="16"/>
                      <w:szCs w:val="16"/>
                    </w:rPr>
                  </w:pPr>
                  <w:r>
                    <w:rPr>
                      <w:rFonts w:asciiTheme="majorHAnsi" w:hAnsiTheme="majorHAnsi"/>
                      <w:sz w:val="16"/>
                      <w:szCs w:val="16"/>
                    </w:rPr>
                    <w:t>1.53</w:t>
                  </w:r>
                  <w:r w:rsidR="00925975">
                    <w:rPr>
                      <w:rFonts w:asciiTheme="majorHAnsi" w:hAnsiTheme="majorHAnsi"/>
                      <w:sz w:val="16"/>
                      <w:szCs w:val="16"/>
                    </w:rPr>
                    <w:t>%</w:t>
                  </w:r>
                </w:p>
              </w:tc>
            </w:tr>
            <w:tr w:rsidR="00830F06" w:rsidRPr="00D9079F" w14:paraId="67214880" w14:textId="77777777" w:rsidTr="00FC0F5A">
              <w:tc>
                <w:tcPr>
                  <w:tcW w:w="3020" w:type="dxa"/>
                  <w:gridSpan w:val="2"/>
                </w:tcPr>
                <w:p w14:paraId="30979647" w14:textId="54CC5FD6" w:rsidR="00830F06" w:rsidRPr="00D9079F" w:rsidRDefault="00830F06" w:rsidP="00830F06">
                  <w:pPr>
                    <w:rPr>
                      <w:rFonts w:asciiTheme="majorHAnsi" w:hAnsiTheme="majorHAnsi"/>
                      <w:sz w:val="16"/>
                      <w:szCs w:val="16"/>
                    </w:rPr>
                  </w:pPr>
                  <w:r w:rsidRPr="00D9079F">
                    <w:rPr>
                      <w:rFonts w:asciiTheme="majorHAnsi" w:hAnsiTheme="majorHAnsi"/>
                      <w:sz w:val="16"/>
                      <w:szCs w:val="16"/>
                    </w:rPr>
                    <w:t>Tax Rate</w:t>
                  </w:r>
                  <w:r w:rsidR="00DD2BB1">
                    <w:rPr>
                      <w:rFonts w:asciiTheme="majorHAnsi" w:hAnsiTheme="majorHAnsi"/>
                      <w:sz w:val="16"/>
                      <w:szCs w:val="16"/>
                    </w:rPr>
                    <w:t xml:space="preserve"> last filing</w:t>
                  </w:r>
                </w:p>
              </w:tc>
              <w:tc>
                <w:tcPr>
                  <w:tcW w:w="1074" w:type="dxa"/>
                </w:tcPr>
                <w:p w14:paraId="426CE887" w14:textId="776A3DAF" w:rsidR="00830F06" w:rsidRPr="00D9079F" w:rsidRDefault="008938FE" w:rsidP="00925975">
                  <w:pPr>
                    <w:rPr>
                      <w:rFonts w:asciiTheme="majorHAnsi" w:hAnsiTheme="majorHAnsi"/>
                      <w:sz w:val="16"/>
                      <w:szCs w:val="16"/>
                    </w:rPr>
                  </w:pPr>
                  <w:r>
                    <w:rPr>
                      <w:rFonts w:asciiTheme="majorHAnsi" w:hAnsiTheme="majorHAnsi"/>
                      <w:sz w:val="16"/>
                      <w:szCs w:val="16"/>
                    </w:rPr>
                    <w:t>n/a</w:t>
                  </w:r>
                </w:p>
              </w:tc>
            </w:tr>
            <w:tr w:rsidR="00830F06" w:rsidRPr="00D9079F" w14:paraId="0F9564DE" w14:textId="77777777" w:rsidTr="00FC0F5A">
              <w:tc>
                <w:tcPr>
                  <w:tcW w:w="3020" w:type="dxa"/>
                  <w:gridSpan w:val="2"/>
                </w:tcPr>
                <w:p w14:paraId="02E73EF4"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Cost of Equity </w:t>
                  </w:r>
                </w:p>
              </w:tc>
              <w:tc>
                <w:tcPr>
                  <w:tcW w:w="1074" w:type="dxa"/>
                </w:tcPr>
                <w:p w14:paraId="7C66D20E" w14:textId="45EB0845" w:rsidR="00830F06" w:rsidRPr="00D9079F" w:rsidRDefault="008938FE" w:rsidP="00830F06">
                  <w:pPr>
                    <w:rPr>
                      <w:rFonts w:asciiTheme="majorHAnsi" w:hAnsiTheme="majorHAnsi"/>
                      <w:sz w:val="16"/>
                      <w:szCs w:val="16"/>
                    </w:rPr>
                  </w:pPr>
                  <w:r>
                    <w:rPr>
                      <w:rFonts w:asciiTheme="majorHAnsi" w:hAnsiTheme="majorHAnsi"/>
                      <w:sz w:val="16"/>
                      <w:szCs w:val="16"/>
                    </w:rPr>
                    <w:t>7.77</w:t>
                  </w:r>
                  <w:r w:rsidR="00925975">
                    <w:rPr>
                      <w:rFonts w:asciiTheme="majorHAnsi" w:hAnsiTheme="majorHAnsi"/>
                      <w:sz w:val="16"/>
                      <w:szCs w:val="16"/>
                    </w:rPr>
                    <w:t>%</w:t>
                  </w:r>
                </w:p>
              </w:tc>
            </w:tr>
            <w:tr w:rsidR="00830F06" w:rsidRPr="00D9079F" w14:paraId="19A1F6C8" w14:textId="77777777" w:rsidTr="00FC0F5A">
              <w:tc>
                <w:tcPr>
                  <w:tcW w:w="3020" w:type="dxa"/>
                  <w:gridSpan w:val="2"/>
                </w:tcPr>
                <w:p w14:paraId="714B53EA"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WACC</w:t>
                  </w:r>
                </w:p>
              </w:tc>
              <w:tc>
                <w:tcPr>
                  <w:tcW w:w="1074" w:type="dxa"/>
                </w:tcPr>
                <w:p w14:paraId="71DF2BD8" w14:textId="041605EA" w:rsidR="00830F06" w:rsidRPr="00D9079F" w:rsidRDefault="008938FE" w:rsidP="00830F06">
                  <w:pPr>
                    <w:rPr>
                      <w:rFonts w:asciiTheme="majorHAnsi" w:hAnsiTheme="majorHAnsi"/>
                      <w:sz w:val="16"/>
                      <w:szCs w:val="16"/>
                    </w:rPr>
                  </w:pPr>
                  <w:r>
                    <w:rPr>
                      <w:rFonts w:asciiTheme="majorHAnsi" w:hAnsiTheme="majorHAnsi"/>
                      <w:sz w:val="16"/>
                      <w:szCs w:val="16"/>
                    </w:rPr>
                    <w:t>5.79</w:t>
                  </w:r>
                  <w:r w:rsidR="00925975">
                    <w:rPr>
                      <w:rFonts w:asciiTheme="majorHAnsi" w:hAnsiTheme="majorHAnsi"/>
                      <w:sz w:val="16"/>
                      <w:szCs w:val="16"/>
                    </w:rPr>
                    <w:t>%</w:t>
                  </w:r>
                </w:p>
              </w:tc>
            </w:tr>
            <w:tr w:rsidR="00830F06" w:rsidRPr="00D9079F" w14:paraId="48232758" w14:textId="77777777" w:rsidTr="00FC0F5A">
              <w:trPr>
                <w:trHeight w:val="197"/>
              </w:trPr>
              <w:tc>
                <w:tcPr>
                  <w:tcW w:w="3020" w:type="dxa"/>
                  <w:gridSpan w:val="2"/>
                </w:tcPr>
                <w:p w14:paraId="75850D20" w14:textId="77777777" w:rsidR="00830F06" w:rsidRPr="00D9079F" w:rsidRDefault="00830F06" w:rsidP="00830F06">
                  <w:pPr>
                    <w:rPr>
                      <w:rFonts w:asciiTheme="majorHAnsi" w:hAnsiTheme="majorHAnsi"/>
                      <w:sz w:val="16"/>
                      <w:szCs w:val="16"/>
                    </w:rPr>
                  </w:pPr>
                  <w:r w:rsidRPr="00D9079F">
                    <w:rPr>
                      <w:rFonts w:asciiTheme="majorHAnsi" w:hAnsiTheme="majorHAnsi"/>
                      <w:sz w:val="16"/>
                      <w:szCs w:val="16"/>
                    </w:rPr>
                    <w:t xml:space="preserve">Perpetuity growth rate </w:t>
                  </w:r>
                </w:p>
              </w:tc>
              <w:tc>
                <w:tcPr>
                  <w:tcW w:w="1074" w:type="dxa"/>
                </w:tcPr>
                <w:p w14:paraId="0C5586DB" w14:textId="01D1C090" w:rsidR="00830F06" w:rsidRPr="00D9079F" w:rsidRDefault="008938FE" w:rsidP="00830F06">
                  <w:pPr>
                    <w:rPr>
                      <w:rFonts w:asciiTheme="majorHAnsi" w:hAnsiTheme="majorHAnsi"/>
                      <w:sz w:val="16"/>
                      <w:szCs w:val="16"/>
                    </w:rPr>
                  </w:pPr>
                  <w:r>
                    <w:rPr>
                      <w:rFonts w:asciiTheme="majorHAnsi" w:hAnsiTheme="majorHAnsi"/>
                      <w:sz w:val="16"/>
                      <w:szCs w:val="16"/>
                    </w:rPr>
                    <w:t>2.5</w:t>
                  </w:r>
                  <w:r w:rsidR="00925975">
                    <w:rPr>
                      <w:rFonts w:asciiTheme="majorHAnsi" w:hAnsiTheme="majorHAnsi"/>
                      <w:sz w:val="16"/>
                      <w:szCs w:val="16"/>
                    </w:rPr>
                    <w:t>%</w:t>
                  </w:r>
                </w:p>
              </w:tc>
            </w:tr>
          </w:tbl>
          <w:p w14:paraId="4363BD08" w14:textId="77777777" w:rsidR="009F0D12" w:rsidRPr="00D9079F" w:rsidRDefault="009F0D12" w:rsidP="009F0D12">
            <w:pPr>
              <w:jc w:val="both"/>
              <w:rPr>
                <w:rFonts w:asciiTheme="majorHAnsi" w:hAnsiTheme="majorHAnsi"/>
                <w:b/>
                <w:sz w:val="16"/>
                <w:szCs w:val="16"/>
              </w:rPr>
            </w:pPr>
            <w:r w:rsidRPr="00D9079F">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9F0D12" w:rsidRPr="00D9079F" w14:paraId="2502AA66" w14:textId="77777777" w:rsidTr="00FB4741">
              <w:tc>
                <w:tcPr>
                  <w:tcW w:w="1610" w:type="dxa"/>
                  <w:shd w:val="clear" w:color="auto" w:fill="DBE5F1" w:themeFill="accent1" w:themeFillTint="33"/>
                </w:tcPr>
                <w:p w14:paraId="6457A1D0" w14:textId="614BD2A3" w:rsidR="009F0D12" w:rsidRPr="00D03496" w:rsidRDefault="009F0D12" w:rsidP="00EF3592">
                  <w:pPr>
                    <w:tabs>
                      <w:tab w:val="left" w:pos="900"/>
                    </w:tabs>
                    <w:jc w:val="both"/>
                    <w:rPr>
                      <w:rFonts w:asciiTheme="majorHAnsi" w:hAnsiTheme="majorHAnsi"/>
                      <w:sz w:val="16"/>
                      <w:szCs w:val="16"/>
                    </w:rPr>
                  </w:pPr>
                  <w:r w:rsidRPr="00D03496">
                    <w:rPr>
                      <w:rFonts w:asciiTheme="majorHAnsi" w:hAnsiTheme="majorHAnsi"/>
                      <w:sz w:val="16"/>
                      <w:szCs w:val="16"/>
                    </w:rPr>
                    <w:t>Buy</w:t>
                  </w:r>
                  <w:r w:rsidR="00766C69" w:rsidRPr="00D03496">
                    <w:rPr>
                      <w:rFonts w:asciiTheme="majorHAnsi" w:hAnsiTheme="majorHAnsi"/>
                      <w:sz w:val="16"/>
                      <w:szCs w:val="16"/>
                    </w:rPr>
                    <w:t>:</w:t>
                  </w:r>
                  <w:r w:rsidR="00D00127">
                    <w:rPr>
                      <w:rFonts w:asciiTheme="majorHAnsi" w:hAnsiTheme="majorHAnsi"/>
                      <w:sz w:val="16"/>
                      <w:szCs w:val="16"/>
                    </w:rPr>
                    <w:tab/>
                    <w:t>20</w:t>
                  </w:r>
                </w:p>
              </w:tc>
              <w:tc>
                <w:tcPr>
                  <w:tcW w:w="1077" w:type="dxa"/>
                  <w:shd w:val="clear" w:color="auto" w:fill="DBE5F1" w:themeFill="accent1" w:themeFillTint="33"/>
                </w:tcPr>
                <w:p w14:paraId="10E79476" w14:textId="567BA7C4" w:rsidR="009F0D12" w:rsidRPr="00D03496" w:rsidRDefault="009F0D12" w:rsidP="00D03496">
                  <w:pPr>
                    <w:jc w:val="both"/>
                    <w:rPr>
                      <w:rFonts w:asciiTheme="majorHAnsi" w:hAnsiTheme="majorHAnsi"/>
                      <w:sz w:val="16"/>
                      <w:szCs w:val="16"/>
                    </w:rPr>
                  </w:pPr>
                  <w:r w:rsidRPr="00D03496">
                    <w:rPr>
                      <w:rFonts w:asciiTheme="majorHAnsi" w:hAnsiTheme="majorHAnsi"/>
                      <w:sz w:val="16"/>
                      <w:szCs w:val="16"/>
                    </w:rPr>
                    <w:t xml:space="preserve">Hold: </w:t>
                  </w:r>
                  <w:r w:rsidR="00D00127">
                    <w:rPr>
                      <w:rFonts w:asciiTheme="majorHAnsi" w:hAnsiTheme="majorHAnsi"/>
                      <w:sz w:val="16"/>
                      <w:szCs w:val="16"/>
                    </w:rPr>
                    <w:t>7</w:t>
                  </w:r>
                </w:p>
              </w:tc>
              <w:tc>
                <w:tcPr>
                  <w:tcW w:w="1407" w:type="dxa"/>
                  <w:shd w:val="clear" w:color="auto" w:fill="DBE5F1" w:themeFill="accent1" w:themeFillTint="33"/>
                </w:tcPr>
                <w:p w14:paraId="1F373BED" w14:textId="0D17535D" w:rsidR="009F0D12" w:rsidRPr="00D03496" w:rsidRDefault="00766C69" w:rsidP="00D03496">
                  <w:pPr>
                    <w:jc w:val="both"/>
                    <w:rPr>
                      <w:rFonts w:asciiTheme="majorHAnsi" w:hAnsiTheme="majorHAnsi"/>
                      <w:sz w:val="16"/>
                      <w:szCs w:val="16"/>
                    </w:rPr>
                  </w:pPr>
                  <w:r w:rsidRPr="00D03496">
                    <w:rPr>
                      <w:rFonts w:asciiTheme="majorHAnsi" w:hAnsiTheme="majorHAnsi"/>
                      <w:sz w:val="16"/>
                      <w:szCs w:val="16"/>
                    </w:rPr>
                    <w:t>Sell:</w:t>
                  </w:r>
                  <w:r w:rsidR="008C7FEA" w:rsidRPr="00D03496">
                    <w:rPr>
                      <w:rFonts w:asciiTheme="majorHAnsi" w:hAnsiTheme="majorHAnsi"/>
                      <w:sz w:val="16"/>
                      <w:szCs w:val="16"/>
                    </w:rPr>
                    <w:t xml:space="preserve"> </w:t>
                  </w:r>
                  <w:r w:rsidR="00D00127">
                    <w:rPr>
                      <w:rFonts w:asciiTheme="majorHAnsi" w:hAnsiTheme="majorHAnsi"/>
                      <w:sz w:val="16"/>
                      <w:szCs w:val="16"/>
                    </w:rPr>
                    <w:t>0</w:t>
                  </w:r>
                </w:p>
              </w:tc>
            </w:tr>
            <w:tr w:rsidR="009F0D12" w:rsidRPr="00D9079F" w14:paraId="0A705346" w14:textId="77777777" w:rsidTr="00FB4741">
              <w:tc>
                <w:tcPr>
                  <w:tcW w:w="1610" w:type="dxa"/>
                  <w:shd w:val="clear" w:color="auto" w:fill="DBE5F1" w:themeFill="accent1" w:themeFillTint="33"/>
                </w:tcPr>
                <w:p w14:paraId="7897F5B6" w14:textId="77777777" w:rsidR="009F0D12" w:rsidRPr="00D03496" w:rsidRDefault="009F0D12" w:rsidP="009F0D12">
                  <w:pPr>
                    <w:jc w:val="both"/>
                    <w:rPr>
                      <w:rFonts w:asciiTheme="majorHAnsi" w:hAnsiTheme="majorHAnsi"/>
                      <w:sz w:val="16"/>
                      <w:szCs w:val="16"/>
                    </w:rPr>
                  </w:pPr>
                </w:p>
              </w:tc>
              <w:tc>
                <w:tcPr>
                  <w:tcW w:w="1077" w:type="dxa"/>
                  <w:shd w:val="clear" w:color="auto" w:fill="DBE5F1" w:themeFill="accent1" w:themeFillTint="33"/>
                </w:tcPr>
                <w:p w14:paraId="78BA4ECF" w14:textId="77777777" w:rsidR="009F0D12" w:rsidRPr="00D03496" w:rsidRDefault="009F0D12" w:rsidP="009F0D12">
                  <w:pPr>
                    <w:jc w:val="both"/>
                    <w:rPr>
                      <w:rFonts w:asciiTheme="majorHAnsi" w:hAnsiTheme="majorHAnsi"/>
                      <w:sz w:val="16"/>
                      <w:szCs w:val="16"/>
                    </w:rPr>
                  </w:pPr>
                  <w:r w:rsidRPr="00D03496">
                    <w:rPr>
                      <w:rFonts w:asciiTheme="majorHAnsi" w:hAnsiTheme="majorHAnsi"/>
                      <w:sz w:val="16"/>
                      <w:szCs w:val="16"/>
                    </w:rPr>
                    <w:t xml:space="preserve">Rating </w:t>
                  </w:r>
                </w:p>
              </w:tc>
              <w:tc>
                <w:tcPr>
                  <w:tcW w:w="1407" w:type="dxa"/>
                  <w:shd w:val="clear" w:color="auto" w:fill="DBE5F1" w:themeFill="accent1" w:themeFillTint="33"/>
                </w:tcPr>
                <w:p w14:paraId="1E6E599B" w14:textId="77777777" w:rsidR="009F0D12" w:rsidRPr="00D03496" w:rsidRDefault="009F0D12" w:rsidP="009F0D12">
                  <w:pPr>
                    <w:jc w:val="both"/>
                    <w:rPr>
                      <w:rFonts w:asciiTheme="majorHAnsi" w:hAnsiTheme="majorHAnsi"/>
                      <w:sz w:val="16"/>
                      <w:szCs w:val="16"/>
                    </w:rPr>
                  </w:pPr>
                  <w:r w:rsidRPr="00D03496">
                    <w:rPr>
                      <w:rFonts w:asciiTheme="majorHAnsi" w:hAnsiTheme="majorHAnsi"/>
                      <w:sz w:val="16"/>
                      <w:szCs w:val="16"/>
                    </w:rPr>
                    <w:t xml:space="preserve">Target </w:t>
                  </w:r>
                </w:p>
              </w:tc>
            </w:tr>
            <w:tr w:rsidR="009F0D12" w:rsidRPr="00D9079F" w14:paraId="18B2C8FA" w14:textId="77777777" w:rsidTr="00FB4741">
              <w:tc>
                <w:tcPr>
                  <w:tcW w:w="1610" w:type="dxa"/>
                </w:tcPr>
                <w:p w14:paraId="12374E3E" w14:textId="77777777" w:rsidR="009F0D12" w:rsidRPr="00D03496" w:rsidRDefault="009F0D12" w:rsidP="009F0D12">
                  <w:pPr>
                    <w:jc w:val="both"/>
                    <w:rPr>
                      <w:rFonts w:asciiTheme="majorHAnsi" w:hAnsiTheme="majorHAnsi"/>
                      <w:sz w:val="16"/>
                      <w:szCs w:val="16"/>
                    </w:rPr>
                  </w:pPr>
                  <w:r w:rsidRPr="00D03496">
                    <w:rPr>
                      <w:rFonts w:asciiTheme="majorHAnsi" w:hAnsiTheme="majorHAnsi"/>
                      <w:sz w:val="16"/>
                      <w:szCs w:val="16"/>
                    </w:rPr>
                    <w:t xml:space="preserve">S&amp;P Net Advantage </w:t>
                  </w:r>
                </w:p>
              </w:tc>
              <w:tc>
                <w:tcPr>
                  <w:tcW w:w="1077" w:type="dxa"/>
                </w:tcPr>
                <w:p w14:paraId="6EC161A2" w14:textId="2C7967E0" w:rsidR="009F0D12" w:rsidRPr="00D03496" w:rsidRDefault="003932CD" w:rsidP="009F0D12">
                  <w:pPr>
                    <w:jc w:val="both"/>
                    <w:rPr>
                      <w:rFonts w:asciiTheme="majorHAnsi" w:hAnsiTheme="majorHAnsi"/>
                      <w:sz w:val="16"/>
                      <w:szCs w:val="16"/>
                    </w:rPr>
                  </w:pPr>
                  <w:r>
                    <w:rPr>
                      <w:rFonts w:asciiTheme="majorHAnsi" w:hAnsiTheme="majorHAnsi"/>
                      <w:sz w:val="16"/>
                      <w:szCs w:val="16"/>
                    </w:rPr>
                    <w:t>Buy</w:t>
                  </w:r>
                </w:p>
              </w:tc>
              <w:tc>
                <w:tcPr>
                  <w:tcW w:w="1407" w:type="dxa"/>
                </w:tcPr>
                <w:p w14:paraId="0BCB7E23" w14:textId="1DB86413" w:rsidR="009F0D12" w:rsidRPr="00D03496" w:rsidRDefault="003932CD" w:rsidP="009F0D12">
                  <w:pPr>
                    <w:jc w:val="both"/>
                    <w:rPr>
                      <w:rFonts w:asciiTheme="majorHAnsi" w:hAnsiTheme="majorHAnsi"/>
                      <w:sz w:val="16"/>
                      <w:szCs w:val="16"/>
                    </w:rPr>
                  </w:pPr>
                  <w:r>
                    <w:rPr>
                      <w:rFonts w:asciiTheme="majorHAnsi" w:hAnsiTheme="majorHAnsi"/>
                      <w:sz w:val="16"/>
                      <w:szCs w:val="16"/>
                    </w:rPr>
                    <w:t>$135</w:t>
                  </w:r>
                </w:p>
              </w:tc>
            </w:tr>
            <w:tr w:rsidR="00766C69" w:rsidRPr="00D9079F" w14:paraId="35B4D85C" w14:textId="77777777" w:rsidTr="00FB4741">
              <w:trPr>
                <w:trHeight w:val="215"/>
              </w:trPr>
              <w:tc>
                <w:tcPr>
                  <w:tcW w:w="1610" w:type="dxa"/>
                </w:tcPr>
                <w:p w14:paraId="1DD4E482" w14:textId="4558A51F" w:rsidR="00766C69" w:rsidRPr="00D03496" w:rsidRDefault="00766C69" w:rsidP="009F0D12">
                  <w:pPr>
                    <w:jc w:val="both"/>
                    <w:rPr>
                      <w:rFonts w:asciiTheme="majorHAnsi" w:hAnsiTheme="majorHAnsi"/>
                      <w:sz w:val="16"/>
                      <w:szCs w:val="16"/>
                    </w:rPr>
                  </w:pPr>
                  <w:r w:rsidRPr="00D03496">
                    <w:rPr>
                      <w:rFonts w:asciiTheme="majorHAnsi" w:hAnsiTheme="majorHAnsi"/>
                      <w:sz w:val="16"/>
                      <w:szCs w:val="16"/>
                    </w:rPr>
                    <w:t>Morning Star</w:t>
                  </w:r>
                </w:p>
              </w:tc>
              <w:tc>
                <w:tcPr>
                  <w:tcW w:w="1077" w:type="dxa"/>
                </w:tcPr>
                <w:p w14:paraId="0B4EFFDC" w14:textId="6D3F5BD1" w:rsidR="00766C69" w:rsidRPr="00D03496" w:rsidRDefault="007A040E" w:rsidP="009F0D12">
                  <w:pPr>
                    <w:jc w:val="both"/>
                    <w:rPr>
                      <w:rFonts w:asciiTheme="majorHAnsi" w:hAnsiTheme="majorHAnsi"/>
                      <w:sz w:val="16"/>
                      <w:szCs w:val="16"/>
                    </w:rPr>
                  </w:pPr>
                  <w:r w:rsidRPr="00D03496">
                    <w:rPr>
                      <w:rFonts w:asciiTheme="majorHAnsi" w:hAnsiTheme="majorHAnsi"/>
                      <w:sz w:val="16"/>
                      <w:szCs w:val="16"/>
                    </w:rPr>
                    <w:t>***</w:t>
                  </w:r>
                  <w:r w:rsidR="003932CD">
                    <w:rPr>
                      <w:rFonts w:asciiTheme="majorHAnsi" w:hAnsiTheme="majorHAnsi"/>
                      <w:sz w:val="16"/>
                      <w:szCs w:val="16"/>
                    </w:rPr>
                    <w:t>*</w:t>
                  </w:r>
                </w:p>
              </w:tc>
              <w:tc>
                <w:tcPr>
                  <w:tcW w:w="1407" w:type="dxa"/>
                </w:tcPr>
                <w:p w14:paraId="70BA49F9" w14:textId="66A77A5D" w:rsidR="00766C69" w:rsidRPr="00D03496" w:rsidRDefault="00D672EC" w:rsidP="003932CD">
                  <w:pPr>
                    <w:jc w:val="both"/>
                    <w:rPr>
                      <w:rFonts w:asciiTheme="majorHAnsi" w:hAnsiTheme="majorHAnsi"/>
                      <w:sz w:val="16"/>
                      <w:szCs w:val="16"/>
                    </w:rPr>
                  </w:pPr>
                  <w:r w:rsidRPr="00D03496">
                    <w:rPr>
                      <w:rFonts w:asciiTheme="majorHAnsi" w:hAnsiTheme="majorHAnsi"/>
                      <w:sz w:val="16"/>
                      <w:szCs w:val="16"/>
                    </w:rPr>
                    <w:t>$</w:t>
                  </w:r>
                  <w:r w:rsidR="003932CD">
                    <w:rPr>
                      <w:rFonts w:asciiTheme="majorHAnsi" w:hAnsiTheme="majorHAnsi"/>
                      <w:sz w:val="16"/>
                      <w:szCs w:val="16"/>
                    </w:rPr>
                    <w:t>124</w:t>
                  </w:r>
                </w:p>
              </w:tc>
            </w:tr>
            <w:tr w:rsidR="00766C69" w:rsidRPr="00D9079F" w14:paraId="0BBF9B66" w14:textId="77777777" w:rsidTr="00FB4741">
              <w:trPr>
                <w:trHeight w:val="215"/>
              </w:trPr>
              <w:tc>
                <w:tcPr>
                  <w:tcW w:w="1610" w:type="dxa"/>
                </w:tcPr>
                <w:p w14:paraId="0E7E15E7" w14:textId="50B93F2B" w:rsidR="00766C69" w:rsidRPr="00D03496" w:rsidRDefault="00766C69" w:rsidP="009F0D12">
                  <w:pPr>
                    <w:jc w:val="both"/>
                    <w:rPr>
                      <w:rFonts w:asciiTheme="majorHAnsi" w:hAnsiTheme="majorHAnsi"/>
                      <w:sz w:val="16"/>
                      <w:szCs w:val="16"/>
                    </w:rPr>
                  </w:pPr>
                  <w:r w:rsidRPr="00D03496">
                    <w:rPr>
                      <w:rFonts w:asciiTheme="majorHAnsi" w:hAnsiTheme="majorHAnsi"/>
                      <w:sz w:val="16"/>
                      <w:szCs w:val="16"/>
                    </w:rPr>
                    <w:t xml:space="preserve">Value Line </w:t>
                  </w:r>
                </w:p>
              </w:tc>
              <w:tc>
                <w:tcPr>
                  <w:tcW w:w="1077" w:type="dxa"/>
                </w:tcPr>
                <w:p w14:paraId="161AF23F" w14:textId="71D9ED37" w:rsidR="00766C69" w:rsidRPr="00D03496" w:rsidRDefault="007A040E" w:rsidP="00D672EC">
                  <w:pPr>
                    <w:jc w:val="both"/>
                    <w:rPr>
                      <w:rFonts w:asciiTheme="majorHAnsi" w:hAnsiTheme="majorHAnsi"/>
                      <w:sz w:val="16"/>
                      <w:szCs w:val="16"/>
                    </w:rPr>
                  </w:pPr>
                  <w:r w:rsidRPr="00D03496">
                    <w:rPr>
                      <w:rFonts w:asciiTheme="majorHAnsi" w:hAnsiTheme="majorHAnsi"/>
                      <w:sz w:val="16"/>
                      <w:szCs w:val="16"/>
                    </w:rPr>
                    <w:t xml:space="preserve">T: </w:t>
                  </w:r>
                  <w:r w:rsidR="003932CD">
                    <w:rPr>
                      <w:rFonts w:asciiTheme="majorHAnsi" w:hAnsiTheme="majorHAnsi"/>
                      <w:sz w:val="16"/>
                      <w:szCs w:val="16"/>
                    </w:rPr>
                    <w:t>3 S: 3</w:t>
                  </w:r>
                </w:p>
              </w:tc>
              <w:tc>
                <w:tcPr>
                  <w:tcW w:w="1407" w:type="dxa"/>
                </w:tcPr>
                <w:p w14:paraId="22CC1EA0" w14:textId="40A6CB72" w:rsidR="00766C69" w:rsidRPr="00D03496" w:rsidRDefault="00D03496" w:rsidP="009F0D12">
                  <w:pPr>
                    <w:jc w:val="both"/>
                    <w:rPr>
                      <w:rFonts w:asciiTheme="majorHAnsi" w:hAnsiTheme="majorHAnsi"/>
                      <w:sz w:val="16"/>
                      <w:szCs w:val="16"/>
                    </w:rPr>
                  </w:pPr>
                  <w:r w:rsidRPr="00D03496">
                    <w:rPr>
                      <w:rFonts w:asciiTheme="majorHAnsi" w:hAnsiTheme="majorHAnsi"/>
                      <w:sz w:val="16"/>
                      <w:szCs w:val="16"/>
                    </w:rPr>
                    <w:t>$</w:t>
                  </w:r>
                  <w:r w:rsidR="003932CD">
                    <w:rPr>
                      <w:rFonts w:asciiTheme="majorHAnsi" w:hAnsiTheme="majorHAnsi"/>
                      <w:sz w:val="16"/>
                      <w:szCs w:val="16"/>
                    </w:rPr>
                    <w:t>120-180</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3436494D" w:rsidR="00830F06" w:rsidRPr="00D9079F" w:rsidRDefault="00830F06" w:rsidP="00443ED9">
      <w:pPr>
        <w:ind w:left="-1440"/>
        <w:jc w:val="both"/>
        <w:rPr>
          <w:rFonts w:asciiTheme="majorHAnsi" w:hAnsiTheme="majorHAnsi"/>
          <w:b/>
          <w:sz w:val="16"/>
          <w:szCs w:val="16"/>
        </w:rPr>
      </w:pPr>
    </w:p>
    <w:tbl>
      <w:tblPr>
        <w:tblStyle w:val="TableGrid"/>
        <w:tblW w:w="11808" w:type="dxa"/>
        <w:tblInd w:w="-1440" w:type="dxa"/>
        <w:tblLayout w:type="fixed"/>
        <w:tblLook w:val="04A0" w:firstRow="1" w:lastRow="0" w:firstColumn="1" w:lastColumn="0" w:noHBand="0" w:noVBand="1"/>
      </w:tblPr>
      <w:tblGrid>
        <w:gridCol w:w="7218"/>
        <w:gridCol w:w="4590"/>
      </w:tblGrid>
      <w:tr w:rsidR="00766C69" w:rsidRPr="00D9079F" w14:paraId="660DEC2C" w14:textId="77777777" w:rsidTr="00FC0F5A">
        <w:tc>
          <w:tcPr>
            <w:tcW w:w="721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590" w:type="dxa"/>
            <w:shd w:val="clear" w:color="auto" w:fill="365F91" w:themeFill="accent1" w:themeFillShade="BF"/>
          </w:tcPr>
          <w:p w14:paraId="335BDBD9" w14:textId="109523C3" w:rsidR="00766C69" w:rsidRPr="00D9079F" w:rsidRDefault="00766C69" w:rsidP="00FD34FE">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FC0F5A">
        <w:tc>
          <w:tcPr>
            <w:tcW w:w="7218" w:type="dxa"/>
          </w:tcPr>
          <w:p w14:paraId="67108435" w14:textId="757A8EB3" w:rsidR="00766C69" w:rsidRPr="00934A2F" w:rsidRDefault="00D00127" w:rsidP="00666BEF">
            <w:pPr>
              <w:pStyle w:val="ListParagraph"/>
              <w:ind w:left="0"/>
              <w:jc w:val="both"/>
              <w:rPr>
                <w:rFonts w:asciiTheme="majorHAnsi" w:hAnsiTheme="majorHAnsi"/>
                <w:sz w:val="16"/>
                <w:szCs w:val="16"/>
              </w:rPr>
            </w:pPr>
            <w:r>
              <w:rPr>
                <w:noProof/>
              </w:rPr>
              <w:drawing>
                <wp:inline distT="0" distB="0" distL="0" distR="0" wp14:anchorId="79C1699A" wp14:editId="0BFD2D76">
                  <wp:extent cx="4446270" cy="15532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6270" cy="1553210"/>
                          </a:xfrm>
                          <a:prstGeom prst="rect">
                            <a:avLst/>
                          </a:prstGeom>
                        </pic:spPr>
                      </pic:pic>
                    </a:graphicData>
                  </a:graphic>
                </wp:inline>
              </w:drawing>
            </w:r>
          </w:p>
        </w:tc>
        <w:tc>
          <w:tcPr>
            <w:tcW w:w="4590" w:type="dxa"/>
          </w:tcPr>
          <w:p w14:paraId="221910A7" w14:textId="0AB628C4" w:rsidR="00766C69" w:rsidRPr="00D9079F" w:rsidRDefault="009060FE" w:rsidP="00FC0F5A">
            <w:pPr>
              <w:ind w:right="278"/>
              <w:jc w:val="both"/>
              <w:rPr>
                <w:rFonts w:asciiTheme="majorHAnsi" w:hAnsiTheme="majorHAnsi"/>
                <w:b/>
                <w:sz w:val="16"/>
                <w:szCs w:val="16"/>
              </w:rPr>
            </w:pPr>
            <w:r>
              <w:rPr>
                <w:noProof/>
              </w:rPr>
              <w:drawing>
                <wp:inline distT="0" distB="0" distL="0" distR="0" wp14:anchorId="0946A639" wp14:editId="766382F7">
                  <wp:extent cx="2777490" cy="87312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7490" cy="873125"/>
                          </a:xfrm>
                          <a:prstGeom prst="rect">
                            <a:avLst/>
                          </a:prstGeom>
                        </pic:spPr>
                      </pic:pic>
                    </a:graphicData>
                  </a:graphic>
                </wp:inline>
              </w:drawing>
            </w:r>
            <w:r w:rsidR="00766C69" w:rsidRPr="00D9079F">
              <w:rPr>
                <w:rFonts w:asciiTheme="majorHAnsi" w:hAnsiTheme="majorHAnsi"/>
                <w:b/>
                <w:sz w:val="16"/>
                <w:szCs w:val="16"/>
              </w:rPr>
              <w:t>CSR Characteristics</w:t>
            </w:r>
          </w:p>
          <w:p w14:paraId="62EFF545" w14:textId="5B3CA0C0" w:rsidR="00766C69" w:rsidRPr="003B46E6" w:rsidRDefault="00B8195F" w:rsidP="00EF3592">
            <w:pPr>
              <w:ind w:hanging="18"/>
              <w:jc w:val="center"/>
              <w:rPr>
                <w:rFonts w:asciiTheme="majorHAnsi" w:hAnsiTheme="majorHAnsi"/>
                <w:b/>
                <w:sz w:val="14"/>
                <w:szCs w:val="16"/>
              </w:rPr>
            </w:pPr>
            <w:r>
              <w:rPr>
                <w:noProof/>
              </w:rPr>
              <w:drawing>
                <wp:inline distT="0" distB="0" distL="0" distR="0" wp14:anchorId="77050304" wp14:editId="1651A56B">
                  <wp:extent cx="261937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375" cy="1228725"/>
                          </a:xfrm>
                          <a:prstGeom prst="rect">
                            <a:avLst/>
                          </a:prstGeom>
                        </pic:spPr>
                      </pic:pic>
                    </a:graphicData>
                  </a:graphic>
                </wp:inline>
              </w:drawing>
            </w:r>
            <w:r w:rsidR="002B1DA1" w:rsidRPr="003B46E6">
              <w:rPr>
                <w:rFonts w:asciiTheme="majorHAnsi" w:hAnsiTheme="majorHAnsi"/>
                <w:b/>
                <w:sz w:val="14"/>
                <w:szCs w:val="18"/>
              </w:rPr>
              <w:t xml:space="preserve">Prepared by </w:t>
            </w:r>
            <w:r w:rsidR="001A48A7">
              <w:rPr>
                <w:rFonts w:asciiTheme="majorHAnsi" w:hAnsiTheme="majorHAnsi"/>
                <w:b/>
                <w:sz w:val="14"/>
                <w:szCs w:val="18"/>
              </w:rPr>
              <w:t xml:space="preserve">Edward Laclaustra </w:t>
            </w:r>
            <w:r w:rsidR="002B1DA1" w:rsidRPr="003B46E6">
              <w:rPr>
                <w:rFonts w:asciiTheme="majorHAnsi" w:hAnsiTheme="majorHAnsi"/>
                <w:b/>
                <w:sz w:val="14"/>
                <w:szCs w:val="18"/>
              </w:rPr>
              <w:t>(</w:t>
            </w:r>
            <w:r w:rsidR="003F7DDF">
              <w:rPr>
                <w:rFonts w:asciiTheme="majorHAnsi" w:hAnsiTheme="majorHAnsi"/>
                <w:b/>
                <w:sz w:val="14"/>
                <w:szCs w:val="18"/>
              </w:rPr>
              <w:t>Feb 18</w:t>
            </w:r>
            <w:r w:rsidR="002B1DA1" w:rsidRPr="003B46E6">
              <w:rPr>
                <w:rFonts w:asciiTheme="majorHAnsi" w:hAnsiTheme="majorHAnsi"/>
                <w:b/>
                <w:sz w:val="14"/>
                <w:szCs w:val="18"/>
              </w:rPr>
              <w:t>, 201</w:t>
            </w:r>
            <w:r w:rsidR="00666BEF">
              <w:rPr>
                <w:rFonts w:asciiTheme="majorHAnsi" w:hAnsiTheme="majorHAnsi"/>
                <w:b/>
                <w:sz w:val="14"/>
                <w:szCs w:val="18"/>
              </w:rPr>
              <w:t>6</w:t>
            </w:r>
            <w:r w:rsidR="002B1DA1" w:rsidRPr="003B46E6">
              <w:rPr>
                <w:rFonts w:asciiTheme="majorHAnsi" w:hAnsiTheme="majorHAnsi"/>
                <w:b/>
                <w:sz w:val="14"/>
                <w:szCs w:val="18"/>
              </w:rPr>
              <w:t>) using Bloomberg, Value Line, S&amp;P Net Advantage, Morning Star, Yahoo Finance</w:t>
            </w:r>
          </w:p>
        </w:tc>
      </w:tr>
    </w:tbl>
    <w:p w14:paraId="5C1E381E" w14:textId="298219EC" w:rsidR="0027556A" w:rsidRDefault="0027556A" w:rsidP="002B1DA1">
      <w:pPr>
        <w:ind w:hanging="1440"/>
        <w:rPr>
          <w:rFonts w:asciiTheme="majorHAnsi" w:hAnsiTheme="majorHAnsi"/>
          <w:sz w:val="14"/>
          <w:szCs w:val="16"/>
        </w:rPr>
      </w:pPr>
    </w:p>
    <w:p w14:paraId="6B4AA3FD" w14:textId="33687230" w:rsidR="00E55791" w:rsidRDefault="00E55791">
      <w:pPr>
        <w:rPr>
          <w:rFonts w:asciiTheme="majorHAnsi" w:hAnsiTheme="majorHAnsi"/>
          <w:sz w:val="14"/>
          <w:szCs w:val="16"/>
        </w:rPr>
      </w:pPr>
      <w:r>
        <w:rPr>
          <w:rFonts w:asciiTheme="majorHAnsi" w:hAnsiTheme="majorHAnsi"/>
          <w:sz w:val="14"/>
          <w:szCs w:val="16"/>
        </w:rPr>
        <w:br w:type="page"/>
      </w:r>
    </w:p>
    <w:p w14:paraId="4C5BA5D8" w14:textId="77777777" w:rsidR="00AF2158" w:rsidRDefault="00AF2158" w:rsidP="00E55791">
      <w:pPr>
        <w:rPr>
          <w:noProof/>
        </w:rPr>
      </w:pPr>
    </w:p>
    <w:p w14:paraId="48F15AFA" w14:textId="0B66C219" w:rsidR="00830F06" w:rsidRPr="00960020" w:rsidRDefault="00AF2158" w:rsidP="00E55791">
      <w:pPr>
        <w:rPr>
          <w:rFonts w:asciiTheme="majorHAnsi" w:hAnsiTheme="majorHAnsi"/>
          <w:sz w:val="14"/>
          <w:szCs w:val="16"/>
        </w:rPr>
      </w:pPr>
      <w:r>
        <w:rPr>
          <w:noProof/>
        </w:rPr>
        <w:drawing>
          <wp:inline distT="0" distB="0" distL="0" distR="0" wp14:anchorId="7E883BB8" wp14:editId="0030F002">
            <wp:extent cx="5486400" cy="3738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738880"/>
                    </a:xfrm>
                    <a:prstGeom prst="rect">
                      <a:avLst/>
                    </a:prstGeom>
                  </pic:spPr>
                </pic:pic>
              </a:graphicData>
            </a:graphic>
          </wp:inline>
        </w:drawing>
      </w: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2BEE"/>
    <w:multiLevelType w:val="hybridMultilevel"/>
    <w:tmpl w:val="EC26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3153C"/>
    <w:multiLevelType w:val="hybridMultilevel"/>
    <w:tmpl w:val="9ECE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94DD4"/>
    <w:multiLevelType w:val="hybridMultilevel"/>
    <w:tmpl w:val="2646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0557E"/>
    <w:rsid w:val="00006C9A"/>
    <w:rsid w:val="000145A7"/>
    <w:rsid w:val="00022508"/>
    <w:rsid w:val="00026F5E"/>
    <w:rsid w:val="00034A52"/>
    <w:rsid w:val="00050679"/>
    <w:rsid w:val="00056CE9"/>
    <w:rsid w:val="00066CC4"/>
    <w:rsid w:val="00070A2C"/>
    <w:rsid w:val="00071AC8"/>
    <w:rsid w:val="00071F4F"/>
    <w:rsid w:val="00096901"/>
    <w:rsid w:val="0009757B"/>
    <w:rsid w:val="000B7D53"/>
    <w:rsid w:val="000E0407"/>
    <w:rsid w:val="000E0C3A"/>
    <w:rsid w:val="00130415"/>
    <w:rsid w:val="0013332F"/>
    <w:rsid w:val="001366A3"/>
    <w:rsid w:val="0014778C"/>
    <w:rsid w:val="00192B6F"/>
    <w:rsid w:val="00197A37"/>
    <w:rsid w:val="001A0951"/>
    <w:rsid w:val="001A1781"/>
    <w:rsid w:val="001A48A7"/>
    <w:rsid w:val="001A4CD7"/>
    <w:rsid w:val="001A54DB"/>
    <w:rsid w:val="001C5C89"/>
    <w:rsid w:val="001F411C"/>
    <w:rsid w:val="001F4C8C"/>
    <w:rsid w:val="0021182D"/>
    <w:rsid w:val="002231A8"/>
    <w:rsid w:val="00230BD4"/>
    <w:rsid w:val="00230BFF"/>
    <w:rsid w:val="00231ED5"/>
    <w:rsid w:val="00245DD4"/>
    <w:rsid w:val="002535D2"/>
    <w:rsid w:val="00254456"/>
    <w:rsid w:val="00256907"/>
    <w:rsid w:val="00274740"/>
    <w:rsid w:val="0027556A"/>
    <w:rsid w:val="00284A3E"/>
    <w:rsid w:val="00291662"/>
    <w:rsid w:val="0029559F"/>
    <w:rsid w:val="002B04FE"/>
    <w:rsid w:val="002B1DA1"/>
    <w:rsid w:val="002C75DD"/>
    <w:rsid w:val="002D3CFC"/>
    <w:rsid w:val="002D78A1"/>
    <w:rsid w:val="003073EA"/>
    <w:rsid w:val="003173DA"/>
    <w:rsid w:val="0033512A"/>
    <w:rsid w:val="00371C05"/>
    <w:rsid w:val="00375DB5"/>
    <w:rsid w:val="00384388"/>
    <w:rsid w:val="00392411"/>
    <w:rsid w:val="00392719"/>
    <w:rsid w:val="003932CD"/>
    <w:rsid w:val="003B3070"/>
    <w:rsid w:val="003B46E6"/>
    <w:rsid w:val="003D0867"/>
    <w:rsid w:val="003D721D"/>
    <w:rsid w:val="003E5DB4"/>
    <w:rsid w:val="003E7CA1"/>
    <w:rsid w:val="003F7DDF"/>
    <w:rsid w:val="00401063"/>
    <w:rsid w:val="00413761"/>
    <w:rsid w:val="0042162B"/>
    <w:rsid w:val="00441BA8"/>
    <w:rsid w:val="004436C7"/>
    <w:rsid w:val="00443ED9"/>
    <w:rsid w:val="00455F5A"/>
    <w:rsid w:val="00462682"/>
    <w:rsid w:val="00491B06"/>
    <w:rsid w:val="004A62E8"/>
    <w:rsid w:val="004D2D8B"/>
    <w:rsid w:val="004D3729"/>
    <w:rsid w:val="004E1936"/>
    <w:rsid w:val="004E6DB4"/>
    <w:rsid w:val="004F0571"/>
    <w:rsid w:val="004F2EAA"/>
    <w:rsid w:val="004F5B56"/>
    <w:rsid w:val="0050052A"/>
    <w:rsid w:val="0051170E"/>
    <w:rsid w:val="00512F91"/>
    <w:rsid w:val="00547B13"/>
    <w:rsid w:val="0056019E"/>
    <w:rsid w:val="00575123"/>
    <w:rsid w:val="00581B35"/>
    <w:rsid w:val="00585C89"/>
    <w:rsid w:val="0059647E"/>
    <w:rsid w:val="005A0D42"/>
    <w:rsid w:val="005E114B"/>
    <w:rsid w:val="0060598F"/>
    <w:rsid w:val="00630E4C"/>
    <w:rsid w:val="00664D64"/>
    <w:rsid w:val="00666BEF"/>
    <w:rsid w:val="006704F5"/>
    <w:rsid w:val="00674795"/>
    <w:rsid w:val="00676C67"/>
    <w:rsid w:val="00690115"/>
    <w:rsid w:val="006953F0"/>
    <w:rsid w:val="006A07A0"/>
    <w:rsid w:val="006A37B5"/>
    <w:rsid w:val="006A61A4"/>
    <w:rsid w:val="006A7E5F"/>
    <w:rsid w:val="006C1408"/>
    <w:rsid w:val="006E2939"/>
    <w:rsid w:val="006E44B8"/>
    <w:rsid w:val="006E5EA1"/>
    <w:rsid w:val="00706035"/>
    <w:rsid w:val="00743904"/>
    <w:rsid w:val="00746C23"/>
    <w:rsid w:val="0076327C"/>
    <w:rsid w:val="00766C69"/>
    <w:rsid w:val="00767EA9"/>
    <w:rsid w:val="00770F8B"/>
    <w:rsid w:val="00772B0A"/>
    <w:rsid w:val="00796063"/>
    <w:rsid w:val="007A040E"/>
    <w:rsid w:val="007B1B21"/>
    <w:rsid w:val="007B2A6D"/>
    <w:rsid w:val="007B6409"/>
    <w:rsid w:val="007C5299"/>
    <w:rsid w:val="007E1D8C"/>
    <w:rsid w:val="007F4659"/>
    <w:rsid w:val="00803484"/>
    <w:rsid w:val="00804E00"/>
    <w:rsid w:val="00815FF3"/>
    <w:rsid w:val="00830F06"/>
    <w:rsid w:val="008318A9"/>
    <w:rsid w:val="00832142"/>
    <w:rsid w:val="00835134"/>
    <w:rsid w:val="00841679"/>
    <w:rsid w:val="00846714"/>
    <w:rsid w:val="00846BE3"/>
    <w:rsid w:val="00852DFB"/>
    <w:rsid w:val="00857BC1"/>
    <w:rsid w:val="00874223"/>
    <w:rsid w:val="00875430"/>
    <w:rsid w:val="00876232"/>
    <w:rsid w:val="0088582D"/>
    <w:rsid w:val="008938FE"/>
    <w:rsid w:val="008B72AE"/>
    <w:rsid w:val="008C630B"/>
    <w:rsid w:val="008C7FEA"/>
    <w:rsid w:val="008D49EF"/>
    <w:rsid w:val="00900789"/>
    <w:rsid w:val="009007A6"/>
    <w:rsid w:val="009060FE"/>
    <w:rsid w:val="00911AF8"/>
    <w:rsid w:val="00915605"/>
    <w:rsid w:val="00920D13"/>
    <w:rsid w:val="00923CAB"/>
    <w:rsid w:val="00925975"/>
    <w:rsid w:val="00934A2F"/>
    <w:rsid w:val="00951D7A"/>
    <w:rsid w:val="00960020"/>
    <w:rsid w:val="009B1413"/>
    <w:rsid w:val="009B48B9"/>
    <w:rsid w:val="009B5E2E"/>
    <w:rsid w:val="009C2716"/>
    <w:rsid w:val="009C57C6"/>
    <w:rsid w:val="009D5A45"/>
    <w:rsid w:val="009D7A72"/>
    <w:rsid w:val="009F0D12"/>
    <w:rsid w:val="009F2E51"/>
    <w:rsid w:val="00A21885"/>
    <w:rsid w:val="00A27AE0"/>
    <w:rsid w:val="00A30926"/>
    <w:rsid w:val="00A5442D"/>
    <w:rsid w:val="00A56542"/>
    <w:rsid w:val="00A603A6"/>
    <w:rsid w:val="00A63E9D"/>
    <w:rsid w:val="00A8460D"/>
    <w:rsid w:val="00A85575"/>
    <w:rsid w:val="00AA0C48"/>
    <w:rsid w:val="00AA5ED5"/>
    <w:rsid w:val="00AB003F"/>
    <w:rsid w:val="00AC6A2C"/>
    <w:rsid w:val="00AF2158"/>
    <w:rsid w:val="00AF471E"/>
    <w:rsid w:val="00B14721"/>
    <w:rsid w:val="00B22327"/>
    <w:rsid w:val="00B22694"/>
    <w:rsid w:val="00B502EC"/>
    <w:rsid w:val="00B7642F"/>
    <w:rsid w:val="00B8195F"/>
    <w:rsid w:val="00B94DBA"/>
    <w:rsid w:val="00BA6F89"/>
    <w:rsid w:val="00BB0C4E"/>
    <w:rsid w:val="00BB0E38"/>
    <w:rsid w:val="00BB3908"/>
    <w:rsid w:val="00BB543E"/>
    <w:rsid w:val="00BB61F8"/>
    <w:rsid w:val="00BC5E50"/>
    <w:rsid w:val="00BE6512"/>
    <w:rsid w:val="00BF2DE5"/>
    <w:rsid w:val="00C15E83"/>
    <w:rsid w:val="00C161B3"/>
    <w:rsid w:val="00C2195E"/>
    <w:rsid w:val="00C352F3"/>
    <w:rsid w:val="00C37AB2"/>
    <w:rsid w:val="00C441B3"/>
    <w:rsid w:val="00C4755F"/>
    <w:rsid w:val="00C8095F"/>
    <w:rsid w:val="00C8649B"/>
    <w:rsid w:val="00C9117C"/>
    <w:rsid w:val="00CC03B8"/>
    <w:rsid w:val="00CC5418"/>
    <w:rsid w:val="00CD7EF5"/>
    <w:rsid w:val="00CE09D2"/>
    <w:rsid w:val="00CE4435"/>
    <w:rsid w:val="00CE6C01"/>
    <w:rsid w:val="00CF27D4"/>
    <w:rsid w:val="00CF2F28"/>
    <w:rsid w:val="00D00127"/>
    <w:rsid w:val="00D03496"/>
    <w:rsid w:val="00D16B81"/>
    <w:rsid w:val="00D363A8"/>
    <w:rsid w:val="00D50F9B"/>
    <w:rsid w:val="00D570FE"/>
    <w:rsid w:val="00D636EF"/>
    <w:rsid w:val="00D672EC"/>
    <w:rsid w:val="00D9079F"/>
    <w:rsid w:val="00D92C96"/>
    <w:rsid w:val="00DA56AC"/>
    <w:rsid w:val="00DB5A10"/>
    <w:rsid w:val="00DD2BB1"/>
    <w:rsid w:val="00E14AC6"/>
    <w:rsid w:val="00E20C55"/>
    <w:rsid w:val="00E349B1"/>
    <w:rsid w:val="00E3542E"/>
    <w:rsid w:val="00E42CC2"/>
    <w:rsid w:val="00E51FAC"/>
    <w:rsid w:val="00E55791"/>
    <w:rsid w:val="00E5675C"/>
    <w:rsid w:val="00E60A49"/>
    <w:rsid w:val="00E8555E"/>
    <w:rsid w:val="00E9081A"/>
    <w:rsid w:val="00E90970"/>
    <w:rsid w:val="00E916A2"/>
    <w:rsid w:val="00E96739"/>
    <w:rsid w:val="00EA31B0"/>
    <w:rsid w:val="00EA5213"/>
    <w:rsid w:val="00EC2755"/>
    <w:rsid w:val="00EC75B4"/>
    <w:rsid w:val="00ED6EC7"/>
    <w:rsid w:val="00EF3592"/>
    <w:rsid w:val="00F008CC"/>
    <w:rsid w:val="00F04E1E"/>
    <w:rsid w:val="00F130CB"/>
    <w:rsid w:val="00F224A9"/>
    <w:rsid w:val="00F5552B"/>
    <w:rsid w:val="00F56067"/>
    <w:rsid w:val="00F65A7F"/>
    <w:rsid w:val="00F77D0C"/>
    <w:rsid w:val="00F856C9"/>
    <w:rsid w:val="00F90D77"/>
    <w:rsid w:val="00F92EDE"/>
    <w:rsid w:val="00F96F5E"/>
    <w:rsid w:val="00FB4741"/>
    <w:rsid w:val="00FC0F5A"/>
    <w:rsid w:val="00FC20D0"/>
    <w:rsid w:val="00FC33EF"/>
    <w:rsid w:val="00FC4084"/>
    <w:rsid w:val="00FD0265"/>
    <w:rsid w:val="00FD34FE"/>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4C6A44EC-7D4C-4A6A-B9CE-2F49C8B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472">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189655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6CEE-5E2A-450C-95CC-24781C7B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Edward Laclaustra</cp:lastModifiedBy>
  <cp:revision>7</cp:revision>
  <cp:lastPrinted>2016-02-03T00:26:00Z</cp:lastPrinted>
  <dcterms:created xsi:type="dcterms:W3CDTF">2016-02-18T17:14:00Z</dcterms:created>
  <dcterms:modified xsi:type="dcterms:W3CDTF">2016-02-18T22:02:00Z</dcterms:modified>
</cp:coreProperties>
</file>