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380902">
        <w:trPr>
          <w:trHeight w:val="80"/>
        </w:trPr>
        <w:tc>
          <w:tcPr>
            <w:tcW w:w="3150" w:type="dxa"/>
            <w:shd w:val="clear" w:color="auto" w:fill="365F91" w:themeFill="accent1" w:themeFillShade="BF"/>
          </w:tcPr>
          <w:p w14:paraId="2E49CA38" w14:textId="62CA1818" w:rsidR="00C8095F" w:rsidRPr="00D9079F" w:rsidRDefault="00C8095F" w:rsidP="00735460">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Company: </w:t>
            </w:r>
            <w:r w:rsidR="00735460">
              <w:rPr>
                <w:rFonts w:asciiTheme="majorHAnsi" w:hAnsiTheme="majorHAnsi"/>
                <w:b/>
                <w:color w:val="FFFFFF" w:themeColor="background1"/>
                <w:sz w:val="16"/>
                <w:szCs w:val="16"/>
              </w:rPr>
              <w:t>AvalonBay Communities Inc</w:t>
            </w:r>
          </w:p>
        </w:tc>
        <w:tc>
          <w:tcPr>
            <w:tcW w:w="3150" w:type="dxa"/>
            <w:shd w:val="clear" w:color="auto" w:fill="365F91" w:themeFill="accent1" w:themeFillShade="BF"/>
          </w:tcPr>
          <w:p w14:paraId="5FDF97F0" w14:textId="2A2E8837" w:rsidR="00C8095F" w:rsidRPr="00D9079F" w:rsidRDefault="00C8095F" w:rsidP="00735460">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Ticker: </w:t>
            </w:r>
            <w:r w:rsidR="00735460">
              <w:rPr>
                <w:rFonts w:asciiTheme="majorHAnsi" w:hAnsiTheme="majorHAnsi"/>
                <w:b/>
                <w:color w:val="FFFFFF" w:themeColor="background1"/>
                <w:sz w:val="16"/>
                <w:szCs w:val="16"/>
              </w:rPr>
              <w:t>AVB</w:t>
            </w:r>
            <w:r w:rsidRPr="00D9079F">
              <w:rPr>
                <w:rFonts w:asciiTheme="majorHAnsi" w:hAnsiTheme="majorHAnsi"/>
                <w:b/>
                <w:color w:val="FFFFFF" w:themeColor="background1"/>
                <w:sz w:val="16"/>
                <w:szCs w:val="16"/>
              </w:rPr>
              <w:t xml:space="preserve">           Current Price: $ </w:t>
            </w:r>
            <w:r w:rsidR="00735460">
              <w:rPr>
                <w:rFonts w:asciiTheme="majorHAnsi" w:hAnsiTheme="majorHAnsi"/>
                <w:b/>
                <w:color w:val="FFFFFF" w:themeColor="background1"/>
                <w:sz w:val="16"/>
                <w:szCs w:val="16"/>
              </w:rPr>
              <w:t>173.30</w:t>
            </w:r>
          </w:p>
        </w:tc>
        <w:tc>
          <w:tcPr>
            <w:tcW w:w="5400" w:type="dxa"/>
            <w:gridSpan w:val="2"/>
            <w:shd w:val="clear" w:color="auto" w:fill="365F91" w:themeFill="accent1" w:themeFillShade="BF"/>
          </w:tcPr>
          <w:p w14:paraId="417B84CE" w14:textId="2C76522F" w:rsidR="00C8095F" w:rsidRPr="00D9079F" w:rsidRDefault="00C8095F" w:rsidP="00735460">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Industry:</w:t>
            </w:r>
            <w:r w:rsidR="00735460">
              <w:rPr>
                <w:rFonts w:asciiTheme="majorHAnsi" w:hAnsiTheme="majorHAnsi"/>
                <w:b/>
                <w:color w:val="FFFFFF" w:themeColor="background1"/>
                <w:sz w:val="16"/>
                <w:szCs w:val="16"/>
              </w:rPr>
              <w:t xml:space="preserve"> Financial</w:t>
            </w:r>
            <w:r w:rsidRPr="00D9079F">
              <w:rPr>
                <w:rFonts w:asciiTheme="majorHAnsi" w:hAnsiTheme="majorHAnsi"/>
                <w:b/>
                <w:color w:val="FFFFFF" w:themeColor="background1"/>
                <w:sz w:val="16"/>
                <w:szCs w:val="16"/>
              </w:rPr>
              <w:t xml:space="preserve">       Sub Industry: </w:t>
            </w:r>
            <w:r w:rsidR="00735460">
              <w:rPr>
                <w:rFonts w:asciiTheme="majorHAnsi" w:hAnsiTheme="majorHAnsi"/>
                <w:b/>
                <w:color w:val="FFFFFF" w:themeColor="background1"/>
                <w:sz w:val="16"/>
                <w:szCs w:val="16"/>
              </w:rPr>
              <w:t>Apartment REITs</w:t>
            </w:r>
          </w:p>
        </w:tc>
      </w:tr>
      <w:tr w:rsidR="006E44B8" w:rsidRPr="00D9079F" w14:paraId="185E94E4" w14:textId="77777777" w:rsidTr="00AC6A2C">
        <w:trPr>
          <w:trHeight w:val="512"/>
        </w:trPr>
        <w:tc>
          <w:tcPr>
            <w:tcW w:w="3150" w:type="dxa"/>
          </w:tcPr>
          <w:p w14:paraId="159CAB82" w14:textId="35207E95" w:rsidR="00E8555E" w:rsidRPr="00D9079F" w:rsidRDefault="00E8555E" w:rsidP="00E8555E">
            <w:pPr>
              <w:rPr>
                <w:rFonts w:asciiTheme="majorHAnsi" w:hAnsiTheme="majorHAnsi"/>
                <w:sz w:val="16"/>
                <w:szCs w:val="16"/>
              </w:rPr>
            </w:pPr>
            <w:r w:rsidRPr="00291662">
              <w:rPr>
                <w:rFonts w:asciiTheme="majorHAnsi" w:hAnsiTheme="majorHAnsi"/>
                <w:sz w:val="16"/>
                <w:szCs w:val="16"/>
              </w:rPr>
              <w:t>Target Price</w:t>
            </w:r>
            <w:r w:rsidR="00C161B3" w:rsidRPr="00291662">
              <w:rPr>
                <w:rFonts w:asciiTheme="majorHAnsi" w:hAnsiTheme="majorHAnsi"/>
                <w:sz w:val="16"/>
                <w:szCs w:val="16"/>
              </w:rPr>
              <w:t>:</w:t>
            </w:r>
            <w:r w:rsidR="00743904" w:rsidRPr="00291662">
              <w:rPr>
                <w:rFonts w:asciiTheme="majorHAnsi" w:hAnsiTheme="majorHAnsi"/>
                <w:sz w:val="16"/>
                <w:szCs w:val="16"/>
              </w:rPr>
              <w:t xml:space="preserve"> $</w:t>
            </w:r>
            <w:r w:rsidR="00291662" w:rsidRPr="00291662">
              <w:rPr>
                <w:rFonts w:asciiTheme="majorHAnsi" w:hAnsiTheme="majorHAnsi"/>
                <w:sz w:val="16"/>
                <w:szCs w:val="16"/>
              </w:rPr>
              <w:t xml:space="preserve"> </w:t>
            </w:r>
            <w:r w:rsidR="00F66F57">
              <w:rPr>
                <w:rFonts w:asciiTheme="majorHAnsi" w:hAnsiTheme="majorHAnsi"/>
                <w:sz w:val="16"/>
                <w:szCs w:val="16"/>
              </w:rPr>
              <w:t>200.14</w:t>
            </w:r>
          </w:p>
          <w:p w14:paraId="366C508D" w14:textId="233194C4" w:rsidR="00E8555E" w:rsidRPr="00D9079F" w:rsidRDefault="00C161B3" w:rsidP="00E8555E">
            <w:pPr>
              <w:rPr>
                <w:rFonts w:asciiTheme="majorHAnsi" w:hAnsiTheme="majorHAnsi"/>
                <w:sz w:val="16"/>
                <w:szCs w:val="16"/>
              </w:rPr>
            </w:pPr>
            <w:r w:rsidRPr="00D9079F">
              <w:rPr>
                <w:rFonts w:asciiTheme="majorHAnsi" w:hAnsiTheme="majorHAnsi"/>
                <w:sz w:val="16"/>
                <w:szCs w:val="16"/>
              </w:rPr>
              <w:t>Stop Loss:</w:t>
            </w:r>
            <w:r w:rsidR="00743904" w:rsidRPr="00D9079F">
              <w:rPr>
                <w:rFonts w:asciiTheme="majorHAnsi" w:hAnsiTheme="majorHAnsi"/>
                <w:sz w:val="16"/>
                <w:szCs w:val="16"/>
              </w:rPr>
              <w:t xml:space="preserve"> $</w:t>
            </w:r>
            <w:r w:rsidR="00802992">
              <w:rPr>
                <w:rFonts w:asciiTheme="majorHAnsi" w:hAnsiTheme="majorHAnsi"/>
                <w:sz w:val="16"/>
                <w:szCs w:val="16"/>
              </w:rPr>
              <w:t>154.27</w:t>
            </w:r>
          </w:p>
          <w:p w14:paraId="7E50A51D" w14:textId="2E470FAB" w:rsidR="006E44B8" w:rsidRPr="00D9079F" w:rsidRDefault="00E8555E" w:rsidP="00735460">
            <w:pPr>
              <w:rPr>
                <w:rFonts w:asciiTheme="majorHAnsi" w:hAnsiTheme="majorHAnsi"/>
                <w:sz w:val="16"/>
                <w:szCs w:val="16"/>
              </w:rPr>
            </w:pPr>
            <w:r w:rsidRPr="00D9079F">
              <w:rPr>
                <w:rFonts w:asciiTheme="majorHAnsi" w:hAnsiTheme="majorHAnsi"/>
                <w:sz w:val="16"/>
                <w:szCs w:val="16"/>
              </w:rPr>
              <w:t>52 Week High/ Low:</w:t>
            </w:r>
            <w:r w:rsidR="00735460">
              <w:rPr>
                <w:rFonts w:asciiTheme="majorHAnsi" w:hAnsiTheme="majorHAnsi"/>
                <w:sz w:val="16"/>
                <w:szCs w:val="16"/>
              </w:rPr>
              <w:t>$186.89</w:t>
            </w:r>
            <w:r w:rsidR="00743904" w:rsidRPr="00D9079F">
              <w:rPr>
                <w:rFonts w:asciiTheme="majorHAnsi" w:hAnsiTheme="majorHAnsi" w:cs="Arial"/>
                <w:color w:val="000000"/>
                <w:sz w:val="16"/>
                <w:szCs w:val="16"/>
                <w:shd w:val="clear" w:color="auto" w:fill="FFFFFF"/>
              </w:rPr>
              <w:t> / $ </w:t>
            </w:r>
            <w:r w:rsidR="00735460">
              <w:rPr>
                <w:rFonts w:asciiTheme="majorHAnsi" w:hAnsiTheme="majorHAnsi" w:cs="Arial"/>
                <w:color w:val="000000"/>
                <w:sz w:val="16"/>
                <w:szCs w:val="16"/>
                <w:shd w:val="clear" w:color="auto" w:fill="FFFFFF"/>
              </w:rPr>
              <w:t>156.10</w:t>
            </w:r>
          </w:p>
        </w:tc>
        <w:tc>
          <w:tcPr>
            <w:tcW w:w="3150" w:type="dxa"/>
          </w:tcPr>
          <w:p w14:paraId="461A4200" w14:textId="30413C1E" w:rsidR="00E8555E" w:rsidRPr="00D9079F" w:rsidRDefault="00E8555E" w:rsidP="00E8555E">
            <w:pPr>
              <w:rPr>
                <w:rFonts w:asciiTheme="majorHAnsi" w:hAnsiTheme="majorHAnsi"/>
                <w:sz w:val="16"/>
                <w:szCs w:val="16"/>
              </w:rPr>
            </w:pPr>
            <w:r w:rsidRPr="00D9079F">
              <w:rPr>
                <w:rFonts w:asciiTheme="majorHAnsi" w:hAnsiTheme="majorHAnsi"/>
                <w:sz w:val="16"/>
                <w:szCs w:val="16"/>
              </w:rPr>
              <w:t>TTM P/</w:t>
            </w:r>
            <w:r w:rsidR="00802992">
              <w:rPr>
                <w:rFonts w:asciiTheme="majorHAnsi" w:hAnsiTheme="majorHAnsi"/>
                <w:sz w:val="16"/>
                <w:szCs w:val="16"/>
              </w:rPr>
              <w:t>FFO</w:t>
            </w:r>
            <w:r w:rsidRPr="00D9079F">
              <w:rPr>
                <w:rFonts w:asciiTheme="majorHAnsi" w:hAnsiTheme="majorHAnsi"/>
                <w:sz w:val="16"/>
                <w:szCs w:val="16"/>
              </w:rPr>
              <w:t xml:space="preserve">: </w:t>
            </w:r>
            <w:r w:rsidR="005E26B6">
              <w:rPr>
                <w:rFonts w:asciiTheme="majorHAnsi" w:hAnsiTheme="majorHAnsi"/>
                <w:sz w:val="16"/>
                <w:szCs w:val="16"/>
              </w:rPr>
              <w:t>22.07</w:t>
            </w:r>
          </w:p>
          <w:p w14:paraId="7862C274" w14:textId="22511A6F" w:rsidR="00E8555E" w:rsidRPr="00D9079F" w:rsidRDefault="00802992" w:rsidP="00E8555E">
            <w:pPr>
              <w:rPr>
                <w:rFonts w:asciiTheme="majorHAnsi" w:hAnsiTheme="majorHAnsi"/>
                <w:sz w:val="16"/>
                <w:szCs w:val="16"/>
                <w:highlight w:val="yellow"/>
              </w:rPr>
            </w:pPr>
            <w:r>
              <w:rPr>
                <w:rFonts w:asciiTheme="majorHAnsi" w:hAnsiTheme="majorHAnsi"/>
                <w:sz w:val="16"/>
                <w:szCs w:val="16"/>
              </w:rPr>
              <w:t>Forward P/FFO</w:t>
            </w:r>
            <w:r w:rsidR="00E8555E" w:rsidRPr="00D9079F">
              <w:rPr>
                <w:rFonts w:asciiTheme="majorHAnsi" w:hAnsiTheme="majorHAnsi"/>
                <w:sz w:val="16"/>
                <w:szCs w:val="16"/>
              </w:rPr>
              <w:t xml:space="preserve">: </w:t>
            </w:r>
            <w:r w:rsidR="005E26B6">
              <w:rPr>
                <w:rFonts w:asciiTheme="majorHAnsi" w:hAnsiTheme="majorHAnsi"/>
                <w:sz w:val="16"/>
                <w:szCs w:val="16"/>
              </w:rPr>
              <w:t>22.3</w:t>
            </w:r>
          </w:p>
          <w:p w14:paraId="5AA3FEF7" w14:textId="63D738B3" w:rsidR="006E44B8" w:rsidRPr="00D9079F" w:rsidRDefault="005E26B6" w:rsidP="005E26B6">
            <w:pPr>
              <w:rPr>
                <w:rFonts w:asciiTheme="majorHAnsi" w:hAnsiTheme="majorHAnsi"/>
                <w:sz w:val="16"/>
                <w:szCs w:val="16"/>
              </w:rPr>
            </w:pPr>
            <w:r>
              <w:rPr>
                <w:rFonts w:asciiTheme="majorHAnsi" w:hAnsiTheme="majorHAnsi"/>
                <w:sz w:val="16"/>
                <w:szCs w:val="16"/>
              </w:rPr>
              <w:t>FFO/share</w:t>
            </w:r>
            <w:r w:rsidR="00E8555E" w:rsidRPr="00D9079F">
              <w:rPr>
                <w:rFonts w:asciiTheme="majorHAnsi" w:hAnsiTheme="majorHAnsi"/>
                <w:sz w:val="16"/>
                <w:szCs w:val="16"/>
              </w:rPr>
              <w:t xml:space="preserve">: </w:t>
            </w:r>
            <w:r w:rsidR="00E60A49" w:rsidRPr="00D9079F">
              <w:rPr>
                <w:rFonts w:asciiTheme="majorHAnsi" w:hAnsiTheme="majorHAnsi"/>
                <w:sz w:val="16"/>
                <w:szCs w:val="16"/>
              </w:rPr>
              <w:t>$</w:t>
            </w:r>
            <w:r>
              <w:rPr>
                <w:rFonts w:asciiTheme="majorHAnsi" w:hAnsiTheme="majorHAnsi"/>
                <w:sz w:val="16"/>
                <w:szCs w:val="16"/>
              </w:rPr>
              <w:t>7.84</w:t>
            </w:r>
          </w:p>
        </w:tc>
        <w:tc>
          <w:tcPr>
            <w:tcW w:w="2160" w:type="dxa"/>
            <w:shd w:val="clear" w:color="auto" w:fill="auto"/>
          </w:tcPr>
          <w:p w14:paraId="25238E11" w14:textId="5B115A64" w:rsidR="00E8555E" w:rsidRPr="00AC6A2C" w:rsidRDefault="00923CAB" w:rsidP="00E8555E">
            <w:pPr>
              <w:rPr>
                <w:rFonts w:asciiTheme="majorHAnsi" w:hAnsiTheme="majorHAnsi"/>
                <w:sz w:val="16"/>
                <w:szCs w:val="16"/>
              </w:rPr>
            </w:pPr>
            <w:r w:rsidRPr="00AC6A2C">
              <w:rPr>
                <w:rFonts w:asciiTheme="majorHAnsi" w:hAnsiTheme="majorHAnsi"/>
                <w:sz w:val="16"/>
                <w:szCs w:val="16"/>
              </w:rPr>
              <w:t xml:space="preserve">Beta: </w:t>
            </w:r>
            <w:r w:rsidR="005E26B6">
              <w:rPr>
                <w:rFonts w:asciiTheme="majorHAnsi" w:hAnsiTheme="majorHAnsi"/>
                <w:sz w:val="16"/>
                <w:szCs w:val="16"/>
              </w:rPr>
              <w:t>.82</w:t>
            </w:r>
          </w:p>
          <w:p w14:paraId="668080B0" w14:textId="0D479CD0" w:rsidR="00E60A49" w:rsidRPr="00AC6A2C" w:rsidRDefault="00E8555E" w:rsidP="00E60A49">
            <w:pPr>
              <w:rPr>
                <w:rFonts w:asciiTheme="majorHAnsi" w:hAnsiTheme="majorHAnsi"/>
                <w:sz w:val="16"/>
                <w:szCs w:val="16"/>
              </w:rPr>
            </w:pPr>
            <w:r w:rsidRPr="00AC6A2C">
              <w:rPr>
                <w:rFonts w:asciiTheme="majorHAnsi" w:hAnsiTheme="majorHAnsi"/>
                <w:sz w:val="16"/>
                <w:szCs w:val="16"/>
              </w:rPr>
              <w:t>Credit Rating:</w:t>
            </w:r>
            <w:r w:rsidR="00743904" w:rsidRPr="00AC6A2C">
              <w:rPr>
                <w:rFonts w:asciiTheme="majorHAnsi" w:hAnsiTheme="majorHAnsi"/>
                <w:sz w:val="16"/>
                <w:szCs w:val="16"/>
              </w:rPr>
              <w:t xml:space="preserve"> </w:t>
            </w:r>
            <w:r w:rsidR="00AC6A2C" w:rsidRPr="00AC6A2C">
              <w:rPr>
                <w:rFonts w:asciiTheme="majorHAnsi" w:hAnsiTheme="majorHAnsi"/>
                <w:sz w:val="16"/>
                <w:szCs w:val="16"/>
              </w:rPr>
              <w:t>A</w:t>
            </w:r>
            <w:r w:rsidR="005E26B6">
              <w:rPr>
                <w:rFonts w:asciiTheme="majorHAnsi" w:hAnsiTheme="majorHAnsi"/>
                <w:sz w:val="16"/>
                <w:szCs w:val="16"/>
              </w:rPr>
              <w:t>-</w:t>
            </w:r>
            <w:r w:rsidR="00AC6A2C" w:rsidRPr="00AC6A2C">
              <w:rPr>
                <w:rFonts w:asciiTheme="majorHAnsi" w:hAnsiTheme="majorHAnsi"/>
                <w:sz w:val="16"/>
                <w:szCs w:val="16"/>
              </w:rPr>
              <w:t xml:space="preserve"> (S&amp;P)</w:t>
            </w:r>
          </w:p>
          <w:p w14:paraId="5BFE3D7B" w14:textId="77A00021" w:rsidR="003073EA" w:rsidRPr="00AC6A2C" w:rsidRDefault="003073EA" w:rsidP="005E26B6">
            <w:pPr>
              <w:rPr>
                <w:rFonts w:asciiTheme="majorHAnsi" w:hAnsiTheme="majorHAnsi"/>
                <w:sz w:val="16"/>
                <w:szCs w:val="16"/>
                <w:highlight w:val="yellow"/>
              </w:rPr>
            </w:pPr>
            <w:r w:rsidRPr="00AC6A2C">
              <w:rPr>
                <w:rFonts w:asciiTheme="majorHAnsi" w:hAnsiTheme="majorHAnsi"/>
                <w:sz w:val="16"/>
                <w:szCs w:val="16"/>
              </w:rPr>
              <w:t xml:space="preserve">Rating Outlook: </w:t>
            </w:r>
            <w:r w:rsidR="005E26B6">
              <w:rPr>
                <w:rFonts w:asciiTheme="majorHAnsi" w:hAnsiTheme="majorHAnsi"/>
                <w:sz w:val="16"/>
                <w:szCs w:val="16"/>
              </w:rPr>
              <w:t>Stable</w:t>
            </w:r>
          </w:p>
        </w:tc>
        <w:tc>
          <w:tcPr>
            <w:tcW w:w="3240" w:type="dxa"/>
          </w:tcPr>
          <w:p w14:paraId="438980BC" w14:textId="2D8B0510" w:rsidR="006E44B8" w:rsidRPr="00D9079F" w:rsidRDefault="0013332F">
            <w:pPr>
              <w:rPr>
                <w:rFonts w:asciiTheme="majorHAnsi" w:hAnsiTheme="majorHAnsi"/>
                <w:sz w:val="16"/>
                <w:szCs w:val="16"/>
              </w:rPr>
            </w:pPr>
            <w:r w:rsidRPr="00D9079F">
              <w:rPr>
                <w:rFonts w:asciiTheme="majorHAnsi" w:hAnsiTheme="majorHAnsi"/>
                <w:sz w:val="16"/>
                <w:szCs w:val="16"/>
              </w:rPr>
              <w:t xml:space="preserve">Market Cap: </w:t>
            </w:r>
            <w:r w:rsidR="00743904" w:rsidRPr="00D9079F">
              <w:rPr>
                <w:rFonts w:asciiTheme="majorHAnsi" w:hAnsiTheme="majorHAnsi"/>
                <w:sz w:val="16"/>
                <w:szCs w:val="16"/>
              </w:rPr>
              <w:t>$</w:t>
            </w:r>
            <w:r w:rsidR="005E26B6">
              <w:rPr>
                <w:rFonts w:asciiTheme="majorHAnsi" w:hAnsiTheme="majorHAnsi"/>
                <w:sz w:val="16"/>
                <w:szCs w:val="16"/>
              </w:rPr>
              <w:t>23.7</w:t>
            </w:r>
            <w:r w:rsidR="00E60A49" w:rsidRPr="00D9079F">
              <w:rPr>
                <w:rFonts w:asciiTheme="majorHAnsi" w:hAnsiTheme="majorHAnsi"/>
                <w:sz w:val="16"/>
                <w:szCs w:val="16"/>
              </w:rPr>
              <w:t>b</w:t>
            </w:r>
          </w:p>
          <w:p w14:paraId="37B82920" w14:textId="62E9A3FE" w:rsidR="00C441B3" w:rsidRPr="00D9079F" w:rsidRDefault="00C441B3">
            <w:pPr>
              <w:rPr>
                <w:rFonts w:asciiTheme="majorHAnsi" w:hAnsiTheme="majorHAnsi"/>
                <w:sz w:val="16"/>
                <w:szCs w:val="16"/>
              </w:rPr>
            </w:pPr>
            <w:proofErr w:type="spellStart"/>
            <w:r w:rsidRPr="00D9079F">
              <w:rPr>
                <w:rFonts w:asciiTheme="majorHAnsi" w:hAnsiTheme="majorHAnsi" w:cs="UniversLTStd-BoldCn"/>
                <w:bCs/>
                <w:sz w:val="16"/>
                <w:szCs w:val="16"/>
              </w:rPr>
              <w:t>Avg</w:t>
            </w:r>
            <w:proofErr w:type="spellEnd"/>
            <w:r w:rsidRPr="00D9079F">
              <w:rPr>
                <w:rFonts w:asciiTheme="majorHAnsi" w:hAnsiTheme="majorHAnsi" w:cs="UniversLTStd-BoldCn"/>
                <w:bCs/>
                <w:sz w:val="16"/>
                <w:szCs w:val="16"/>
              </w:rPr>
              <w:t xml:space="preserve"> Vol ( 12 M)</w:t>
            </w:r>
            <w:r w:rsidR="00BF2DE5" w:rsidRPr="00D9079F">
              <w:rPr>
                <w:rFonts w:asciiTheme="majorHAnsi" w:hAnsiTheme="majorHAnsi" w:cs="UniversLTStd-BoldCn"/>
                <w:bCs/>
                <w:sz w:val="16"/>
                <w:szCs w:val="16"/>
              </w:rPr>
              <w:t>:</w:t>
            </w:r>
            <w:r w:rsidR="00743904" w:rsidRPr="00D9079F">
              <w:rPr>
                <w:rFonts w:asciiTheme="majorHAnsi" w:hAnsiTheme="majorHAnsi" w:cs="UniversLTStd-BoldCn"/>
                <w:bCs/>
                <w:sz w:val="16"/>
                <w:szCs w:val="16"/>
              </w:rPr>
              <w:t xml:space="preserve"> </w:t>
            </w:r>
            <w:r w:rsidR="00281D41">
              <w:rPr>
                <w:rFonts w:asciiTheme="majorHAnsi" w:hAnsiTheme="majorHAnsi" w:cs="UniversLTStd-BoldCn"/>
                <w:bCs/>
                <w:sz w:val="16"/>
                <w:szCs w:val="16"/>
              </w:rPr>
              <w:t>750,782</w:t>
            </w:r>
          </w:p>
          <w:p w14:paraId="0D1C791A" w14:textId="7317250C" w:rsidR="00E5675C" w:rsidRPr="00D9079F" w:rsidRDefault="00E5675C" w:rsidP="00735460">
            <w:pPr>
              <w:rPr>
                <w:rFonts w:asciiTheme="majorHAnsi" w:hAnsiTheme="majorHAnsi"/>
                <w:sz w:val="16"/>
                <w:szCs w:val="16"/>
              </w:rPr>
            </w:pPr>
            <w:r w:rsidRPr="00D9079F">
              <w:rPr>
                <w:rFonts w:asciiTheme="majorHAnsi" w:hAnsiTheme="majorHAnsi"/>
                <w:sz w:val="16"/>
                <w:szCs w:val="16"/>
              </w:rPr>
              <w:t>Dividend Yield:</w:t>
            </w:r>
            <w:r w:rsidR="00735460">
              <w:rPr>
                <w:rFonts w:asciiTheme="majorHAnsi" w:hAnsiTheme="majorHAnsi"/>
                <w:sz w:val="16"/>
                <w:szCs w:val="16"/>
              </w:rPr>
              <w:t>2.87</w:t>
            </w:r>
            <w:r w:rsidR="00735460" w:rsidRPr="00D9079F">
              <w:rPr>
                <w:rFonts w:asciiTheme="majorHAnsi" w:hAnsiTheme="majorHAnsi"/>
                <w:sz w:val="16"/>
                <w:szCs w:val="16"/>
              </w:rPr>
              <w:t xml:space="preserve"> </w:t>
            </w:r>
            <w:r w:rsidR="00743904" w:rsidRPr="00D9079F">
              <w:rPr>
                <w:rFonts w:asciiTheme="majorHAnsi" w:hAnsiTheme="majorHAnsi"/>
                <w:sz w:val="16"/>
                <w:szCs w:val="16"/>
              </w:rPr>
              <w:t>%</w:t>
            </w:r>
          </w:p>
        </w:tc>
      </w:tr>
    </w:tbl>
    <w:p w14:paraId="4F402887" w14:textId="77777777" w:rsidR="00443ED9" w:rsidRPr="00D9079F" w:rsidRDefault="00443ED9" w:rsidP="005E114B">
      <w:pPr>
        <w:rPr>
          <w:rFonts w:asciiTheme="majorHAnsi" w:hAnsiTheme="majorHAnsi"/>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12EBDA01" w:rsidR="00766C69" w:rsidRPr="00D9079F" w:rsidRDefault="003F37B9" w:rsidP="008A34E3">
            <w:pPr>
              <w:jc w:val="both"/>
              <w:rPr>
                <w:rFonts w:asciiTheme="majorHAnsi" w:hAnsiTheme="majorHAnsi"/>
                <w:sz w:val="16"/>
                <w:szCs w:val="18"/>
              </w:rPr>
            </w:pPr>
            <w:r w:rsidRPr="003F37B9">
              <w:rPr>
                <w:rFonts w:asciiTheme="majorHAnsi" w:hAnsiTheme="majorHAnsi"/>
                <w:sz w:val="16"/>
                <w:szCs w:val="18"/>
              </w:rPr>
              <w:t xml:space="preserve">AvalonBay Communities, Inc. is a real estate investment trust (REIT) focusing on the management and development of residential apartment complexes. The communities and luxury properties are located in 11 states and the District of Columbia. As of Dec. 2014, AvalonBay had an interest in 277 communities with a total of 82,487 units, including 26 communities under construction, and three communities under reconstruction. </w:t>
            </w:r>
            <w:r w:rsidR="00A160C7">
              <w:rPr>
                <w:rFonts w:asciiTheme="majorHAnsi" w:hAnsiTheme="majorHAnsi"/>
                <w:sz w:val="16"/>
                <w:szCs w:val="18"/>
              </w:rPr>
              <w:t>--</w:t>
            </w:r>
            <w:proofErr w:type="spellStart"/>
            <w:r w:rsidR="00A160C7">
              <w:rPr>
                <w:rFonts w:asciiTheme="majorHAnsi" w:hAnsiTheme="majorHAnsi"/>
                <w:sz w:val="16"/>
                <w:szCs w:val="18"/>
              </w:rPr>
              <w:t>Valueline</w:t>
            </w:r>
            <w:proofErr w:type="spellEnd"/>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2219CC73" w14:textId="1B2EA682" w:rsidR="00690115" w:rsidRPr="00D9079F" w:rsidRDefault="008A34E3" w:rsidP="00A160C7">
            <w:pPr>
              <w:rPr>
                <w:rFonts w:asciiTheme="majorHAnsi" w:hAnsiTheme="majorHAnsi" w:cs="Arial"/>
                <w:color w:val="000000"/>
                <w:sz w:val="16"/>
                <w:szCs w:val="18"/>
                <w:shd w:val="clear" w:color="auto" w:fill="FFFFFF"/>
              </w:rPr>
            </w:pPr>
            <w:r w:rsidRPr="008A34E3">
              <w:rPr>
                <w:rFonts w:asciiTheme="majorHAnsi" w:hAnsiTheme="majorHAnsi" w:cs="Arial"/>
                <w:color w:val="000000"/>
                <w:sz w:val="16"/>
                <w:szCs w:val="18"/>
                <w:shd w:val="clear" w:color="auto" w:fill="FFFFFF"/>
              </w:rPr>
              <w:t xml:space="preserve">Many REITs reported average occupancy figures of over 95% for the first half of 2015, allowing a push on new rents to higher levels. </w:t>
            </w:r>
            <w:r w:rsidR="00316C3F">
              <w:rPr>
                <w:rFonts w:asciiTheme="majorHAnsi" w:hAnsiTheme="majorHAnsi" w:cs="Arial"/>
                <w:color w:val="000000"/>
                <w:sz w:val="16"/>
                <w:szCs w:val="18"/>
                <w:shd w:val="clear" w:color="auto" w:fill="FFFFFF"/>
              </w:rPr>
              <w:t xml:space="preserve">Rental rate increases have </w:t>
            </w:r>
            <w:r w:rsidR="00803BBE">
              <w:rPr>
                <w:rFonts w:asciiTheme="majorHAnsi" w:hAnsiTheme="majorHAnsi" w:cs="Arial"/>
                <w:color w:val="000000"/>
                <w:sz w:val="16"/>
                <w:szCs w:val="18"/>
                <w:shd w:val="clear" w:color="auto" w:fill="FFFFFF"/>
              </w:rPr>
              <w:t xml:space="preserve">been </w:t>
            </w:r>
            <w:r w:rsidR="00A160C7">
              <w:rPr>
                <w:rFonts w:asciiTheme="majorHAnsi" w:hAnsiTheme="majorHAnsi" w:cs="Arial"/>
                <w:color w:val="000000"/>
                <w:sz w:val="16"/>
                <w:szCs w:val="18"/>
                <w:shd w:val="clear" w:color="auto" w:fill="FFFFFF"/>
              </w:rPr>
              <w:t>burdened in</w:t>
            </w:r>
            <w:r w:rsidR="00316C3F">
              <w:rPr>
                <w:rFonts w:asciiTheme="majorHAnsi" w:hAnsiTheme="majorHAnsi" w:cs="Arial"/>
                <w:color w:val="000000"/>
                <w:sz w:val="16"/>
                <w:szCs w:val="18"/>
                <w:shd w:val="clear" w:color="auto" w:fill="FFFFFF"/>
              </w:rPr>
              <w:t xml:space="preserve"> recent periods with new development supply entering the market.  New development keeps going up so this fact could help keep rental rates from significantly increasing </w:t>
            </w:r>
            <w:r w:rsidR="00803BBE">
              <w:rPr>
                <w:rFonts w:asciiTheme="majorHAnsi" w:hAnsiTheme="majorHAnsi" w:cs="Arial"/>
                <w:color w:val="000000"/>
                <w:sz w:val="16"/>
                <w:szCs w:val="18"/>
                <w:shd w:val="clear" w:color="auto" w:fill="FFFFFF"/>
              </w:rPr>
              <w:t xml:space="preserve">despite </w:t>
            </w:r>
            <w:r w:rsidR="00316C3F">
              <w:rPr>
                <w:rFonts w:asciiTheme="majorHAnsi" w:hAnsiTheme="majorHAnsi" w:cs="Arial"/>
                <w:color w:val="000000"/>
                <w:sz w:val="16"/>
                <w:szCs w:val="18"/>
                <w:shd w:val="clear" w:color="auto" w:fill="FFFFFF"/>
              </w:rPr>
              <w:t>the change in market trends in their preference for renting</w:t>
            </w:r>
            <w:r w:rsidR="00803BBE">
              <w:rPr>
                <w:rFonts w:asciiTheme="majorHAnsi" w:hAnsiTheme="majorHAnsi" w:cs="Arial"/>
                <w:color w:val="000000"/>
                <w:sz w:val="16"/>
                <w:szCs w:val="18"/>
                <w:shd w:val="clear" w:color="auto" w:fill="FFFFFF"/>
              </w:rPr>
              <w:t xml:space="preserve"> especially amongst young adults</w:t>
            </w:r>
            <w:r w:rsidR="00316C3F">
              <w:rPr>
                <w:rFonts w:asciiTheme="majorHAnsi" w:hAnsiTheme="majorHAnsi" w:cs="Arial"/>
                <w:color w:val="000000"/>
                <w:sz w:val="16"/>
                <w:szCs w:val="18"/>
                <w:shd w:val="clear" w:color="auto" w:fill="FFFFFF"/>
              </w:rPr>
              <w:t xml:space="preserve">. </w:t>
            </w:r>
            <w:r w:rsidR="00803BBE">
              <w:rPr>
                <w:rFonts w:asciiTheme="majorHAnsi" w:hAnsiTheme="majorHAnsi" w:cs="Arial"/>
                <w:color w:val="000000"/>
                <w:sz w:val="16"/>
                <w:szCs w:val="18"/>
                <w:shd w:val="clear" w:color="auto" w:fill="FFFFFF"/>
              </w:rPr>
              <w:t xml:space="preserve"> This increased supply may increase competition as well amongst apartment owners. </w:t>
            </w:r>
            <w:r w:rsidRPr="008A34E3">
              <w:rPr>
                <w:rFonts w:asciiTheme="majorHAnsi" w:hAnsiTheme="majorHAnsi" w:cs="Arial"/>
                <w:color w:val="000000"/>
                <w:sz w:val="16"/>
                <w:szCs w:val="18"/>
                <w:shd w:val="clear" w:color="auto" w:fill="FFFFFF"/>
              </w:rPr>
              <w:t xml:space="preserve">Longer term, residential REITs </w:t>
            </w:r>
            <w:r w:rsidR="00A160C7">
              <w:rPr>
                <w:rFonts w:asciiTheme="majorHAnsi" w:hAnsiTheme="majorHAnsi" w:cs="Arial"/>
                <w:color w:val="000000"/>
                <w:sz w:val="16"/>
                <w:szCs w:val="18"/>
                <w:shd w:val="clear" w:color="auto" w:fill="FFFFFF"/>
              </w:rPr>
              <w:t xml:space="preserve">largely have a </w:t>
            </w:r>
            <w:r w:rsidRPr="008A34E3">
              <w:rPr>
                <w:rFonts w:asciiTheme="majorHAnsi" w:hAnsiTheme="majorHAnsi" w:cs="Arial"/>
                <w:color w:val="000000"/>
                <w:sz w:val="16"/>
                <w:szCs w:val="18"/>
                <w:shd w:val="clear" w:color="auto" w:fill="FFFFFF"/>
              </w:rPr>
              <w:t>positive</w:t>
            </w:r>
            <w:r w:rsidR="00A160C7">
              <w:rPr>
                <w:rFonts w:asciiTheme="majorHAnsi" w:hAnsiTheme="majorHAnsi" w:cs="Arial"/>
                <w:color w:val="000000"/>
                <w:sz w:val="16"/>
                <w:szCs w:val="18"/>
                <w:shd w:val="clear" w:color="auto" w:fill="FFFFFF"/>
              </w:rPr>
              <w:t xml:space="preserve"> outlook</w:t>
            </w:r>
            <w:r w:rsidRPr="008A34E3">
              <w:rPr>
                <w:rFonts w:asciiTheme="majorHAnsi" w:hAnsiTheme="majorHAnsi" w:cs="Arial"/>
                <w:color w:val="000000"/>
                <w:sz w:val="16"/>
                <w:szCs w:val="18"/>
                <w:shd w:val="clear" w:color="auto" w:fill="FFFFFF"/>
              </w:rPr>
              <w:t>.</w:t>
            </w:r>
            <w:r w:rsidR="00A160C7">
              <w:rPr>
                <w:rFonts w:asciiTheme="majorHAnsi" w:hAnsiTheme="majorHAnsi" w:cs="Arial"/>
                <w:color w:val="000000"/>
                <w:sz w:val="16"/>
                <w:szCs w:val="18"/>
                <w:shd w:val="clear" w:color="auto" w:fill="FFFFFF"/>
              </w:rPr>
              <w:t xml:space="preserve"> As the economy continues to improve and employment stays low residential apartment will have a positive correlation. For the </w:t>
            </w:r>
            <w:r w:rsidRPr="008A34E3">
              <w:rPr>
                <w:rFonts w:asciiTheme="majorHAnsi" w:hAnsiTheme="majorHAnsi" w:cs="Arial"/>
                <w:color w:val="000000"/>
                <w:sz w:val="16"/>
                <w:szCs w:val="18"/>
                <w:shd w:val="clear" w:color="auto" w:fill="FFFFFF"/>
              </w:rPr>
              <w:t xml:space="preserve">year 2014, the S&amp;P Residential REITs Index was up35.3% compared to a 10.9% gain for the S&amp;P 1500 Index. </w:t>
            </w:r>
            <w:r w:rsidR="00A160C7">
              <w:rPr>
                <w:rFonts w:asciiTheme="majorHAnsi" w:hAnsiTheme="majorHAnsi" w:cs="Arial"/>
                <w:color w:val="000000"/>
                <w:sz w:val="16"/>
                <w:szCs w:val="18"/>
                <w:shd w:val="clear" w:color="auto" w:fill="FFFFFF"/>
              </w:rPr>
              <w:t>–SP Net Advantage</w:t>
            </w: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1F348962" w14:textId="1EF4BCA9" w:rsidR="00DB5A10" w:rsidRPr="00D9079F" w:rsidRDefault="00A160C7" w:rsidP="0042162B">
            <w:p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The buy opinion for AvalonBay is based on extremely strong balance sheet compared to industry, confidence in management and positive outlook for industry.  Essentially investing in AVB stems from this positive outlook in the prevalence of renting in the US.   If this trend proves to be ongoing then AVB will be uniquely situated to gain from that environment. </w:t>
            </w:r>
            <w:r w:rsidR="002C7EC9">
              <w:rPr>
                <w:rFonts w:asciiTheme="majorHAnsi" w:hAnsiTheme="majorHAnsi" w:cs="Arial"/>
                <w:color w:val="000000"/>
                <w:sz w:val="16"/>
                <w:szCs w:val="18"/>
                <w:shd w:val="clear" w:color="auto" w:fill="FFFFFF"/>
              </w:rPr>
              <w:t xml:space="preserve"> Despite an expanding supply rental rates are on track to improve 5% in the year.  Currently AVB has 26 communities under construction and has development rights already established that could add 10,000 units to the portfolio, half of which is in the Metro NY area a historically strong real estate market.   Their financial leverage allows them to be more flexible in the short-term than competitors, which is favorable given the unknowns in the capital markets. </w:t>
            </w:r>
          </w:p>
          <w:p w14:paraId="35F9E681" w14:textId="7C4C8919" w:rsidR="0042162B" w:rsidRPr="00D9079F" w:rsidRDefault="0042162B" w:rsidP="0042162B">
            <w:pPr>
              <w:rPr>
                <w:rFonts w:asciiTheme="majorHAnsi" w:hAnsiTheme="majorHAnsi"/>
                <w:sz w:val="16"/>
                <w:szCs w:val="18"/>
              </w:rPr>
            </w:pP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24FF18A5" w14:textId="5D796EA9" w:rsidR="00743904" w:rsidRPr="00D9079F" w:rsidRDefault="002C7EC9" w:rsidP="002C75DD">
            <w:pPr>
              <w:pStyle w:val="ListParagraph"/>
              <w:numPr>
                <w:ilvl w:val="0"/>
                <w:numId w:val="2"/>
              </w:numPr>
              <w:jc w:val="both"/>
              <w:rPr>
                <w:rFonts w:asciiTheme="majorHAnsi" w:hAnsiTheme="majorHAnsi"/>
                <w:sz w:val="16"/>
                <w:szCs w:val="18"/>
              </w:rPr>
            </w:pPr>
            <w:r>
              <w:rPr>
                <w:rFonts w:asciiTheme="majorHAnsi" w:hAnsiTheme="majorHAnsi"/>
                <w:sz w:val="16"/>
                <w:szCs w:val="18"/>
              </w:rPr>
              <w:t>Increases in Interest rates sometimes have a reactionary sell off of REITs</w:t>
            </w:r>
          </w:p>
          <w:p w14:paraId="7CA2586B" w14:textId="71FE2BBE" w:rsidR="002231A8" w:rsidRDefault="002C7EC9" w:rsidP="00875430">
            <w:pPr>
              <w:pStyle w:val="ListParagraph"/>
              <w:numPr>
                <w:ilvl w:val="0"/>
                <w:numId w:val="2"/>
              </w:numPr>
              <w:jc w:val="both"/>
              <w:rPr>
                <w:rFonts w:asciiTheme="majorHAnsi" w:hAnsiTheme="majorHAnsi"/>
                <w:sz w:val="16"/>
                <w:szCs w:val="18"/>
              </w:rPr>
            </w:pPr>
            <w:r>
              <w:rPr>
                <w:rFonts w:asciiTheme="majorHAnsi" w:hAnsiTheme="majorHAnsi"/>
                <w:sz w:val="16"/>
                <w:szCs w:val="18"/>
              </w:rPr>
              <w:t>Lack of rental interest</w:t>
            </w:r>
          </w:p>
          <w:p w14:paraId="3EE11F45" w14:textId="2F236347" w:rsidR="002C7EC9" w:rsidRPr="00D9079F" w:rsidRDefault="002C7EC9" w:rsidP="00875430">
            <w:pPr>
              <w:pStyle w:val="ListParagraph"/>
              <w:numPr>
                <w:ilvl w:val="0"/>
                <w:numId w:val="2"/>
              </w:numPr>
              <w:jc w:val="both"/>
              <w:rPr>
                <w:rFonts w:asciiTheme="majorHAnsi" w:hAnsiTheme="majorHAnsi"/>
                <w:sz w:val="16"/>
                <w:szCs w:val="18"/>
              </w:rPr>
            </w:pPr>
            <w:r>
              <w:rPr>
                <w:rFonts w:asciiTheme="majorHAnsi" w:hAnsiTheme="majorHAnsi"/>
                <w:sz w:val="16"/>
                <w:szCs w:val="18"/>
              </w:rPr>
              <w:t>Worsening economy and employment figures leading to dampening demand</w:t>
            </w:r>
          </w:p>
          <w:p w14:paraId="78159DC0" w14:textId="489E179A" w:rsidR="00875430" w:rsidRPr="00D9079F" w:rsidRDefault="00C21327" w:rsidP="00E9444F">
            <w:pPr>
              <w:pStyle w:val="ListParagraph"/>
              <w:numPr>
                <w:ilvl w:val="0"/>
                <w:numId w:val="2"/>
              </w:numPr>
              <w:jc w:val="both"/>
              <w:rPr>
                <w:rFonts w:asciiTheme="majorHAnsi" w:hAnsiTheme="majorHAnsi"/>
                <w:sz w:val="16"/>
                <w:szCs w:val="18"/>
              </w:rPr>
            </w:pPr>
            <w:r>
              <w:rPr>
                <w:rFonts w:asciiTheme="majorHAnsi" w:hAnsiTheme="majorHAnsi"/>
                <w:sz w:val="16"/>
                <w:szCs w:val="18"/>
              </w:rPr>
              <w:t>Over concentration in NY area leading to  increased exposure to local rental market</w:t>
            </w:r>
          </w:p>
        </w:tc>
      </w:tr>
      <w:tr w:rsidR="00DB5A10" w:rsidRPr="00D9079F" w14:paraId="76F577E7" w14:textId="77777777" w:rsidTr="00DB5A10">
        <w:tc>
          <w:tcPr>
            <w:tcW w:w="11700" w:type="dxa"/>
            <w:shd w:val="clear" w:color="auto" w:fill="365F91" w:themeFill="accent1" w:themeFillShade="BF"/>
          </w:tcPr>
          <w:p w14:paraId="0A443D6F" w14:textId="4EB2A931" w:rsidR="00DB5A10" w:rsidRPr="00D9079F" w:rsidRDefault="00DB5A10" w:rsidP="00DB5A10">
            <w:pPr>
              <w:ind w:left="72"/>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3-5 take </w:t>
            </w:r>
            <w:r w:rsidR="00274740" w:rsidRPr="00D9079F">
              <w:rPr>
                <w:rFonts w:asciiTheme="majorHAnsi" w:hAnsiTheme="majorHAnsi"/>
                <w:b/>
                <w:color w:val="FFFFFF" w:themeColor="background1"/>
                <w:sz w:val="16"/>
                <w:szCs w:val="18"/>
              </w:rPr>
              <w:t>away</w:t>
            </w:r>
            <w:r w:rsidRPr="00D9079F">
              <w:rPr>
                <w:rFonts w:asciiTheme="majorHAnsi" w:hAnsiTheme="majorHAnsi"/>
                <w:b/>
                <w:color w:val="FFFFFF" w:themeColor="background1"/>
                <w:sz w:val="16"/>
                <w:szCs w:val="18"/>
              </w:rPr>
              <w:t xml:space="preserve"> from last quarter investor call transcript: </w:t>
            </w:r>
          </w:p>
        </w:tc>
      </w:tr>
      <w:tr w:rsidR="00DB5A10" w:rsidRPr="00D9079F" w14:paraId="75D76709" w14:textId="77777777" w:rsidTr="00DB5A10">
        <w:trPr>
          <w:trHeight w:val="70"/>
        </w:trPr>
        <w:tc>
          <w:tcPr>
            <w:tcW w:w="11700" w:type="dxa"/>
          </w:tcPr>
          <w:p w14:paraId="0F5FC4B8" w14:textId="34D77136" w:rsidR="00D92C96" w:rsidRDefault="00C21327" w:rsidP="00D92C96">
            <w:pPr>
              <w:pStyle w:val="ListParagraph"/>
              <w:numPr>
                <w:ilvl w:val="0"/>
                <w:numId w:val="2"/>
              </w:numPr>
              <w:jc w:val="both"/>
              <w:rPr>
                <w:rFonts w:asciiTheme="majorHAnsi" w:hAnsiTheme="majorHAnsi"/>
                <w:sz w:val="16"/>
                <w:szCs w:val="18"/>
              </w:rPr>
            </w:pPr>
            <w:r>
              <w:rPr>
                <w:rFonts w:asciiTheme="majorHAnsi" w:hAnsiTheme="majorHAnsi"/>
                <w:sz w:val="16"/>
                <w:szCs w:val="18"/>
              </w:rPr>
              <w:t>Solid numbers in third quarter including great topline growth.  Double digit growth in core FFO for the 4</w:t>
            </w:r>
            <w:r w:rsidRPr="00C21327">
              <w:rPr>
                <w:rFonts w:asciiTheme="majorHAnsi" w:hAnsiTheme="majorHAnsi"/>
                <w:sz w:val="16"/>
                <w:szCs w:val="18"/>
                <w:vertAlign w:val="superscript"/>
              </w:rPr>
              <w:t>th</w:t>
            </w:r>
            <w:r>
              <w:rPr>
                <w:rFonts w:asciiTheme="majorHAnsi" w:hAnsiTheme="majorHAnsi"/>
                <w:sz w:val="16"/>
                <w:szCs w:val="18"/>
              </w:rPr>
              <w:t xml:space="preserve"> year out of the last 5</w:t>
            </w:r>
          </w:p>
          <w:p w14:paraId="666D90DD" w14:textId="12398A60" w:rsidR="00C21327" w:rsidRPr="00D9079F" w:rsidRDefault="00C21327" w:rsidP="00D92C96">
            <w:pPr>
              <w:pStyle w:val="ListParagraph"/>
              <w:numPr>
                <w:ilvl w:val="0"/>
                <w:numId w:val="2"/>
              </w:numPr>
              <w:jc w:val="both"/>
              <w:rPr>
                <w:rFonts w:asciiTheme="majorHAnsi" w:hAnsiTheme="majorHAnsi"/>
                <w:sz w:val="16"/>
                <w:szCs w:val="18"/>
              </w:rPr>
            </w:pPr>
            <w:r>
              <w:rPr>
                <w:rFonts w:asciiTheme="majorHAnsi" w:hAnsiTheme="majorHAnsi"/>
                <w:sz w:val="16"/>
                <w:szCs w:val="18"/>
              </w:rPr>
              <w:t xml:space="preserve">Current prices for apartments may be at a premium, while they don’t use this has a significant source of revenue they do use this to fund development projects </w:t>
            </w:r>
          </w:p>
          <w:p w14:paraId="4205DC0B" w14:textId="315E6EBC" w:rsidR="00E20C55" w:rsidRPr="00D9079F" w:rsidRDefault="00E9444F" w:rsidP="00D92C96">
            <w:pPr>
              <w:pStyle w:val="ListParagraph"/>
              <w:numPr>
                <w:ilvl w:val="0"/>
                <w:numId w:val="2"/>
              </w:numPr>
              <w:jc w:val="both"/>
              <w:rPr>
                <w:rFonts w:asciiTheme="majorHAnsi" w:hAnsiTheme="majorHAnsi"/>
                <w:sz w:val="16"/>
                <w:szCs w:val="18"/>
              </w:rPr>
            </w:pPr>
            <w:r>
              <w:rPr>
                <w:rFonts w:asciiTheme="majorHAnsi" w:hAnsiTheme="majorHAnsi"/>
                <w:sz w:val="16"/>
                <w:szCs w:val="18"/>
              </w:rPr>
              <w:t>Southern California and mid-Atlantic are still in early stages of their recovery and or expansion cycle</w:t>
            </w:r>
            <w:bookmarkStart w:id="0" w:name="_GoBack"/>
            <w:bookmarkEnd w:id="0"/>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00034A52">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830F06">
        <w:tc>
          <w:tcPr>
            <w:tcW w:w="7488" w:type="dxa"/>
          </w:tcPr>
          <w:p w14:paraId="6973B10F" w14:textId="471F0BCF" w:rsidR="00830F06" w:rsidRPr="00D9079F" w:rsidRDefault="006973A6" w:rsidP="00443ED9">
            <w:pPr>
              <w:jc w:val="both"/>
              <w:rPr>
                <w:rFonts w:asciiTheme="majorHAnsi" w:hAnsiTheme="majorHAnsi"/>
                <w:b/>
                <w:sz w:val="16"/>
                <w:szCs w:val="16"/>
              </w:rPr>
            </w:pPr>
            <w:r>
              <w:rPr>
                <w:noProof/>
              </w:rPr>
              <w:drawing>
                <wp:anchor distT="0" distB="0" distL="114300" distR="114300" simplePos="0" relativeHeight="251659264" behindDoc="1" locked="0" layoutInCell="1" allowOverlap="1" wp14:anchorId="0CCB20C0" wp14:editId="6E9409A1">
                  <wp:simplePos x="0" y="0"/>
                  <wp:positionH relativeFrom="column">
                    <wp:posOffset>74986</wp:posOffset>
                  </wp:positionH>
                  <wp:positionV relativeFrom="paragraph">
                    <wp:posOffset>126748</wp:posOffset>
                  </wp:positionV>
                  <wp:extent cx="4524375" cy="2181015"/>
                  <wp:effectExtent l="0" t="0" r="0" b="0"/>
                  <wp:wrapTight wrapText="bothSides">
                    <wp:wrapPolygon edited="0">
                      <wp:start x="0" y="0"/>
                      <wp:lineTo x="0" y="21323"/>
                      <wp:lineTo x="21464" y="21323"/>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24375" cy="2181015"/>
                          </a:xfrm>
                          <a:prstGeom prst="rect">
                            <a:avLst/>
                          </a:prstGeom>
                        </pic:spPr>
                      </pic:pic>
                    </a:graphicData>
                  </a:graphic>
                </wp:anchor>
              </w:drawing>
            </w:r>
          </w:p>
          <w:p w14:paraId="6F98E45C" w14:textId="13E4AF20"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60598F">
              <w:tc>
                <w:tcPr>
                  <w:tcW w:w="1908"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9" w:type="dxa"/>
                  <w:shd w:val="clear" w:color="auto" w:fill="DBE5F1" w:themeFill="accent1" w:themeFillTint="33"/>
                </w:tcPr>
                <w:p w14:paraId="3D650FB0" w14:textId="4826DF0D"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E42CC2" w:rsidRPr="00D9079F">
                    <w:rPr>
                      <w:rFonts w:asciiTheme="majorHAnsi" w:hAnsiTheme="majorHAnsi"/>
                      <w:sz w:val="16"/>
                      <w:szCs w:val="16"/>
                    </w:rPr>
                    <w:t>0</w:t>
                  </w:r>
                  <w:r w:rsidR="001A1781" w:rsidRPr="00D9079F">
                    <w:rPr>
                      <w:rFonts w:asciiTheme="majorHAnsi" w:hAnsiTheme="majorHAnsi"/>
                      <w:sz w:val="16"/>
                      <w:szCs w:val="16"/>
                    </w:rPr>
                    <w:t>-15</w:t>
                  </w:r>
                </w:p>
              </w:tc>
              <w:tc>
                <w:tcPr>
                  <w:tcW w:w="1080" w:type="dxa"/>
                  <w:shd w:val="clear" w:color="auto" w:fill="DBE5F1" w:themeFill="accent1" w:themeFillTint="33"/>
                </w:tcPr>
                <w:p w14:paraId="6917AD00" w14:textId="06AD074B" w:rsidR="00830F06" w:rsidRPr="00D9079F" w:rsidRDefault="001A1781" w:rsidP="00830F06">
                  <w:pPr>
                    <w:rPr>
                      <w:rFonts w:asciiTheme="majorHAnsi" w:hAnsiTheme="majorHAnsi"/>
                      <w:sz w:val="16"/>
                      <w:szCs w:val="16"/>
                    </w:rPr>
                  </w:pPr>
                  <w:r w:rsidRPr="00D9079F">
                    <w:rPr>
                      <w:rFonts w:asciiTheme="majorHAnsi" w:hAnsiTheme="majorHAnsi"/>
                      <w:sz w:val="16"/>
                      <w:szCs w:val="16"/>
                    </w:rPr>
                    <w:t>2016-20</w:t>
                  </w:r>
                </w:p>
              </w:tc>
            </w:tr>
            <w:tr w:rsidR="0060598F" w:rsidRPr="00D9079F" w14:paraId="5A9DD5F4" w14:textId="77777777" w:rsidTr="00380902">
              <w:tc>
                <w:tcPr>
                  <w:tcW w:w="1908" w:type="dxa"/>
                </w:tcPr>
                <w:p w14:paraId="6A465DCA"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Revenue growth </w:t>
                  </w:r>
                </w:p>
              </w:tc>
              <w:tc>
                <w:tcPr>
                  <w:tcW w:w="1129" w:type="dxa"/>
                </w:tcPr>
                <w:p w14:paraId="28890419" w14:textId="31199CBB" w:rsidR="00830F06" w:rsidRPr="00D9079F" w:rsidRDefault="00C46CA9" w:rsidP="00830F06">
                  <w:pPr>
                    <w:rPr>
                      <w:rFonts w:asciiTheme="majorHAnsi" w:hAnsiTheme="majorHAnsi"/>
                      <w:sz w:val="16"/>
                      <w:szCs w:val="16"/>
                    </w:rPr>
                  </w:pPr>
                  <w:r>
                    <w:rPr>
                      <w:rFonts w:asciiTheme="majorHAnsi" w:hAnsiTheme="majorHAnsi"/>
                      <w:sz w:val="16"/>
                      <w:szCs w:val="16"/>
                    </w:rPr>
                    <w:t>14</w:t>
                  </w:r>
                  <w:r w:rsidR="00ED6EC7" w:rsidRPr="00D9079F">
                    <w:rPr>
                      <w:rFonts w:asciiTheme="majorHAnsi" w:hAnsiTheme="majorHAnsi"/>
                      <w:sz w:val="16"/>
                      <w:szCs w:val="16"/>
                    </w:rPr>
                    <w:t>%</w:t>
                  </w:r>
                </w:p>
              </w:tc>
              <w:tc>
                <w:tcPr>
                  <w:tcW w:w="1080" w:type="dxa"/>
                </w:tcPr>
                <w:p w14:paraId="2B6EF445" w14:textId="357C845E" w:rsidR="00830F06" w:rsidRPr="00D9079F" w:rsidRDefault="00C46CA9" w:rsidP="00830F06">
                  <w:pPr>
                    <w:rPr>
                      <w:rFonts w:asciiTheme="majorHAnsi" w:hAnsiTheme="majorHAnsi"/>
                      <w:sz w:val="16"/>
                      <w:szCs w:val="16"/>
                    </w:rPr>
                  </w:pPr>
                  <w:r>
                    <w:rPr>
                      <w:rFonts w:asciiTheme="majorHAnsi" w:hAnsiTheme="majorHAnsi"/>
                      <w:sz w:val="16"/>
                      <w:szCs w:val="16"/>
                    </w:rPr>
                    <w:t>5</w:t>
                  </w:r>
                  <w:r w:rsidR="00ED6EC7" w:rsidRPr="00D9079F">
                    <w:rPr>
                      <w:rFonts w:asciiTheme="majorHAnsi" w:hAnsiTheme="majorHAnsi"/>
                      <w:sz w:val="16"/>
                      <w:szCs w:val="16"/>
                    </w:rPr>
                    <w:t>%</w:t>
                  </w:r>
                </w:p>
              </w:tc>
            </w:tr>
            <w:tr w:rsidR="0060598F" w:rsidRPr="00D9079F" w14:paraId="49A71F37" w14:textId="77777777" w:rsidTr="00380902">
              <w:tc>
                <w:tcPr>
                  <w:tcW w:w="1908" w:type="dxa"/>
                </w:tcPr>
                <w:p w14:paraId="7425D824"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EBITDA Margin </w:t>
                  </w:r>
                </w:p>
              </w:tc>
              <w:tc>
                <w:tcPr>
                  <w:tcW w:w="1129" w:type="dxa"/>
                </w:tcPr>
                <w:p w14:paraId="6AE1C97F" w14:textId="5FBBE6C3" w:rsidR="00830F06" w:rsidRPr="00D9079F" w:rsidRDefault="00C46CA9" w:rsidP="00FD0265">
                  <w:pPr>
                    <w:rPr>
                      <w:rFonts w:asciiTheme="majorHAnsi" w:hAnsiTheme="majorHAnsi"/>
                      <w:sz w:val="16"/>
                      <w:szCs w:val="16"/>
                    </w:rPr>
                  </w:pPr>
                  <w:r>
                    <w:rPr>
                      <w:rFonts w:asciiTheme="majorHAnsi" w:hAnsiTheme="majorHAnsi"/>
                      <w:sz w:val="16"/>
                      <w:szCs w:val="16"/>
                    </w:rPr>
                    <w:t>60</w:t>
                  </w:r>
                  <w:r w:rsidR="00ED6EC7" w:rsidRPr="00D9079F">
                    <w:rPr>
                      <w:rFonts w:asciiTheme="majorHAnsi" w:hAnsiTheme="majorHAnsi"/>
                      <w:sz w:val="16"/>
                      <w:szCs w:val="16"/>
                    </w:rPr>
                    <w:t>%</w:t>
                  </w:r>
                </w:p>
              </w:tc>
              <w:tc>
                <w:tcPr>
                  <w:tcW w:w="1080" w:type="dxa"/>
                </w:tcPr>
                <w:p w14:paraId="72FC070B" w14:textId="4450DC3B" w:rsidR="00830F06" w:rsidRPr="00D9079F" w:rsidRDefault="00C46CA9" w:rsidP="00830F06">
                  <w:pPr>
                    <w:rPr>
                      <w:rFonts w:asciiTheme="majorHAnsi" w:hAnsiTheme="majorHAnsi"/>
                      <w:sz w:val="16"/>
                      <w:szCs w:val="16"/>
                    </w:rPr>
                  </w:pPr>
                  <w:r>
                    <w:rPr>
                      <w:rFonts w:asciiTheme="majorHAnsi" w:hAnsiTheme="majorHAnsi"/>
                      <w:sz w:val="16"/>
                      <w:szCs w:val="16"/>
                    </w:rPr>
                    <w:t>65</w:t>
                  </w:r>
                  <w:r w:rsidR="00ED6EC7" w:rsidRPr="00D9079F">
                    <w:rPr>
                      <w:rFonts w:asciiTheme="majorHAnsi" w:hAnsiTheme="majorHAnsi"/>
                      <w:sz w:val="16"/>
                      <w:szCs w:val="16"/>
                    </w:rPr>
                    <w:t>%</w:t>
                  </w:r>
                </w:p>
              </w:tc>
            </w:tr>
            <w:tr w:rsidR="0060598F" w:rsidRPr="00D9079F" w14:paraId="5B01660D" w14:textId="77777777" w:rsidTr="00380902">
              <w:tc>
                <w:tcPr>
                  <w:tcW w:w="1908" w:type="dxa"/>
                </w:tcPr>
                <w:p w14:paraId="2B656250" w14:textId="77777777" w:rsidR="00830F06" w:rsidRPr="00D9079F" w:rsidRDefault="00830F06" w:rsidP="00830F06">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Net Income Margin </w:t>
                  </w:r>
                </w:p>
              </w:tc>
              <w:tc>
                <w:tcPr>
                  <w:tcW w:w="1129" w:type="dxa"/>
                </w:tcPr>
                <w:p w14:paraId="6B796F07" w14:textId="213919DC" w:rsidR="00830F06" w:rsidRPr="00D9079F" w:rsidRDefault="00C46CA9" w:rsidP="00830F06">
                  <w:pPr>
                    <w:rPr>
                      <w:rFonts w:asciiTheme="majorHAnsi" w:hAnsiTheme="majorHAnsi"/>
                      <w:sz w:val="16"/>
                      <w:szCs w:val="16"/>
                    </w:rPr>
                  </w:pPr>
                  <w:r>
                    <w:rPr>
                      <w:rFonts w:asciiTheme="majorHAnsi" w:hAnsiTheme="majorHAnsi"/>
                      <w:sz w:val="16"/>
                      <w:szCs w:val="16"/>
                    </w:rPr>
                    <w:t>32</w:t>
                  </w:r>
                  <w:r w:rsidR="00ED6EC7" w:rsidRPr="00D9079F">
                    <w:rPr>
                      <w:rFonts w:asciiTheme="majorHAnsi" w:hAnsiTheme="majorHAnsi"/>
                      <w:sz w:val="16"/>
                      <w:szCs w:val="16"/>
                    </w:rPr>
                    <w:t>%</w:t>
                  </w:r>
                </w:p>
              </w:tc>
              <w:tc>
                <w:tcPr>
                  <w:tcW w:w="1080" w:type="dxa"/>
                </w:tcPr>
                <w:p w14:paraId="2CA542D3" w14:textId="0B51A434" w:rsidR="00830F06" w:rsidRPr="00D9079F" w:rsidRDefault="00D37FE3" w:rsidP="00830F06">
                  <w:pPr>
                    <w:rPr>
                      <w:rFonts w:asciiTheme="majorHAnsi" w:hAnsiTheme="majorHAnsi"/>
                      <w:sz w:val="16"/>
                      <w:szCs w:val="16"/>
                    </w:rPr>
                  </w:pPr>
                  <w:r>
                    <w:rPr>
                      <w:rFonts w:asciiTheme="majorHAnsi" w:hAnsiTheme="majorHAnsi"/>
                      <w:sz w:val="16"/>
                      <w:szCs w:val="16"/>
                    </w:rPr>
                    <w:t>36</w:t>
                  </w:r>
                  <w:r w:rsidR="00ED6EC7" w:rsidRPr="00D9079F">
                    <w:rPr>
                      <w:rFonts w:asciiTheme="majorHAnsi" w:hAnsiTheme="majorHAnsi"/>
                      <w:sz w:val="16"/>
                      <w:szCs w:val="16"/>
                    </w:rPr>
                    <w:t>%</w:t>
                  </w:r>
                </w:p>
              </w:tc>
            </w:tr>
            <w:tr w:rsidR="0060598F" w:rsidRPr="00D9079F" w14:paraId="1407D251" w14:textId="77777777" w:rsidTr="00380902">
              <w:tc>
                <w:tcPr>
                  <w:tcW w:w="1908" w:type="dxa"/>
                </w:tcPr>
                <w:p w14:paraId="5FB4F2E9" w14:textId="77777777" w:rsidR="00830F06" w:rsidRPr="00D9079F" w:rsidRDefault="00830F06" w:rsidP="00830F06">
                  <w:pPr>
                    <w:rPr>
                      <w:rFonts w:asciiTheme="majorHAnsi" w:hAnsiTheme="majorHAnsi"/>
                      <w:sz w:val="16"/>
                      <w:szCs w:val="16"/>
                    </w:rPr>
                  </w:pPr>
                  <w:proofErr w:type="spellStart"/>
                  <w:r w:rsidRPr="00455F5A">
                    <w:rPr>
                      <w:rFonts w:asciiTheme="majorHAnsi" w:hAnsiTheme="majorHAnsi"/>
                      <w:sz w:val="16"/>
                      <w:szCs w:val="16"/>
                    </w:rPr>
                    <w:t>Avg</w:t>
                  </w:r>
                  <w:proofErr w:type="spellEnd"/>
                  <w:r w:rsidRPr="00455F5A">
                    <w:rPr>
                      <w:rFonts w:asciiTheme="majorHAnsi" w:hAnsiTheme="majorHAnsi"/>
                      <w:sz w:val="16"/>
                      <w:szCs w:val="16"/>
                    </w:rPr>
                    <w:t xml:space="preserve">  Debt/Equity</w:t>
                  </w:r>
                  <w:r w:rsidRPr="00D9079F">
                    <w:rPr>
                      <w:rFonts w:asciiTheme="majorHAnsi" w:hAnsiTheme="majorHAnsi"/>
                      <w:sz w:val="16"/>
                      <w:szCs w:val="16"/>
                    </w:rPr>
                    <w:t xml:space="preserve"> </w:t>
                  </w:r>
                </w:p>
              </w:tc>
              <w:tc>
                <w:tcPr>
                  <w:tcW w:w="1129" w:type="dxa"/>
                </w:tcPr>
                <w:p w14:paraId="3BD7CDF4" w14:textId="38381FD6" w:rsidR="00830F06" w:rsidRPr="00D9079F" w:rsidRDefault="00D37FE3" w:rsidP="00830F06">
                  <w:pPr>
                    <w:rPr>
                      <w:rFonts w:asciiTheme="majorHAnsi" w:hAnsiTheme="majorHAnsi"/>
                      <w:sz w:val="16"/>
                      <w:szCs w:val="16"/>
                    </w:rPr>
                  </w:pPr>
                  <w:r>
                    <w:rPr>
                      <w:rFonts w:asciiTheme="majorHAnsi" w:hAnsiTheme="majorHAnsi"/>
                      <w:sz w:val="16"/>
                      <w:szCs w:val="16"/>
                    </w:rPr>
                    <w:t>64</w:t>
                  </w:r>
                  <w:r w:rsidR="006704F5">
                    <w:rPr>
                      <w:rFonts w:asciiTheme="majorHAnsi" w:hAnsiTheme="majorHAnsi"/>
                      <w:sz w:val="16"/>
                      <w:szCs w:val="16"/>
                    </w:rPr>
                    <w:t>%</w:t>
                  </w:r>
                </w:p>
              </w:tc>
              <w:tc>
                <w:tcPr>
                  <w:tcW w:w="1080" w:type="dxa"/>
                </w:tcPr>
                <w:p w14:paraId="6104E666" w14:textId="401441E5" w:rsidR="00830F06" w:rsidRPr="00D9079F" w:rsidRDefault="00D37FE3" w:rsidP="00830F06">
                  <w:pPr>
                    <w:rPr>
                      <w:rFonts w:asciiTheme="majorHAnsi" w:hAnsiTheme="majorHAnsi"/>
                      <w:sz w:val="16"/>
                      <w:szCs w:val="16"/>
                    </w:rPr>
                  </w:pPr>
                  <w:r>
                    <w:rPr>
                      <w:rFonts w:asciiTheme="majorHAnsi" w:hAnsiTheme="majorHAnsi"/>
                      <w:sz w:val="16"/>
                      <w:szCs w:val="16"/>
                    </w:rPr>
                    <w:t>64</w:t>
                  </w:r>
                  <w:r w:rsidR="00455F5A">
                    <w:rPr>
                      <w:rFonts w:asciiTheme="majorHAnsi" w:hAnsiTheme="majorHAnsi"/>
                      <w:sz w:val="16"/>
                      <w:szCs w:val="16"/>
                    </w:rPr>
                    <w:t>%</w:t>
                  </w:r>
                </w:p>
              </w:tc>
            </w:tr>
            <w:tr w:rsidR="0060598F" w:rsidRPr="00D9079F" w14:paraId="261F133B" w14:textId="77777777" w:rsidTr="00FD0265">
              <w:tc>
                <w:tcPr>
                  <w:tcW w:w="1908" w:type="dxa"/>
                </w:tcPr>
                <w:p w14:paraId="0B1C1930" w14:textId="5020BC3E" w:rsidR="00830F06" w:rsidRPr="00D9079F" w:rsidRDefault="00830F06" w:rsidP="00FD0265">
                  <w:pPr>
                    <w:rPr>
                      <w:rFonts w:asciiTheme="majorHAnsi" w:hAnsiTheme="majorHAnsi"/>
                      <w:sz w:val="16"/>
                      <w:szCs w:val="16"/>
                    </w:rPr>
                  </w:pPr>
                  <w:proofErr w:type="spellStart"/>
                  <w:r w:rsidRPr="00D9079F">
                    <w:rPr>
                      <w:rFonts w:asciiTheme="majorHAnsi" w:hAnsiTheme="majorHAnsi"/>
                      <w:sz w:val="16"/>
                      <w:szCs w:val="16"/>
                    </w:rPr>
                    <w:t>Avg</w:t>
                  </w:r>
                  <w:proofErr w:type="spellEnd"/>
                  <w:r w:rsidRPr="00D9079F">
                    <w:rPr>
                      <w:rFonts w:asciiTheme="majorHAnsi" w:hAnsiTheme="majorHAnsi"/>
                      <w:sz w:val="16"/>
                      <w:szCs w:val="16"/>
                    </w:rPr>
                    <w:t xml:space="preserve">  </w:t>
                  </w:r>
                  <w:r w:rsidR="00FD0265" w:rsidRPr="00D9079F">
                    <w:rPr>
                      <w:rFonts w:asciiTheme="majorHAnsi" w:hAnsiTheme="majorHAnsi"/>
                      <w:sz w:val="16"/>
                      <w:szCs w:val="16"/>
                    </w:rPr>
                    <w:t>FCF</w:t>
                  </w:r>
                  <w:r w:rsidRPr="00D9079F">
                    <w:rPr>
                      <w:rFonts w:asciiTheme="majorHAnsi" w:hAnsiTheme="majorHAnsi"/>
                      <w:sz w:val="16"/>
                      <w:szCs w:val="16"/>
                    </w:rPr>
                    <w:t xml:space="preserve"> / </w:t>
                  </w:r>
                  <w:r w:rsidR="00FD0265" w:rsidRPr="00D9079F">
                    <w:rPr>
                      <w:rFonts w:asciiTheme="majorHAnsi" w:hAnsiTheme="majorHAnsi"/>
                      <w:sz w:val="16"/>
                      <w:szCs w:val="16"/>
                    </w:rPr>
                    <w:t>Margin</w:t>
                  </w:r>
                  <w:r w:rsidRPr="00D9079F">
                    <w:rPr>
                      <w:rFonts w:asciiTheme="majorHAnsi" w:hAnsiTheme="majorHAnsi"/>
                      <w:sz w:val="16"/>
                      <w:szCs w:val="16"/>
                    </w:rPr>
                    <w:t xml:space="preserve"> </w:t>
                  </w:r>
                </w:p>
              </w:tc>
              <w:tc>
                <w:tcPr>
                  <w:tcW w:w="1129" w:type="dxa"/>
                  <w:shd w:val="clear" w:color="auto" w:fill="auto"/>
                </w:tcPr>
                <w:p w14:paraId="4FFEFCE9" w14:textId="0E77277B" w:rsidR="00830F06" w:rsidRPr="00D9079F" w:rsidRDefault="00D37FE3" w:rsidP="00D37FE3">
                  <w:pPr>
                    <w:rPr>
                      <w:rFonts w:asciiTheme="majorHAnsi" w:hAnsiTheme="majorHAnsi"/>
                      <w:sz w:val="16"/>
                      <w:szCs w:val="16"/>
                    </w:rPr>
                  </w:pPr>
                  <w:r>
                    <w:rPr>
                      <w:rFonts w:asciiTheme="majorHAnsi" w:hAnsiTheme="majorHAnsi"/>
                      <w:sz w:val="16"/>
                      <w:szCs w:val="16"/>
                    </w:rPr>
                    <w:t>-12</w:t>
                  </w:r>
                  <w:r w:rsidR="00ED6EC7" w:rsidRPr="00D9079F">
                    <w:rPr>
                      <w:rFonts w:asciiTheme="majorHAnsi" w:hAnsiTheme="majorHAnsi"/>
                      <w:sz w:val="16"/>
                      <w:szCs w:val="16"/>
                    </w:rPr>
                    <w:t>%</w:t>
                  </w:r>
                </w:p>
              </w:tc>
              <w:tc>
                <w:tcPr>
                  <w:tcW w:w="1080" w:type="dxa"/>
                  <w:shd w:val="clear" w:color="auto" w:fill="auto"/>
                </w:tcPr>
                <w:p w14:paraId="04395283" w14:textId="0C3259C0" w:rsidR="00830F06" w:rsidRPr="00D9079F" w:rsidRDefault="00D37FE3" w:rsidP="00830F06">
                  <w:pPr>
                    <w:rPr>
                      <w:rFonts w:asciiTheme="majorHAnsi" w:hAnsiTheme="majorHAnsi"/>
                      <w:sz w:val="16"/>
                      <w:szCs w:val="16"/>
                    </w:rPr>
                  </w:pPr>
                  <w:r>
                    <w:rPr>
                      <w:rFonts w:asciiTheme="majorHAnsi" w:hAnsiTheme="majorHAnsi"/>
                      <w:sz w:val="16"/>
                      <w:szCs w:val="16"/>
                    </w:rPr>
                    <w:t>51</w:t>
                  </w:r>
                  <w:r w:rsidR="00ED6EC7" w:rsidRPr="00D9079F">
                    <w:rPr>
                      <w:rFonts w:asciiTheme="majorHAnsi" w:hAnsiTheme="majorHAnsi"/>
                      <w:sz w:val="16"/>
                      <w:szCs w:val="16"/>
                    </w:rPr>
                    <w:t>%</w:t>
                  </w:r>
                </w:p>
              </w:tc>
            </w:tr>
            <w:tr w:rsidR="00830F06" w:rsidRPr="00D9079F" w14:paraId="42F79EE5" w14:textId="77777777" w:rsidTr="00380902">
              <w:tc>
                <w:tcPr>
                  <w:tcW w:w="3037" w:type="dxa"/>
                  <w:gridSpan w:val="2"/>
                </w:tcPr>
                <w:p w14:paraId="11317549" w14:textId="3C2DD21A" w:rsidR="00830F06" w:rsidRPr="00D9079F" w:rsidRDefault="00830F06" w:rsidP="00D37FE3">
                  <w:pPr>
                    <w:rPr>
                      <w:rFonts w:asciiTheme="majorHAnsi" w:hAnsiTheme="majorHAnsi"/>
                      <w:sz w:val="16"/>
                      <w:szCs w:val="16"/>
                    </w:rPr>
                  </w:pPr>
                  <w:r w:rsidRPr="00D9079F">
                    <w:rPr>
                      <w:rFonts w:asciiTheme="majorHAnsi" w:hAnsiTheme="majorHAnsi"/>
                      <w:sz w:val="16"/>
                      <w:szCs w:val="16"/>
                    </w:rPr>
                    <w:t>Cost of Debt</w:t>
                  </w:r>
                  <w:r w:rsidR="00D37FE3">
                    <w:rPr>
                      <w:rFonts w:asciiTheme="majorHAnsi" w:hAnsiTheme="majorHAnsi"/>
                      <w:sz w:val="16"/>
                      <w:szCs w:val="16"/>
                    </w:rPr>
                    <w:t xml:space="preserve"> </w:t>
                  </w:r>
                </w:p>
              </w:tc>
              <w:tc>
                <w:tcPr>
                  <w:tcW w:w="1080" w:type="dxa"/>
                </w:tcPr>
                <w:p w14:paraId="316D237F" w14:textId="4916E4B2" w:rsidR="00830F06" w:rsidRPr="00D9079F" w:rsidRDefault="00D37FE3" w:rsidP="00830F06">
                  <w:pPr>
                    <w:rPr>
                      <w:rFonts w:asciiTheme="majorHAnsi" w:hAnsiTheme="majorHAnsi"/>
                      <w:sz w:val="16"/>
                      <w:szCs w:val="16"/>
                    </w:rPr>
                  </w:pPr>
                  <w:r>
                    <w:rPr>
                      <w:rFonts w:asciiTheme="majorHAnsi" w:hAnsiTheme="majorHAnsi"/>
                      <w:sz w:val="16"/>
                      <w:szCs w:val="16"/>
                    </w:rPr>
                    <w:t>2</w:t>
                  </w:r>
                  <w:r w:rsidR="00ED6EC7" w:rsidRPr="00D9079F">
                    <w:rPr>
                      <w:rFonts w:asciiTheme="majorHAnsi" w:hAnsiTheme="majorHAnsi"/>
                      <w:sz w:val="16"/>
                      <w:szCs w:val="16"/>
                    </w:rPr>
                    <w:t>%</w:t>
                  </w:r>
                </w:p>
              </w:tc>
            </w:tr>
            <w:tr w:rsidR="00830F06" w:rsidRPr="00D9079F" w14:paraId="67214880" w14:textId="77777777" w:rsidTr="00380902">
              <w:tc>
                <w:tcPr>
                  <w:tcW w:w="3037" w:type="dxa"/>
                  <w:gridSpan w:val="2"/>
                </w:tcPr>
                <w:p w14:paraId="30979647"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Tax Rate</w:t>
                  </w:r>
                </w:p>
              </w:tc>
              <w:tc>
                <w:tcPr>
                  <w:tcW w:w="1080" w:type="dxa"/>
                </w:tcPr>
                <w:p w14:paraId="426CE887" w14:textId="01C9F7A3" w:rsidR="00830F06" w:rsidRPr="00D9079F" w:rsidRDefault="00D37FE3" w:rsidP="00830F06">
                  <w:pPr>
                    <w:rPr>
                      <w:rFonts w:asciiTheme="majorHAnsi" w:hAnsiTheme="majorHAnsi"/>
                      <w:sz w:val="16"/>
                      <w:szCs w:val="16"/>
                    </w:rPr>
                  </w:pPr>
                  <w:r>
                    <w:rPr>
                      <w:rFonts w:asciiTheme="majorHAnsi" w:hAnsiTheme="majorHAnsi"/>
                      <w:sz w:val="16"/>
                      <w:szCs w:val="16"/>
                    </w:rPr>
                    <w:t>n/a</w:t>
                  </w:r>
                </w:p>
              </w:tc>
            </w:tr>
            <w:tr w:rsidR="00830F06" w:rsidRPr="00D9079F" w14:paraId="0F9564DE" w14:textId="77777777" w:rsidTr="00380902">
              <w:tc>
                <w:tcPr>
                  <w:tcW w:w="3037" w:type="dxa"/>
                  <w:gridSpan w:val="2"/>
                </w:tcPr>
                <w:p w14:paraId="02E73EF4"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Cost of Equity </w:t>
                  </w:r>
                </w:p>
              </w:tc>
              <w:tc>
                <w:tcPr>
                  <w:tcW w:w="1080" w:type="dxa"/>
                </w:tcPr>
                <w:p w14:paraId="7C66D20E" w14:textId="3337D00A" w:rsidR="00830F06" w:rsidRPr="00D9079F" w:rsidRDefault="00D37FE3" w:rsidP="00830F06">
                  <w:pPr>
                    <w:rPr>
                      <w:rFonts w:asciiTheme="majorHAnsi" w:hAnsiTheme="majorHAnsi"/>
                      <w:sz w:val="16"/>
                      <w:szCs w:val="16"/>
                    </w:rPr>
                  </w:pPr>
                  <w:r>
                    <w:rPr>
                      <w:rFonts w:asciiTheme="majorHAnsi" w:hAnsiTheme="majorHAnsi"/>
                      <w:sz w:val="16"/>
                      <w:szCs w:val="16"/>
                    </w:rPr>
                    <w:t>6.43</w:t>
                  </w:r>
                  <w:r w:rsidR="00ED6EC7" w:rsidRPr="00D9079F">
                    <w:rPr>
                      <w:rFonts w:asciiTheme="majorHAnsi" w:hAnsiTheme="majorHAnsi"/>
                      <w:sz w:val="16"/>
                      <w:szCs w:val="16"/>
                    </w:rPr>
                    <w:t>%</w:t>
                  </w:r>
                </w:p>
              </w:tc>
            </w:tr>
            <w:tr w:rsidR="00830F06" w:rsidRPr="00D9079F" w14:paraId="19A1F6C8" w14:textId="77777777" w:rsidTr="00380902">
              <w:tc>
                <w:tcPr>
                  <w:tcW w:w="3037" w:type="dxa"/>
                  <w:gridSpan w:val="2"/>
                </w:tcPr>
                <w:p w14:paraId="714B53EA"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WACC</w:t>
                  </w:r>
                </w:p>
              </w:tc>
              <w:tc>
                <w:tcPr>
                  <w:tcW w:w="1080" w:type="dxa"/>
                </w:tcPr>
                <w:p w14:paraId="71DF2BD8" w14:textId="62F71C5F" w:rsidR="00830F06" w:rsidRPr="00D9079F" w:rsidRDefault="00F66F57" w:rsidP="00D37FE3">
                  <w:pPr>
                    <w:rPr>
                      <w:rFonts w:asciiTheme="majorHAnsi" w:hAnsiTheme="majorHAnsi"/>
                      <w:sz w:val="16"/>
                      <w:szCs w:val="16"/>
                    </w:rPr>
                  </w:pPr>
                  <w:r>
                    <w:rPr>
                      <w:rFonts w:asciiTheme="majorHAnsi" w:hAnsiTheme="majorHAnsi"/>
                      <w:sz w:val="16"/>
                      <w:szCs w:val="16"/>
                    </w:rPr>
                    <w:t>6</w:t>
                  </w:r>
                  <w:r w:rsidR="00D37FE3">
                    <w:rPr>
                      <w:rFonts w:asciiTheme="majorHAnsi" w:hAnsiTheme="majorHAnsi"/>
                      <w:sz w:val="16"/>
                      <w:szCs w:val="16"/>
                    </w:rPr>
                    <w:t>.5</w:t>
                  </w:r>
                  <w:r w:rsidR="00ED6EC7" w:rsidRPr="00D9079F">
                    <w:rPr>
                      <w:rFonts w:asciiTheme="majorHAnsi" w:hAnsiTheme="majorHAnsi"/>
                      <w:sz w:val="16"/>
                      <w:szCs w:val="16"/>
                    </w:rPr>
                    <w:t>%</w:t>
                  </w:r>
                </w:p>
              </w:tc>
            </w:tr>
            <w:tr w:rsidR="00830F06" w:rsidRPr="00D9079F" w14:paraId="48232758" w14:textId="77777777" w:rsidTr="002D3CFC">
              <w:trPr>
                <w:trHeight w:val="197"/>
              </w:trPr>
              <w:tc>
                <w:tcPr>
                  <w:tcW w:w="3037" w:type="dxa"/>
                  <w:gridSpan w:val="2"/>
                </w:tcPr>
                <w:p w14:paraId="75850D20"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Perpetuity growth rate </w:t>
                  </w:r>
                </w:p>
              </w:tc>
              <w:tc>
                <w:tcPr>
                  <w:tcW w:w="1080" w:type="dxa"/>
                </w:tcPr>
                <w:p w14:paraId="0C5586DB" w14:textId="3F3B3B92" w:rsidR="00830F06" w:rsidRPr="00D9079F" w:rsidRDefault="00D37FE3" w:rsidP="00D37FE3">
                  <w:pPr>
                    <w:rPr>
                      <w:rFonts w:asciiTheme="majorHAnsi" w:hAnsiTheme="majorHAnsi"/>
                      <w:sz w:val="16"/>
                      <w:szCs w:val="16"/>
                    </w:rPr>
                  </w:pPr>
                  <w:r>
                    <w:rPr>
                      <w:rFonts w:asciiTheme="majorHAnsi" w:hAnsiTheme="majorHAnsi"/>
                      <w:sz w:val="16"/>
                      <w:szCs w:val="16"/>
                    </w:rPr>
                    <w:t>4.4</w:t>
                  </w:r>
                  <w:r w:rsidR="00ED6EC7" w:rsidRPr="00D9079F">
                    <w:rPr>
                      <w:rFonts w:asciiTheme="majorHAnsi" w:hAnsiTheme="majorHAnsi"/>
                      <w:sz w:val="16"/>
                      <w:szCs w:val="16"/>
                    </w:rPr>
                    <w:t>%</w:t>
                  </w:r>
                </w:p>
              </w:tc>
            </w:tr>
          </w:tbl>
          <w:p w14:paraId="4363BD08" w14:textId="77777777" w:rsidR="009F0D12" w:rsidRPr="00D9079F" w:rsidRDefault="009F0D12" w:rsidP="009F0D12">
            <w:pPr>
              <w:jc w:val="both"/>
              <w:rPr>
                <w:rFonts w:asciiTheme="majorHAnsi" w:hAnsiTheme="majorHAnsi"/>
                <w:b/>
                <w:sz w:val="16"/>
                <w:szCs w:val="16"/>
              </w:rPr>
            </w:pPr>
            <w:r w:rsidRPr="00D9079F">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9F0D12" w:rsidRPr="00D9079F" w14:paraId="2502AA66" w14:textId="77777777" w:rsidTr="00FB4741">
              <w:tc>
                <w:tcPr>
                  <w:tcW w:w="1610" w:type="dxa"/>
                  <w:shd w:val="clear" w:color="auto" w:fill="DBE5F1" w:themeFill="accent1" w:themeFillTint="33"/>
                </w:tcPr>
                <w:p w14:paraId="6457A1D0" w14:textId="702D538C" w:rsidR="009F0D12" w:rsidRPr="00D9079F" w:rsidRDefault="009F0D12" w:rsidP="00766C69">
                  <w:pPr>
                    <w:jc w:val="both"/>
                    <w:rPr>
                      <w:rFonts w:asciiTheme="majorHAnsi" w:hAnsiTheme="majorHAnsi"/>
                      <w:sz w:val="16"/>
                      <w:szCs w:val="16"/>
                    </w:rPr>
                  </w:pPr>
                  <w:r w:rsidRPr="00D9079F">
                    <w:rPr>
                      <w:rFonts w:asciiTheme="majorHAnsi" w:hAnsiTheme="majorHAnsi"/>
                      <w:sz w:val="16"/>
                      <w:szCs w:val="16"/>
                    </w:rPr>
                    <w:t>Buy</w:t>
                  </w:r>
                  <w:r w:rsidR="00766C69" w:rsidRPr="00D9079F">
                    <w:rPr>
                      <w:rFonts w:asciiTheme="majorHAnsi" w:hAnsiTheme="majorHAnsi"/>
                      <w:sz w:val="16"/>
                      <w:szCs w:val="16"/>
                    </w:rPr>
                    <w:t>:38</w:t>
                  </w:r>
                </w:p>
              </w:tc>
              <w:tc>
                <w:tcPr>
                  <w:tcW w:w="1077" w:type="dxa"/>
                  <w:shd w:val="clear" w:color="auto" w:fill="DBE5F1" w:themeFill="accent1" w:themeFillTint="33"/>
                </w:tcPr>
                <w:p w14:paraId="10E79476" w14:textId="15EB1ED8"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Hold: </w:t>
                  </w:r>
                  <w:r w:rsidR="00766C69" w:rsidRPr="00D9079F">
                    <w:rPr>
                      <w:rFonts w:asciiTheme="majorHAnsi" w:hAnsiTheme="majorHAnsi"/>
                      <w:sz w:val="16"/>
                      <w:szCs w:val="16"/>
                    </w:rPr>
                    <w:t>11</w:t>
                  </w:r>
                </w:p>
              </w:tc>
              <w:tc>
                <w:tcPr>
                  <w:tcW w:w="1407" w:type="dxa"/>
                  <w:shd w:val="clear" w:color="auto" w:fill="DBE5F1" w:themeFill="accent1" w:themeFillTint="33"/>
                </w:tcPr>
                <w:p w14:paraId="1F373BED" w14:textId="780AF70B" w:rsidR="009F0D12" w:rsidRPr="00D9079F" w:rsidRDefault="00766C69" w:rsidP="009F0D12">
                  <w:pPr>
                    <w:jc w:val="both"/>
                    <w:rPr>
                      <w:rFonts w:asciiTheme="majorHAnsi" w:hAnsiTheme="majorHAnsi"/>
                      <w:sz w:val="16"/>
                      <w:szCs w:val="16"/>
                    </w:rPr>
                  </w:pPr>
                  <w:r w:rsidRPr="00D9079F">
                    <w:rPr>
                      <w:rFonts w:asciiTheme="majorHAnsi" w:hAnsiTheme="majorHAnsi"/>
                      <w:sz w:val="16"/>
                      <w:szCs w:val="16"/>
                    </w:rPr>
                    <w:t>Sell:1</w:t>
                  </w:r>
                </w:p>
              </w:tc>
            </w:tr>
            <w:tr w:rsidR="009F0D12" w:rsidRPr="00D9079F" w14:paraId="0A705346" w14:textId="77777777" w:rsidTr="00FB4741">
              <w:tc>
                <w:tcPr>
                  <w:tcW w:w="1610" w:type="dxa"/>
                  <w:shd w:val="clear" w:color="auto" w:fill="DBE5F1" w:themeFill="accent1" w:themeFillTint="33"/>
                </w:tcPr>
                <w:p w14:paraId="7897F5B6" w14:textId="77777777" w:rsidR="009F0D12" w:rsidRPr="00D9079F" w:rsidRDefault="009F0D12" w:rsidP="009F0D12">
                  <w:pPr>
                    <w:jc w:val="both"/>
                    <w:rPr>
                      <w:rFonts w:asciiTheme="majorHAnsi" w:hAnsiTheme="majorHAnsi"/>
                      <w:sz w:val="16"/>
                      <w:szCs w:val="16"/>
                    </w:rPr>
                  </w:pPr>
                </w:p>
              </w:tc>
              <w:tc>
                <w:tcPr>
                  <w:tcW w:w="1077" w:type="dxa"/>
                  <w:shd w:val="clear" w:color="auto" w:fill="DBE5F1" w:themeFill="accent1" w:themeFillTint="33"/>
                </w:tcPr>
                <w:p w14:paraId="78BA4ECF" w14:textId="77777777"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Rating </w:t>
                  </w:r>
                </w:p>
              </w:tc>
              <w:tc>
                <w:tcPr>
                  <w:tcW w:w="1407" w:type="dxa"/>
                  <w:shd w:val="clear" w:color="auto" w:fill="DBE5F1" w:themeFill="accent1" w:themeFillTint="33"/>
                </w:tcPr>
                <w:p w14:paraId="1E6E599B" w14:textId="77777777"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Target </w:t>
                  </w:r>
                </w:p>
              </w:tc>
            </w:tr>
            <w:tr w:rsidR="009F0D12" w:rsidRPr="00D9079F" w14:paraId="18B2C8FA" w14:textId="77777777" w:rsidTr="00FB4741">
              <w:tc>
                <w:tcPr>
                  <w:tcW w:w="1610" w:type="dxa"/>
                </w:tcPr>
                <w:p w14:paraId="12374E3E" w14:textId="77777777" w:rsidR="009F0D12" w:rsidRPr="00D9079F" w:rsidRDefault="009F0D12" w:rsidP="009F0D12">
                  <w:pPr>
                    <w:jc w:val="both"/>
                    <w:rPr>
                      <w:rFonts w:asciiTheme="majorHAnsi" w:hAnsiTheme="majorHAnsi"/>
                      <w:sz w:val="16"/>
                      <w:szCs w:val="16"/>
                    </w:rPr>
                  </w:pPr>
                  <w:r w:rsidRPr="00D9079F">
                    <w:rPr>
                      <w:rFonts w:asciiTheme="majorHAnsi" w:hAnsiTheme="majorHAnsi"/>
                      <w:sz w:val="16"/>
                      <w:szCs w:val="16"/>
                    </w:rPr>
                    <w:t xml:space="preserve">S&amp;P Net Advantage </w:t>
                  </w:r>
                </w:p>
              </w:tc>
              <w:tc>
                <w:tcPr>
                  <w:tcW w:w="1077" w:type="dxa"/>
                </w:tcPr>
                <w:p w14:paraId="6EC161A2" w14:textId="559BD7FF" w:rsidR="009F0D12" w:rsidRPr="00D9079F" w:rsidRDefault="006C08FC" w:rsidP="009F0D12">
                  <w:pPr>
                    <w:jc w:val="both"/>
                    <w:rPr>
                      <w:rFonts w:asciiTheme="majorHAnsi" w:hAnsiTheme="majorHAnsi"/>
                      <w:sz w:val="16"/>
                      <w:szCs w:val="16"/>
                    </w:rPr>
                  </w:pPr>
                  <w:r>
                    <w:rPr>
                      <w:rFonts w:asciiTheme="majorHAnsi" w:hAnsiTheme="majorHAnsi"/>
                      <w:sz w:val="16"/>
                      <w:szCs w:val="16"/>
                    </w:rPr>
                    <w:t>N/A</w:t>
                  </w:r>
                </w:p>
              </w:tc>
              <w:tc>
                <w:tcPr>
                  <w:tcW w:w="1407" w:type="dxa"/>
                </w:tcPr>
                <w:p w14:paraId="0BCB7E23" w14:textId="01D1FBBC" w:rsidR="009F0D12" w:rsidRPr="00D9079F" w:rsidRDefault="006C08FC" w:rsidP="009F0D12">
                  <w:pPr>
                    <w:jc w:val="both"/>
                    <w:rPr>
                      <w:rFonts w:asciiTheme="majorHAnsi" w:hAnsiTheme="majorHAnsi"/>
                      <w:sz w:val="16"/>
                      <w:szCs w:val="16"/>
                    </w:rPr>
                  </w:pPr>
                  <w:r>
                    <w:rPr>
                      <w:rFonts w:asciiTheme="majorHAnsi" w:hAnsiTheme="majorHAnsi"/>
                      <w:sz w:val="16"/>
                      <w:szCs w:val="16"/>
                    </w:rPr>
                    <w:t>N/A</w:t>
                  </w:r>
                </w:p>
              </w:tc>
            </w:tr>
            <w:tr w:rsidR="00766C69" w:rsidRPr="00D9079F" w14:paraId="35B4D85C" w14:textId="77777777" w:rsidTr="00FB4741">
              <w:trPr>
                <w:trHeight w:val="215"/>
              </w:trPr>
              <w:tc>
                <w:tcPr>
                  <w:tcW w:w="1610" w:type="dxa"/>
                </w:tcPr>
                <w:p w14:paraId="1DD4E482" w14:textId="4558A51F" w:rsidR="00766C69" w:rsidRPr="00D9079F" w:rsidRDefault="00766C69" w:rsidP="009F0D12">
                  <w:pPr>
                    <w:jc w:val="both"/>
                    <w:rPr>
                      <w:rFonts w:asciiTheme="majorHAnsi" w:hAnsiTheme="majorHAnsi"/>
                      <w:sz w:val="16"/>
                      <w:szCs w:val="16"/>
                    </w:rPr>
                  </w:pPr>
                  <w:r w:rsidRPr="00D9079F">
                    <w:rPr>
                      <w:rFonts w:asciiTheme="majorHAnsi" w:hAnsiTheme="majorHAnsi"/>
                      <w:sz w:val="16"/>
                      <w:szCs w:val="16"/>
                    </w:rPr>
                    <w:t>Morning Star</w:t>
                  </w:r>
                </w:p>
              </w:tc>
              <w:tc>
                <w:tcPr>
                  <w:tcW w:w="1077" w:type="dxa"/>
                </w:tcPr>
                <w:p w14:paraId="0B4EFFDC" w14:textId="426A6C10" w:rsidR="00766C69" w:rsidRPr="00D9079F" w:rsidRDefault="006C08FC" w:rsidP="009F0D12">
                  <w:pPr>
                    <w:jc w:val="both"/>
                    <w:rPr>
                      <w:rFonts w:asciiTheme="majorHAnsi" w:hAnsiTheme="majorHAnsi"/>
                      <w:sz w:val="16"/>
                      <w:szCs w:val="16"/>
                    </w:rPr>
                  </w:pPr>
                  <w:r>
                    <w:rPr>
                      <w:rFonts w:asciiTheme="majorHAnsi" w:hAnsiTheme="majorHAnsi"/>
                      <w:sz w:val="16"/>
                      <w:szCs w:val="16"/>
                    </w:rPr>
                    <w:t>**</w:t>
                  </w:r>
                </w:p>
              </w:tc>
              <w:tc>
                <w:tcPr>
                  <w:tcW w:w="1407" w:type="dxa"/>
                </w:tcPr>
                <w:p w14:paraId="70BA49F9" w14:textId="20FCD9D3" w:rsidR="00766C69" w:rsidRPr="00D9079F" w:rsidRDefault="00766C69" w:rsidP="009F0D12">
                  <w:pPr>
                    <w:jc w:val="both"/>
                    <w:rPr>
                      <w:rFonts w:asciiTheme="majorHAnsi" w:hAnsiTheme="majorHAnsi"/>
                      <w:sz w:val="16"/>
                      <w:szCs w:val="16"/>
                    </w:rPr>
                  </w:pPr>
                  <w:r w:rsidRPr="00D9079F">
                    <w:rPr>
                      <w:rFonts w:asciiTheme="majorHAnsi" w:hAnsiTheme="majorHAnsi"/>
                      <w:sz w:val="16"/>
                      <w:szCs w:val="16"/>
                    </w:rPr>
                    <w:t>$140</w:t>
                  </w:r>
                </w:p>
              </w:tc>
            </w:tr>
            <w:tr w:rsidR="00766C69" w:rsidRPr="00D9079F" w14:paraId="0BBF9B66" w14:textId="77777777" w:rsidTr="00FB4741">
              <w:trPr>
                <w:trHeight w:val="215"/>
              </w:trPr>
              <w:tc>
                <w:tcPr>
                  <w:tcW w:w="1610" w:type="dxa"/>
                </w:tcPr>
                <w:p w14:paraId="0E7E15E7" w14:textId="50B93F2B" w:rsidR="00766C69" w:rsidRPr="00D9079F" w:rsidRDefault="00766C69" w:rsidP="009F0D12">
                  <w:pPr>
                    <w:jc w:val="both"/>
                    <w:rPr>
                      <w:rFonts w:asciiTheme="majorHAnsi" w:hAnsiTheme="majorHAnsi"/>
                      <w:sz w:val="16"/>
                      <w:szCs w:val="16"/>
                    </w:rPr>
                  </w:pPr>
                  <w:r w:rsidRPr="00D9079F">
                    <w:rPr>
                      <w:rFonts w:asciiTheme="majorHAnsi" w:hAnsiTheme="majorHAnsi"/>
                      <w:sz w:val="16"/>
                      <w:szCs w:val="16"/>
                    </w:rPr>
                    <w:t xml:space="preserve">Value Line </w:t>
                  </w:r>
                </w:p>
              </w:tc>
              <w:tc>
                <w:tcPr>
                  <w:tcW w:w="1077" w:type="dxa"/>
                </w:tcPr>
                <w:p w14:paraId="161AF23F" w14:textId="1F3D4780" w:rsidR="00766C69" w:rsidRPr="00D9079F" w:rsidRDefault="00766C69" w:rsidP="009F0D12">
                  <w:pPr>
                    <w:jc w:val="both"/>
                    <w:rPr>
                      <w:rFonts w:asciiTheme="majorHAnsi" w:hAnsiTheme="majorHAnsi"/>
                      <w:sz w:val="16"/>
                      <w:szCs w:val="16"/>
                    </w:rPr>
                  </w:pPr>
                  <w:r w:rsidRPr="00D9079F">
                    <w:rPr>
                      <w:rFonts w:asciiTheme="majorHAnsi" w:hAnsiTheme="majorHAnsi"/>
                      <w:sz w:val="16"/>
                      <w:szCs w:val="16"/>
                    </w:rPr>
                    <w:t>Timeliness:2</w:t>
                  </w:r>
                </w:p>
              </w:tc>
              <w:tc>
                <w:tcPr>
                  <w:tcW w:w="1407" w:type="dxa"/>
                </w:tcPr>
                <w:p w14:paraId="22CC1EA0" w14:textId="0DD4E70C" w:rsidR="00766C69" w:rsidRPr="00D9079F" w:rsidRDefault="00803BBE" w:rsidP="00803BBE">
                  <w:pPr>
                    <w:jc w:val="both"/>
                    <w:rPr>
                      <w:rFonts w:asciiTheme="majorHAnsi" w:hAnsiTheme="majorHAnsi"/>
                      <w:sz w:val="16"/>
                      <w:szCs w:val="16"/>
                    </w:rPr>
                  </w:pPr>
                  <w:r>
                    <w:rPr>
                      <w:rFonts w:asciiTheme="majorHAnsi" w:hAnsiTheme="majorHAnsi"/>
                      <w:sz w:val="16"/>
                      <w:szCs w:val="16"/>
                    </w:rPr>
                    <w:t>$185</w:t>
                  </w:r>
                  <w:r w:rsidR="00766C69" w:rsidRPr="00D9079F">
                    <w:rPr>
                      <w:rFonts w:asciiTheme="majorHAnsi" w:hAnsiTheme="majorHAnsi"/>
                      <w:sz w:val="16"/>
                      <w:szCs w:val="16"/>
                    </w:rPr>
                    <w:t>-2</w:t>
                  </w:r>
                  <w:r>
                    <w:rPr>
                      <w:rFonts w:asciiTheme="majorHAnsi" w:hAnsiTheme="majorHAnsi"/>
                      <w:sz w:val="16"/>
                      <w:szCs w:val="16"/>
                    </w:rPr>
                    <w:t>50</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D9079F" w:rsidRDefault="00766C69" w:rsidP="00380902">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D50F9B">
        <w:tc>
          <w:tcPr>
            <w:tcW w:w="7488" w:type="dxa"/>
          </w:tcPr>
          <w:p w14:paraId="67108435" w14:textId="0CCAE74A" w:rsidR="00766C69" w:rsidRPr="00934A2F" w:rsidRDefault="0001677A" w:rsidP="00934A2F">
            <w:pPr>
              <w:pStyle w:val="ListParagraph"/>
              <w:ind w:left="0"/>
              <w:jc w:val="both"/>
              <w:rPr>
                <w:rFonts w:asciiTheme="majorHAnsi" w:hAnsiTheme="majorHAnsi"/>
                <w:sz w:val="16"/>
                <w:szCs w:val="16"/>
              </w:rPr>
            </w:pPr>
            <w:r>
              <w:rPr>
                <w:noProof/>
              </w:rPr>
              <w:drawing>
                <wp:anchor distT="0" distB="0" distL="114300" distR="114300" simplePos="0" relativeHeight="251658240" behindDoc="1" locked="0" layoutInCell="1" allowOverlap="1" wp14:anchorId="38BEE6DC" wp14:editId="29646D8A">
                  <wp:simplePos x="0" y="0"/>
                  <wp:positionH relativeFrom="column">
                    <wp:posOffset>-9525</wp:posOffset>
                  </wp:positionH>
                  <wp:positionV relativeFrom="paragraph">
                    <wp:posOffset>66675</wp:posOffset>
                  </wp:positionV>
                  <wp:extent cx="4617720" cy="1504950"/>
                  <wp:effectExtent l="0" t="0" r="0" b="0"/>
                  <wp:wrapTight wrapText="bothSides">
                    <wp:wrapPolygon edited="0">
                      <wp:start x="0" y="0"/>
                      <wp:lineTo x="0" y="21327"/>
                      <wp:lineTo x="21475" y="21327"/>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17720" cy="1504950"/>
                          </a:xfrm>
                          <a:prstGeom prst="rect">
                            <a:avLst/>
                          </a:prstGeom>
                        </pic:spPr>
                      </pic:pic>
                    </a:graphicData>
                  </a:graphic>
                </wp:anchor>
              </w:drawing>
            </w:r>
          </w:p>
        </w:tc>
        <w:tc>
          <w:tcPr>
            <w:tcW w:w="4256" w:type="dxa"/>
          </w:tcPr>
          <w:tbl>
            <w:tblPr>
              <w:tblStyle w:val="TableGrid"/>
              <w:tblW w:w="4094" w:type="dxa"/>
              <w:tblLayout w:type="fixed"/>
              <w:tblLook w:val="04A0" w:firstRow="1" w:lastRow="0" w:firstColumn="1" w:lastColumn="0" w:noHBand="0" w:noVBand="1"/>
            </w:tblPr>
            <w:tblGrid>
              <w:gridCol w:w="1327"/>
              <w:gridCol w:w="630"/>
              <w:gridCol w:w="1175"/>
              <w:gridCol w:w="962"/>
            </w:tblGrid>
            <w:tr w:rsidR="00766C69" w:rsidRPr="00D9079F" w14:paraId="39927E41" w14:textId="77777777" w:rsidTr="00CC5418">
              <w:trPr>
                <w:trHeight w:val="152"/>
              </w:trPr>
              <w:tc>
                <w:tcPr>
                  <w:tcW w:w="1327" w:type="dxa"/>
                  <w:shd w:val="clear" w:color="auto" w:fill="DBE5F1" w:themeFill="accent1" w:themeFillTint="33"/>
                </w:tcPr>
                <w:p w14:paraId="405B542F" w14:textId="06E80B37" w:rsidR="00766C69" w:rsidRPr="00D9079F" w:rsidRDefault="00766C69" w:rsidP="00766C69">
                  <w:pPr>
                    <w:jc w:val="center"/>
                    <w:rPr>
                      <w:rFonts w:asciiTheme="majorHAnsi" w:hAnsiTheme="majorHAnsi"/>
                      <w:sz w:val="16"/>
                      <w:szCs w:val="16"/>
                    </w:rPr>
                  </w:pPr>
                </w:p>
              </w:tc>
              <w:tc>
                <w:tcPr>
                  <w:tcW w:w="630" w:type="dxa"/>
                  <w:shd w:val="clear" w:color="auto" w:fill="DBE5F1" w:themeFill="accent1" w:themeFillTint="33"/>
                </w:tcPr>
                <w:p w14:paraId="0AB96B2A" w14:textId="4BF54412" w:rsidR="00766C69" w:rsidRPr="00D9079F" w:rsidRDefault="005124A3" w:rsidP="00EA5213">
                  <w:pPr>
                    <w:rPr>
                      <w:rFonts w:asciiTheme="majorHAnsi" w:hAnsiTheme="majorHAnsi"/>
                      <w:sz w:val="16"/>
                      <w:szCs w:val="16"/>
                    </w:rPr>
                  </w:pPr>
                  <w:r>
                    <w:rPr>
                      <w:rFonts w:asciiTheme="majorHAnsi" w:hAnsiTheme="majorHAnsi"/>
                      <w:sz w:val="16"/>
                      <w:szCs w:val="16"/>
                    </w:rPr>
                    <w:t>AVB</w:t>
                  </w:r>
                </w:p>
              </w:tc>
              <w:tc>
                <w:tcPr>
                  <w:tcW w:w="1175" w:type="dxa"/>
                  <w:shd w:val="clear" w:color="auto" w:fill="DBE5F1" w:themeFill="accent1" w:themeFillTint="33"/>
                </w:tcPr>
                <w:p w14:paraId="0650E6CE" w14:textId="6FA933B8" w:rsidR="00766C69" w:rsidRPr="00D9079F" w:rsidRDefault="005124A3" w:rsidP="00EA5213">
                  <w:pPr>
                    <w:rPr>
                      <w:rFonts w:asciiTheme="majorHAnsi" w:hAnsiTheme="majorHAnsi"/>
                      <w:sz w:val="16"/>
                      <w:szCs w:val="16"/>
                    </w:rPr>
                  </w:pPr>
                  <w:r>
                    <w:rPr>
                      <w:rFonts w:asciiTheme="majorHAnsi" w:hAnsiTheme="majorHAnsi"/>
                      <w:sz w:val="16"/>
                      <w:szCs w:val="16"/>
                    </w:rPr>
                    <w:t>Industry</w:t>
                  </w:r>
                </w:p>
              </w:tc>
              <w:tc>
                <w:tcPr>
                  <w:tcW w:w="962" w:type="dxa"/>
                  <w:shd w:val="clear" w:color="auto" w:fill="DBE5F1" w:themeFill="accent1" w:themeFillTint="33"/>
                </w:tcPr>
                <w:p w14:paraId="68B31751"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S&amp;P 500</w:t>
                  </w:r>
                </w:p>
              </w:tc>
            </w:tr>
            <w:tr w:rsidR="00766C69" w:rsidRPr="00D9079F" w14:paraId="47681D86" w14:textId="77777777" w:rsidTr="00706035">
              <w:tc>
                <w:tcPr>
                  <w:tcW w:w="1327" w:type="dxa"/>
                </w:tcPr>
                <w:p w14:paraId="440258CF"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YTD</w:t>
                  </w:r>
                </w:p>
              </w:tc>
              <w:tc>
                <w:tcPr>
                  <w:tcW w:w="630" w:type="dxa"/>
                </w:tcPr>
                <w:p w14:paraId="2915C4D5" w14:textId="17AF19B0" w:rsidR="00766C69" w:rsidRPr="00D9079F" w:rsidRDefault="005124A3" w:rsidP="00EA5213">
                  <w:pPr>
                    <w:rPr>
                      <w:rFonts w:asciiTheme="majorHAnsi" w:hAnsiTheme="majorHAnsi"/>
                      <w:sz w:val="16"/>
                      <w:szCs w:val="16"/>
                    </w:rPr>
                  </w:pPr>
                  <w:r>
                    <w:rPr>
                      <w:rFonts w:asciiTheme="majorHAnsi" w:hAnsiTheme="majorHAnsi"/>
                      <w:sz w:val="16"/>
                      <w:szCs w:val="16"/>
                    </w:rPr>
                    <w:t>8.86</w:t>
                  </w:r>
                </w:p>
              </w:tc>
              <w:tc>
                <w:tcPr>
                  <w:tcW w:w="1175" w:type="dxa"/>
                </w:tcPr>
                <w:p w14:paraId="432CEBBB" w14:textId="1879D352" w:rsidR="00766C69" w:rsidRPr="00D9079F" w:rsidRDefault="005124A3" w:rsidP="00EA5213">
                  <w:pPr>
                    <w:rPr>
                      <w:rFonts w:asciiTheme="majorHAnsi" w:hAnsiTheme="majorHAnsi"/>
                      <w:sz w:val="16"/>
                      <w:szCs w:val="16"/>
                    </w:rPr>
                  </w:pPr>
                  <w:r>
                    <w:rPr>
                      <w:rFonts w:asciiTheme="majorHAnsi" w:hAnsiTheme="majorHAnsi"/>
                      <w:sz w:val="16"/>
                      <w:szCs w:val="16"/>
                    </w:rPr>
                    <w:t>8.65</w:t>
                  </w:r>
                </w:p>
              </w:tc>
              <w:tc>
                <w:tcPr>
                  <w:tcW w:w="962" w:type="dxa"/>
                </w:tcPr>
                <w:p w14:paraId="2D5C424C" w14:textId="340F34C5" w:rsidR="00766C69" w:rsidRPr="00D9079F" w:rsidRDefault="00706035" w:rsidP="00EA5213">
                  <w:pPr>
                    <w:rPr>
                      <w:rFonts w:asciiTheme="majorHAnsi" w:hAnsiTheme="majorHAnsi"/>
                      <w:sz w:val="16"/>
                      <w:szCs w:val="16"/>
                    </w:rPr>
                  </w:pPr>
                  <w:r>
                    <w:rPr>
                      <w:rFonts w:asciiTheme="majorHAnsi" w:hAnsiTheme="majorHAnsi"/>
                      <w:sz w:val="16"/>
                      <w:szCs w:val="16"/>
                    </w:rPr>
                    <w:t>2.70</w:t>
                  </w:r>
                </w:p>
              </w:tc>
            </w:tr>
            <w:tr w:rsidR="00766C69" w:rsidRPr="00D9079F" w14:paraId="0CAB3804" w14:textId="77777777" w:rsidTr="00706035">
              <w:tc>
                <w:tcPr>
                  <w:tcW w:w="1327" w:type="dxa"/>
                </w:tcPr>
                <w:p w14:paraId="00417533"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2014</w:t>
                  </w:r>
                </w:p>
              </w:tc>
              <w:tc>
                <w:tcPr>
                  <w:tcW w:w="630" w:type="dxa"/>
                </w:tcPr>
                <w:p w14:paraId="6A39DEFF" w14:textId="5D3FB33D" w:rsidR="00766C69" w:rsidRPr="00D9079F" w:rsidRDefault="005124A3" w:rsidP="00EA5213">
                  <w:pPr>
                    <w:rPr>
                      <w:rFonts w:asciiTheme="majorHAnsi" w:hAnsiTheme="majorHAnsi"/>
                      <w:sz w:val="16"/>
                      <w:szCs w:val="16"/>
                    </w:rPr>
                  </w:pPr>
                  <w:r>
                    <w:rPr>
                      <w:rFonts w:asciiTheme="majorHAnsi" w:hAnsiTheme="majorHAnsi"/>
                      <w:sz w:val="16"/>
                      <w:szCs w:val="16"/>
                    </w:rPr>
                    <w:t>13.19</w:t>
                  </w:r>
                </w:p>
              </w:tc>
              <w:tc>
                <w:tcPr>
                  <w:tcW w:w="1175" w:type="dxa"/>
                </w:tcPr>
                <w:p w14:paraId="492CC2B1" w14:textId="698B71C0" w:rsidR="00766C69" w:rsidRPr="00D9079F" w:rsidRDefault="005124A3" w:rsidP="00EA5213">
                  <w:pPr>
                    <w:rPr>
                      <w:rFonts w:asciiTheme="majorHAnsi" w:hAnsiTheme="majorHAnsi"/>
                      <w:sz w:val="16"/>
                      <w:szCs w:val="16"/>
                    </w:rPr>
                  </w:pPr>
                  <w:r>
                    <w:rPr>
                      <w:rFonts w:asciiTheme="majorHAnsi" w:hAnsiTheme="majorHAnsi"/>
                      <w:sz w:val="16"/>
                      <w:szCs w:val="16"/>
                    </w:rPr>
                    <w:t>11.56</w:t>
                  </w:r>
                </w:p>
              </w:tc>
              <w:tc>
                <w:tcPr>
                  <w:tcW w:w="962" w:type="dxa"/>
                </w:tcPr>
                <w:p w14:paraId="5535D14C" w14:textId="586983AD" w:rsidR="00766C69" w:rsidRPr="00D9079F" w:rsidRDefault="00706035" w:rsidP="00EA5213">
                  <w:pPr>
                    <w:rPr>
                      <w:rFonts w:asciiTheme="majorHAnsi" w:hAnsiTheme="majorHAnsi"/>
                      <w:sz w:val="16"/>
                      <w:szCs w:val="16"/>
                    </w:rPr>
                  </w:pPr>
                  <w:r>
                    <w:rPr>
                      <w:rFonts w:asciiTheme="majorHAnsi" w:hAnsiTheme="majorHAnsi"/>
                      <w:sz w:val="16"/>
                      <w:szCs w:val="16"/>
                    </w:rPr>
                    <w:t>13.69</w:t>
                  </w:r>
                </w:p>
              </w:tc>
            </w:tr>
            <w:tr w:rsidR="00766C69" w:rsidRPr="00D9079F" w14:paraId="0876038A" w14:textId="77777777" w:rsidTr="00706035">
              <w:tc>
                <w:tcPr>
                  <w:tcW w:w="1327" w:type="dxa"/>
                </w:tcPr>
                <w:p w14:paraId="1F90980B"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 xml:space="preserve">Last 3 Years </w:t>
                  </w:r>
                </w:p>
              </w:tc>
              <w:tc>
                <w:tcPr>
                  <w:tcW w:w="630" w:type="dxa"/>
                </w:tcPr>
                <w:p w14:paraId="0925A661" w14:textId="06BE6C84" w:rsidR="00766C69" w:rsidRPr="00D9079F" w:rsidRDefault="005124A3" w:rsidP="00EA5213">
                  <w:pPr>
                    <w:rPr>
                      <w:rFonts w:asciiTheme="majorHAnsi" w:hAnsiTheme="majorHAnsi"/>
                      <w:sz w:val="16"/>
                      <w:szCs w:val="16"/>
                    </w:rPr>
                  </w:pPr>
                  <w:r>
                    <w:rPr>
                      <w:rFonts w:asciiTheme="majorHAnsi" w:hAnsiTheme="majorHAnsi"/>
                      <w:sz w:val="16"/>
                      <w:szCs w:val="16"/>
                    </w:rPr>
                    <w:t>44.99</w:t>
                  </w:r>
                </w:p>
              </w:tc>
              <w:tc>
                <w:tcPr>
                  <w:tcW w:w="1175" w:type="dxa"/>
                </w:tcPr>
                <w:p w14:paraId="046C9C8D" w14:textId="5E3328D1" w:rsidR="00766C69" w:rsidRPr="00D9079F" w:rsidRDefault="005124A3" w:rsidP="00EA5213">
                  <w:pPr>
                    <w:rPr>
                      <w:rFonts w:asciiTheme="majorHAnsi" w:hAnsiTheme="majorHAnsi"/>
                      <w:sz w:val="16"/>
                      <w:szCs w:val="16"/>
                    </w:rPr>
                  </w:pPr>
                  <w:r>
                    <w:rPr>
                      <w:rFonts w:asciiTheme="majorHAnsi" w:hAnsiTheme="majorHAnsi"/>
                      <w:sz w:val="16"/>
                      <w:szCs w:val="16"/>
                    </w:rPr>
                    <w:t>50.43</w:t>
                  </w:r>
                </w:p>
              </w:tc>
              <w:tc>
                <w:tcPr>
                  <w:tcW w:w="962" w:type="dxa"/>
                </w:tcPr>
                <w:p w14:paraId="55BE815F" w14:textId="65677D00" w:rsidR="00766C69" w:rsidRPr="00D9079F" w:rsidRDefault="00706035" w:rsidP="00EA5213">
                  <w:pPr>
                    <w:rPr>
                      <w:rFonts w:asciiTheme="majorHAnsi" w:hAnsiTheme="majorHAnsi"/>
                      <w:sz w:val="16"/>
                      <w:szCs w:val="16"/>
                    </w:rPr>
                  </w:pPr>
                  <w:r>
                    <w:rPr>
                      <w:rFonts w:asciiTheme="majorHAnsi" w:hAnsiTheme="majorHAnsi"/>
                      <w:sz w:val="16"/>
                      <w:szCs w:val="16"/>
                    </w:rPr>
                    <w:t>17.14</w:t>
                  </w:r>
                </w:p>
              </w:tc>
            </w:tr>
            <w:tr w:rsidR="00766C69" w:rsidRPr="00D9079F" w14:paraId="28B8CB1E" w14:textId="77777777" w:rsidTr="00706035">
              <w:tc>
                <w:tcPr>
                  <w:tcW w:w="1327" w:type="dxa"/>
                </w:tcPr>
                <w:p w14:paraId="3272796F" w14:textId="77777777" w:rsidR="00766C69" w:rsidRPr="00D9079F" w:rsidRDefault="00766C69" w:rsidP="00EA5213">
                  <w:pPr>
                    <w:rPr>
                      <w:rFonts w:asciiTheme="majorHAnsi" w:hAnsiTheme="majorHAnsi"/>
                      <w:sz w:val="16"/>
                      <w:szCs w:val="16"/>
                    </w:rPr>
                  </w:pPr>
                  <w:r w:rsidRPr="00D9079F">
                    <w:rPr>
                      <w:rFonts w:asciiTheme="majorHAnsi" w:hAnsiTheme="majorHAnsi"/>
                      <w:sz w:val="16"/>
                      <w:szCs w:val="16"/>
                    </w:rPr>
                    <w:t xml:space="preserve">Last 5 Years </w:t>
                  </w:r>
                </w:p>
              </w:tc>
              <w:tc>
                <w:tcPr>
                  <w:tcW w:w="630" w:type="dxa"/>
                </w:tcPr>
                <w:p w14:paraId="6CA968EB" w14:textId="5160F3A0" w:rsidR="00766C69" w:rsidRPr="00D9079F" w:rsidRDefault="005124A3" w:rsidP="00EA5213">
                  <w:pPr>
                    <w:rPr>
                      <w:rFonts w:asciiTheme="majorHAnsi" w:hAnsiTheme="majorHAnsi"/>
                      <w:sz w:val="16"/>
                      <w:szCs w:val="16"/>
                    </w:rPr>
                  </w:pPr>
                  <w:r>
                    <w:rPr>
                      <w:rFonts w:asciiTheme="majorHAnsi" w:hAnsiTheme="majorHAnsi"/>
                      <w:sz w:val="16"/>
                      <w:szCs w:val="16"/>
                    </w:rPr>
                    <w:t>86.55</w:t>
                  </w:r>
                </w:p>
              </w:tc>
              <w:tc>
                <w:tcPr>
                  <w:tcW w:w="1175" w:type="dxa"/>
                </w:tcPr>
                <w:p w14:paraId="3A2AF828" w14:textId="07D4760A" w:rsidR="00766C69" w:rsidRPr="00D9079F" w:rsidRDefault="005124A3" w:rsidP="00EA5213">
                  <w:pPr>
                    <w:rPr>
                      <w:rFonts w:asciiTheme="majorHAnsi" w:hAnsiTheme="majorHAnsi"/>
                      <w:sz w:val="16"/>
                      <w:szCs w:val="16"/>
                    </w:rPr>
                  </w:pPr>
                  <w:r>
                    <w:rPr>
                      <w:rFonts w:asciiTheme="majorHAnsi" w:hAnsiTheme="majorHAnsi"/>
                      <w:sz w:val="16"/>
                      <w:szCs w:val="16"/>
                    </w:rPr>
                    <w:t>87.68</w:t>
                  </w:r>
                </w:p>
              </w:tc>
              <w:tc>
                <w:tcPr>
                  <w:tcW w:w="962" w:type="dxa"/>
                </w:tcPr>
                <w:p w14:paraId="1D7EE8E1" w14:textId="311FFDF6" w:rsidR="00766C69" w:rsidRPr="00D9079F" w:rsidRDefault="00706035" w:rsidP="00EA5213">
                  <w:pPr>
                    <w:rPr>
                      <w:rFonts w:asciiTheme="majorHAnsi" w:hAnsiTheme="majorHAnsi"/>
                      <w:sz w:val="16"/>
                      <w:szCs w:val="16"/>
                    </w:rPr>
                  </w:pPr>
                  <w:r>
                    <w:rPr>
                      <w:rFonts w:asciiTheme="majorHAnsi" w:hAnsiTheme="majorHAnsi"/>
                      <w:sz w:val="16"/>
                      <w:szCs w:val="16"/>
                    </w:rPr>
                    <w:t>13.69</w:t>
                  </w:r>
                </w:p>
              </w:tc>
            </w:tr>
          </w:tbl>
          <w:p w14:paraId="221910A7" w14:textId="368D2A1A" w:rsidR="00766C69" w:rsidRPr="00D9079F" w:rsidRDefault="00766C69" w:rsidP="00380902">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87"/>
              <w:gridCol w:w="630"/>
              <w:gridCol w:w="810"/>
            </w:tblGrid>
            <w:tr w:rsidR="00766C69" w:rsidRPr="00D9079F" w14:paraId="45EE1C47" w14:textId="77777777" w:rsidTr="003B46E6">
              <w:tc>
                <w:tcPr>
                  <w:tcW w:w="2587"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630" w:type="dxa"/>
                  <w:shd w:val="clear" w:color="auto" w:fill="DBE5F1" w:themeFill="accent1" w:themeFillTint="33"/>
                </w:tcPr>
                <w:p w14:paraId="64E10A6D" w14:textId="2D2DCAD2" w:rsidR="00766C69" w:rsidRPr="00D9079F" w:rsidRDefault="005124A3" w:rsidP="009F0D12">
                  <w:pPr>
                    <w:rPr>
                      <w:rFonts w:asciiTheme="majorHAnsi" w:hAnsiTheme="majorHAnsi"/>
                      <w:sz w:val="16"/>
                      <w:szCs w:val="16"/>
                    </w:rPr>
                  </w:pPr>
                  <w:r>
                    <w:rPr>
                      <w:rFonts w:asciiTheme="majorHAnsi" w:hAnsiTheme="majorHAnsi"/>
                      <w:sz w:val="16"/>
                      <w:szCs w:val="16"/>
                    </w:rPr>
                    <w:t>AVB</w:t>
                  </w:r>
                </w:p>
              </w:tc>
              <w:tc>
                <w:tcPr>
                  <w:tcW w:w="81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766C69" w:rsidRPr="00D9079F" w14:paraId="53D6739A" w14:textId="77777777" w:rsidTr="003B46E6">
              <w:tc>
                <w:tcPr>
                  <w:tcW w:w="2587" w:type="dxa"/>
                  <w:shd w:val="clear" w:color="auto" w:fill="auto"/>
                </w:tcPr>
                <w:p w14:paraId="5ABFA4AF" w14:textId="4B95A7E9" w:rsidR="00766C69" w:rsidRPr="00D9079F" w:rsidRDefault="007E1D8C" w:rsidP="007E1D8C">
                  <w:pPr>
                    <w:tabs>
                      <w:tab w:val="right" w:pos="1741"/>
                    </w:tabs>
                    <w:rPr>
                      <w:rFonts w:asciiTheme="majorHAnsi" w:hAnsiTheme="majorHAnsi"/>
                      <w:sz w:val="16"/>
                      <w:szCs w:val="16"/>
                    </w:rPr>
                  </w:pPr>
                  <w:r>
                    <w:rPr>
                      <w:rFonts w:asciiTheme="majorHAnsi" w:hAnsiTheme="majorHAnsi"/>
                      <w:sz w:val="16"/>
                      <w:szCs w:val="16"/>
                    </w:rPr>
                    <w:t>Business Ethics Policy</w:t>
                  </w:r>
                </w:p>
              </w:tc>
              <w:tc>
                <w:tcPr>
                  <w:tcW w:w="630" w:type="dxa"/>
                  <w:shd w:val="clear" w:color="auto" w:fill="auto"/>
                </w:tcPr>
                <w:p w14:paraId="051DC610" w14:textId="475773C1" w:rsidR="00766C69" w:rsidRPr="00D9079F" w:rsidRDefault="007E1D8C" w:rsidP="009F0D12">
                  <w:pPr>
                    <w:rPr>
                      <w:rFonts w:asciiTheme="majorHAnsi" w:hAnsiTheme="majorHAnsi"/>
                      <w:sz w:val="16"/>
                      <w:szCs w:val="16"/>
                    </w:rPr>
                  </w:pPr>
                  <w:r>
                    <w:rPr>
                      <w:rFonts w:asciiTheme="majorHAnsi" w:hAnsiTheme="majorHAnsi"/>
                      <w:sz w:val="16"/>
                      <w:szCs w:val="16"/>
                    </w:rPr>
                    <w:t>1</w:t>
                  </w:r>
                </w:p>
              </w:tc>
              <w:tc>
                <w:tcPr>
                  <w:tcW w:w="810" w:type="dxa"/>
                  <w:shd w:val="clear" w:color="auto" w:fill="auto"/>
                </w:tcPr>
                <w:p w14:paraId="62440A49" w14:textId="0100925A" w:rsidR="00766C69" w:rsidRPr="00D9079F" w:rsidRDefault="007E1D8C" w:rsidP="009F0D12">
                  <w:pPr>
                    <w:rPr>
                      <w:rFonts w:asciiTheme="majorHAnsi" w:hAnsiTheme="majorHAnsi"/>
                      <w:sz w:val="16"/>
                      <w:szCs w:val="16"/>
                    </w:rPr>
                  </w:pPr>
                  <w:r>
                    <w:rPr>
                      <w:rFonts w:asciiTheme="majorHAnsi" w:hAnsiTheme="majorHAnsi"/>
                      <w:sz w:val="16"/>
                      <w:szCs w:val="16"/>
                    </w:rPr>
                    <w:t>1</w:t>
                  </w:r>
                </w:p>
              </w:tc>
            </w:tr>
            <w:tr w:rsidR="00766C69" w:rsidRPr="00D9079F" w14:paraId="2137A167" w14:textId="77777777" w:rsidTr="003B46E6">
              <w:tc>
                <w:tcPr>
                  <w:tcW w:w="2587" w:type="dxa"/>
                  <w:shd w:val="clear" w:color="auto" w:fill="auto"/>
                </w:tcPr>
                <w:p w14:paraId="651DB827" w14:textId="18F286D9"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30" w:type="dxa"/>
                  <w:shd w:val="clear" w:color="auto" w:fill="auto"/>
                </w:tcPr>
                <w:p w14:paraId="402EAEDF" w14:textId="7083E0A6" w:rsidR="00766C69" w:rsidRPr="00D9079F" w:rsidRDefault="002B1DA1" w:rsidP="009F0D12">
                  <w:pPr>
                    <w:rPr>
                      <w:rFonts w:asciiTheme="majorHAnsi" w:hAnsiTheme="majorHAnsi"/>
                      <w:sz w:val="16"/>
                      <w:szCs w:val="16"/>
                    </w:rPr>
                  </w:pPr>
                  <w:r>
                    <w:rPr>
                      <w:rFonts w:asciiTheme="majorHAnsi" w:hAnsiTheme="majorHAnsi"/>
                      <w:sz w:val="16"/>
                      <w:szCs w:val="16"/>
                    </w:rPr>
                    <w:t>57.14</w:t>
                  </w:r>
                </w:p>
              </w:tc>
              <w:tc>
                <w:tcPr>
                  <w:tcW w:w="810" w:type="dxa"/>
                  <w:shd w:val="clear" w:color="auto" w:fill="auto"/>
                </w:tcPr>
                <w:p w14:paraId="59F780C5" w14:textId="0F51EDC7" w:rsidR="00766C69" w:rsidRPr="00D9079F" w:rsidRDefault="00391FD6" w:rsidP="009F0D12">
                  <w:pPr>
                    <w:rPr>
                      <w:rFonts w:asciiTheme="majorHAnsi" w:hAnsiTheme="majorHAnsi"/>
                      <w:sz w:val="16"/>
                      <w:szCs w:val="16"/>
                    </w:rPr>
                  </w:pPr>
                  <w:r>
                    <w:rPr>
                      <w:rFonts w:asciiTheme="majorHAnsi" w:hAnsiTheme="majorHAnsi"/>
                      <w:sz w:val="16"/>
                      <w:szCs w:val="16"/>
                    </w:rPr>
                    <w:t>53.79</w:t>
                  </w:r>
                </w:p>
              </w:tc>
            </w:tr>
            <w:tr w:rsidR="00766C69" w:rsidRPr="00D9079F" w14:paraId="7789B7FE" w14:textId="77777777" w:rsidTr="003B46E6">
              <w:tc>
                <w:tcPr>
                  <w:tcW w:w="2587" w:type="dxa"/>
                  <w:shd w:val="clear" w:color="auto" w:fill="auto"/>
                </w:tcPr>
                <w:p w14:paraId="6E37B1E0" w14:textId="110DD1E4"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ESG Disclosure: </w:t>
                  </w:r>
                </w:p>
              </w:tc>
              <w:tc>
                <w:tcPr>
                  <w:tcW w:w="630" w:type="dxa"/>
                  <w:shd w:val="clear" w:color="auto" w:fill="auto"/>
                </w:tcPr>
                <w:p w14:paraId="69AFC6D3" w14:textId="1DD51231" w:rsidR="00766C69" w:rsidRPr="00D9079F" w:rsidRDefault="00391FD6" w:rsidP="009F0D12">
                  <w:pPr>
                    <w:rPr>
                      <w:rFonts w:asciiTheme="majorHAnsi" w:hAnsiTheme="majorHAnsi"/>
                      <w:sz w:val="16"/>
                      <w:szCs w:val="16"/>
                    </w:rPr>
                  </w:pPr>
                  <w:r>
                    <w:rPr>
                      <w:rFonts w:asciiTheme="majorHAnsi" w:hAnsiTheme="majorHAnsi"/>
                      <w:sz w:val="16"/>
                      <w:szCs w:val="16"/>
                    </w:rPr>
                    <w:t>32.64</w:t>
                  </w:r>
                </w:p>
              </w:tc>
              <w:tc>
                <w:tcPr>
                  <w:tcW w:w="810" w:type="dxa"/>
                  <w:shd w:val="clear" w:color="auto" w:fill="auto"/>
                </w:tcPr>
                <w:p w14:paraId="176B6E96" w14:textId="3A19E6C1" w:rsidR="00766C69" w:rsidRPr="00D9079F" w:rsidRDefault="00391FD6" w:rsidP="009F0D12">
                  <w:pPr>
                    <w:rPr>
                      <w:rFonts w:asciiTheme="majorHAnsi" w:hAnsiTheme="majorHAnsi"/>
                      <w:sz w:val="16"/>
                      <w:szCs w:val="16"/>
                    </w:rPr>
                  </w:pPr>
                  <w:r>
                    <w:rPr>
                      <w:rFonts w:asciiTheme="majorHAnsi" w:hAnsiTheme="majorHAnsi"/>
                      <w:sz w:val="16"/>
                      <w:szCs w:val="16"/>
                    </w:rPr>
                    <w:t>18.13</w:t>
                  </w:r>
                </w:p>
              </w:tc>
            </w:tr>
            <w:tr w:rsidR="00766C69" w:rsidRPr="00D9079F" w14:paraId="7043D553" w14:textId="77777777" w:rsidTr="003B46E6">
              <w:tc>
                <w:tcPr>
                  <w:tcW w:w="2587" w:type="dxa"/>
                  <w:shd w:val="clear" w:color="auto" w:fill="auto"/>
                </w:tcPr>
                <w:p w14:paraId="796481F5" w14:textId="7E540616"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30" w:type="dxa"/>
                  <w:shd w:val="clear" w:color="auto" w:fill="auto"/>
                </w:tcPr>
                <w:p w14:paraId="1FDA896B" w14:textId="4AC79106" w:rsidR="00766C69" w:rsidRPr="00D9079F" w:rsidRDefault="00391FD6" w:rsidP="009F0D12">
                  <w:pPr>
                    <w:rPr>
                      <w:rFonts w:asciiTheme="majorHAnsi" w:hAnsiTheme="majorHAnsi"/>
                      <w:sz w:val="16"/>
                      <w:szCs w:val="16"/>
                    </w:rPr>
                  </w:pPr>
                  <w:r>
                    <w:rPr>
                      <w:rFonts w:asciiTheme="majorHAnsi" w:hAnsiTheme="majorHAnsi"/>
                      <w:sz w:val="16"/>
                      <w:szCs w:val="16"/>
                    </w:rPr>
                    <w:t>43.86</w:t>
                  </w:r>
                </w:p>
              </w:tc>
              <w:tc>
                <w:tcPr>
                  <w:tcW w:w="810" w:type="dxa"/>
                  <w:shd w:val="clear" w:color="auto" w:fill="auto"/>
                </w:tcPr>
                <w:p w14:paraId="1DD699A0" w14:textId="49988DF0" w:rsidR="00766C69" w:rsidRPr="00D9079F" w:rsidRDefault="00391FD6" w:rsidP="009F0D12">
                  <w:pPr>
                    <w:rPr>
                      <w:rFonts w:asciiTheme="majorHAnsi" w:hAnsiTheme="majorHAnsi"/>
                      <w:sz w:val="16"/>
                      <w:szCs w:val="16"/>
                    </w:rPr>
                  </w:pPr>
                  <w:r>
                    <w:rPr>
                      <w:rFonts w:asciiTheme="majorHAnsi" w:hAnsiTheme="majorHAnsi"/>
                      <w:sz w:val="16"/>
                      <w:szCs w:val="16"/>
                    </w:rPr>
                    <w:t>13.82</w:t>
                  </w:r>
                </w:p>
              </w:tc>
            </w:tr>
            <w:tr w:rsidR="00766C69" w:rsidRPr="00D9079F" w14:paraId="2AED786D" w14:textId="77777777" w:rsidTr="003B46E6">
              <w:tc>
                <w:tcPr>
                  <w:tcW w:w="2587" w:type="dxa"/>
                </w:tcPr>
                <w:p w14:paraId="1512DF1C" w14:textId="7331C975" w:rsidR="00766C69" w:rsidRPr="00D9079F" w:rsidRDefault="00766C69" w:rsidP="009F0D12">
                  <w:pPr>
                    <w:rPr>
                      <w:rFonts w:asciiTheme="majorHAnsi" w:hAnsiTheme="majorHAnsi"/>
                      <w:sz w:val="16"/>
                      <w:szCs w:val="16"/>
                    </w:rPr>
                  </w:pPr>
                  <w:r w:rsidRPr="00D9079F">
                    <w:rPr>
                      <w:rFonts w:asciiTheme="majorHAnsi" w:hAnsiTheme="majorHAnsi"/>
                      <w:sz w:val="16"/>
                      <w:szCs w:val="16"/>
                    </w:rPr>
                    <w:t>Environmental Disclosure Score</w:t>
                  </w:r>
                </w:p>
              </w:tc>
              <w:tc>
                <w:tcPr>
                  <w:tcW w:w="630" w:type="dxa"/>
                </w:tcPr>
                <w:p w14:paraId="1005E3B5" w14:textId="595BA16F" w:rsidR="00766C69" w:rsidRPr="00D9079F" w:rsidRDefault="00766C69" w:rsidP="009F0D12">
                  <w:pPr>
                    <w:rPr>
                      <w:rFonts w:asciiTheme="majorHAnsi" w:hAnsiTheme="majorHAnsi"/>
                      <w:sz w:val="16"/>
                      <w:szCs w:val="16"/>
                    </w:rPr>
                  </w:pPr>
                </w:p>
              </w:tc>
              <w:tc>
                <w:tcPr>
                  <w:tcW w:w="810" w:type="dxa"/>
                </w:tcPr>
                <w:p w14:paraId="4CFD4283" w14:textId="7C8A1BDB" w:rsidR="00766C69" w:rsidRPr="00D9079F" w:rsidRDefault="00766C69" w:rsidP="009F0D12">
                  <w:pPr>
                    <w:rPr>
                      <w:rFonts w:asciiTheme="majorHAnsi" w:hAnsiTheme="majorHAnsi"/>
                      <w:sz w:val="16"/>
                      <w:szCs w:val="16"/>
                    </w:rPr>
                  </w:pPr>
                </w:p>
              </w:tc>
            </w:tr>
            <w:tr w:rsidR="0009757B" w:rsidRPr="00D9079F" w14:paraId="274BA795" w14:textId="77777777" w:rsidTr="003B46E6">
              <w:tc>
                <w:tcPr>
                  <w:tcW w:w="2587" w:type="dxa"/>
                </w:tcPr>
                <w:p w14:paraId="7BBDD79C" w14:textId="2A871C62" w:rsidR="0009757B" w:rsidRPr="00D9079F" w:rsidRDefault="003B46E6" w:rsidP="009F0D12">
                  <w:pPr>
                    <w:rPr>
                      <w:rFonts w:asciiTheme="majorHAnsi" w:hAnsiTheme="majorHAnsi"/>
                      <w:sz w:val="16"/>
                      <w:szCs w:val="16"/>
                    </w:rPr>
                  </w:pPr>
                  <w:r>
                    <w:rPr>
                      <w:rFonts w:asciiTheme="majorHAnsi" w:hAnsiTheme="majorHAnsi"/>
                      <w:sz w:val="16"/>
                      <w:szCs w:val="16"/>
                    </w:rPr>
                    <w:t>Human Rights &amp; Equal Opportunity</w:t>
                  </w:r>
                </w:p>
              </w:tc>
              <w:tc>
                <w:tcPr>
                  <w:tcW w:w="630" w:type="dxa"/>
                </w:tcPr>
                <w:p w14:paraId="3D0582D8" w14:textId="1C58A303" w:rsidR="0009757B" w:rsidRDefault="003B46E6" w:rsidP="009F0D12">
                  <w:pPr>
                    <w:rPr>
                      <w:rFonts w:asciiTheme="majorHAnsi" w:hAnsiTheme="majorHAnsi"/>
                      <w:sz w:val="16"/>
                      <w:szCs w:val="16"/>
                    </w:rPr>
                  </w:pPr>
                  <w:r>
                    <w:rPr>
                      <w:rFonts w:asciiTheme="majorHAnsi" w:hAnsiTheme="majorHAnsi"/>
                      <w:sz w:val="16"/>
                      <w:szCs w:val="16"/>
                    </w:rPr>
                    <w:t>1</w:t>
                  </w:r>
                </w:p>
              </w:tc>
              <w:tc>
                <w:tcPr>
                  <w:tcW w:w="810" w:type="dxa"/>
                </w:tcPr>
                <w:p w14:paraId="17796606" w14:textId="0F72618A" w:rsidR="0009757B" w:rsidRDefault="003B46E6" w:rsidP="009F0D12">
                  <w:pPr>
                    <w:rPr>
                      <w:rFonts w:asciiTheme="majorHAnsi" w:hAnsiTheme="majorHAnsi"/>
                      <w:sz w:val="16"/>
                      <w:szCs w:val="16"/>
                    </w:rPr>
                  </w:pPr>
                  <w:r>
                    <w:rPr>
                      <w:rFonts w:asciiTheme="majorHAnsi" w:hAnsiTheme="majorHAnsi"/>
                      <w:sz w:val="16"/>
                      <w:szCs w:val="16"/>
                    </w:rPr>
                    <w:t>1</w:t>
                  </w:r>
                </w:p>
              </w:tc>
            </w:tr>
          </w:tbl>
          <w:p w14:paraId="62EFF545" w14:textId="24708570" w:rsidR="00766C69" w:rsidRPr="003B46E6" w:rsidRDefault="002B1DA1" w:rsidP="005124A3">
            <w:pPr>
              <w:ind w:hanging="18"/>
              <w:rPr>
                <w:rFonts w:asciiTheme="majorHAnsi" w:hAnsiTheme="majorHAnsi"/>
                <w:b/>
                <w:sz w:val="14"/>
                <w:szCs w:val="16"/>
              </w:rPr>
            </w:pPr>
            <w:r w:rsidRPr="003B46E6">
              <w:rPr>
                <w:rFonts w:asciiTheme="majorHAnsi" w:hAnsiTheme="majorHAnsi"/>
                <w:b/>
                <w:sz w:val="14"/>
                <w:szCs w:val="18"/>
              </w:rPr>
              <w:t xml:space="preserve">Prepared by </w:t>
            </w:r>
            <w:r w:rsidR="005124A3">
              <w:rPr>
                <w:rFonts w:asciiTheme="majorHAnsi" w:hAnsiTheme="majorHAnsi"/>
                <w:b/>
                <w:sz w:val="14"/>
                <w:szCs w:val="18"/>
              </w:rPr>
              <w:t>Edward Laclaustra</w:t>
            </w:r>
            <w:r w:rsidRPr="003B46E6">
              <w:rPr>
                <w:rFonts w:asciiTheme="majorHAnsi" w:hAnsiTheme="majorHAnsi"/>
                <w:b/>
                <w:sz w:val="14"/>
                <w:szCs w:val="18"/>
              </w:rPr>
              <w:t xml:space="preserve"> (Nov </w:t>
            </w:r>
            <w:r w:rsidR="005124A3">
              <w:rPr>
                <w:rFonts w:asciiTheme="majorHAnsi" w:hAnsiTheme="majorHAnsi"/>
                <w:b/>
                <w:sz w:val="14"/>
                <w:szCs w:val="18"/>
              </w:rPr>
              <w:t>12</w:t>
            </w:r>
            <w:r w:rsidRPr="003B46E6">
              <w:rPr>
                <w:rFonts w:asciiTheme="majorHAnsi" w:hAnsiTheme="majorHAnsi"/>
                <w:b/>
                <w:sz w:val="14"/>
                <w:szCs w:val="18"/>
              </w:rPr>
              <w:t>, 2015) using Bloomberg, Value Line, S&amp;P Net Advantage, Morning Star, Yahoo Finance</w:t>
            </w:r>
          </w:p>
        </w:tc>
      </w:tr>
    </w:tbl>
    <w:p w14:paraId="5C1E381E" w14:textId="6DBC318F" w:rsidR="00830F06" w:rsidRPr="00960020" w:rsidRDefault="00830F06" w:rsidP="002B1DA1">
      <w:pPr>
        <w:ind w:hanging="1440"/>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145A7"/>
    <w:rsid w:val="0001677A"/>
    <w:rsid w:val="00022508"/>
    <w:rsid w:val="00026F5E"/>
    <w:rsid w:val="00034A52"/>
    <w:rsid w:val="00056CE9"/>
    <w:rsid w:val="00066CC4"/>
    <w:rsid w:val="00071F4F"/>
    <w:rsid w:val="00096901"/>
    <w:rsid w:val="0009757B"/>
    <w:rsid w:val="000B7D53"/>
    <w:rsid w:val="000E0407"/>
    <w:rsid w:val="000E0C3A"/>
    <w:rsid w:val="00114C33"/>
    <w:rsid w:val="0013332F"/>
    <w:rsid w:val="001366A3"/>
    <w:rsid w:val="0014778C"/>
    <w:rsid w:val="00192B6F"/>
    <w:rsid w:val="00197A37"/>
    <w:rsid w:val="001A0951"/>
    <w:rsid w:val="001A1781"/>
    <w:rsid w:val="001A4CD7"/>
    <w:rsid w:val="001A54DB"/>
    <w:rsid w:val="001C561B"/>
    <w:rsid w:val="001C5C89"/>
    <w:rsid w:val="001F411C"/>
    <w:rsid w:val="001F4C8C"/>
    <w:rsid w:val="002231A8"/>
    <w:rsid w:val="00231ED5"/>
    <w:rsid w:val="00245DD4"/>
    <w:rsid w:val="002535D2"/>
    <w:rsid w:val="00254456"/>
    <w:rsid w:val="00274740"/>
    <w:rsid w:val="00281D41"/>
    <w:rsid w:val="00291662"/>
    <w:rsid w:val="0029559F"/>
    <w:rsid w:val="002B04FE"/>
    <w:rsid w:val="002B1DA1"/>
    <w:rsid w:val="002C75DD"/>
    <w:rsid w:val="002C7EC9"/>
    <w:rsid w:val="002D3CFC"/>
    <w:rsid w:val="003073EA"/>
    <w:rsid w:val="00316C3F"/>
    <w:rsid w:val="003173DA"/>
    <w:rsid w:val="0033512A"/>
    <w:rsid w:val="00371C05"/>
    <w:rsid w:val="00375DB5"/>
    <w:rsid w:val="00380902"/>
    <w:rsid w:val="00384388"/>
    <w:rsid w:val="00391FD6"/>
    <w:rsid w:val="00392411"/>
    <w:rsid w:val="00392719"/>
    <w:rsid w:val="003B3070"/>
    <w:rsid w:val="003B46E6"/>
    <w:rsid w:val="003D721D"/>
    <w:rsid w:val="003E5DB4"/>
    <w:rsid w:val="003E7CA1"/>
    <w:rsid w:val="003F37B9"/>
    <w:rsid w:val="00401063"/>
    <w:rsid w:val="0042162B"/>
    <w:rsid w:val="004436C7"/>
    <w:rsid w:val="00443ED9"/>
    <w:rsid w:val="00455F5A"/>
    <w:rsid w:val="00462682"/>
    <w:rsid w:val="004A62E8"/>
    <w:rsid w:val="004D3729"/>
    <w:rsid w:val="004E6DB4"/>
    <w:rsid w:val="004F0571"/>
    <w:rsid w:val="004F2EAA"/>
    <w:rsid w:val="0050052A"/>
    <w:rsid w:val="0051170E"/>
    <w:rsid w:val="005124A3"/>
    <w:rsid w:val="00547B13"/>
    <w:rsid w:val="0056019E"/>
    <w:rsid w:val="00575123"/>
    <w:rsid w:val="00585C89"/>
    <w:rsid w:val="005E114B"/>
    <w:rsid w:val="005E26B6"/>
    <w:rsid w:val="0060598F"/>
    <w:rsid w:val="00664D64"/>
    <w:rsid w:val="006704F5"/>
    <w:rsid w:val="00674795"/>
    <w:rsid w:val="00690115"/>
    <w:rsid w:val="006953F0"/>
    <w:rsid w:val="006973A6"/>
    <w:rsid w:val="006A37B5"/>
    <w:rsid w:val="006A61A4"/>
    <w:rsid w:val="006C08FC"/>
    <w:rsid w:val="006C1408"/>
    <w:rsid w:val="006E2939"/>
    <w:rsid w:val="006E44B8"/>
    <w:rsid w:val="006E5EA1"/>
    <w:rsid w:val="00706035"/>
    <w:rsid w:val="00734E72"/>
    <w:rsid w:val="00735460"/>
    <w:rsid w:val="00743904"/>
    <w:rsid w:val="0076327C"/>
    <w:rsid w:val="00766C69"/>
    <w:rsid w:val="00767EA9"/>
    <w:rsid w:val="00770F8B"/>
    <w:rsid w:val="00796063"/>
    <w:rsid w:val="007B1B21"/>
    <w:rsid w:val="007B2A6D"/>
    <w:rsid w:val="007B6409"/>
    <w:rsid w:val="007E1D8C"/>
    <w:rsid w:val="007F4659"/>
    <w:rsid w:val="00802992"/>
    <w:rsid w:val="00803484"/>
    <w:rsid w:val="00803BBE"/>
    <w:rsid w:val="00804E00"/>
    <w:rsid w:val="00815FF3"/>
    <w:rsid w:val="00830F06"/>
    <w:rsid w:val="008318A9"/>
    <w:rsid w:val="00832142"/>
    <w:rsid w:val="00835134"/>
    <w:rsid w:val="00846714"/>
    <w:rsid w:val="008556D4"/>
    <w:rsid w:val="00857BC1"/>
    <w:rsid w:val="00874223"/>
    <w:rsid w:val="00875430"/>
    <w:rsid w:val="008A34E3"/>
    <w:rsid w:val="008B72AE"/>
    <w:rsid w:val="008D49EF"/>
    <w:rsid w:val="00900789"/>
    <w:rsid w:val="009007A6"/>
    <w:rsid w:val="00911AF8"/>
    <w:rsid w:val="00915605"/>
    <w:rsid w:val="00920D13"/>
    <w:rsid w:val="00923CAB"/>
    <w:rsid w:val="00934A2F"/>
    <w:rsid w:val="00951D7A"/>
    <w:rsid w:val="00960020"/>
    <w:rsid w:val="009B1413"/>
    <w:rsid w:val="009B48B9"/>
    <w:rsid w:val="009C2716"/>
    <w:rsid w:val="009C57C6"/>
    <w:rsid w:val="009D5A45"/>
    <w:rsid w:val="009D7A72"/>
    <w:rsid w:val="009F0D12"/>
    <w:rsid w:val="009F2E51"/>
    <w:rsid w:val="00A160C7"/>
    <w:rsid w:val="00A21885"/>
    <w:rsid w:val="00A30926"/>
    <w:rsid w:val="00A5442D"/>
    <w:rsid w:val="00A56542"/>
    <w:rsid w:val="00A603A6"/>
    <w:rsid w:val="00A63E9D"/>
    <w:rsid w:val="00A8460D"/>
    <w:rsid w:val="00A85575"/>
    <w:rsid w:val="00AA0C48"/>
    <w:rsid w:val="00AA5ED5"/>
    <w:rsid w:val="00AB003F"/>
    <w:rsid w:val="00AC6A2C"/>
    <w:rsid w:val="00B22327"/>
    <w:rsid w:val="00B502EC"/>
    <w:rsid w:val="00B7642F"/>
    <w:rsid w:val="00B94DBA"/>
    <w:rsid w:val="00BA6F89"/>
    <w:rsid w:val="00BB0C4E"/>
    <w:rsid w:val="00BB3908"/>
    <w:rsid w:val="00BB543E"/>
    <w:rsid w:val="00BB61F8"/>
    <w:rsid w:val="00BC5E50"/>
    <w:rsid w:val="00BF2DE5"/>
    <w:rsid w:val="00C15E83"/>
    <w:rsid w:val="00C161B3"/>
    <w:rsid w:val="00C21327"/>
    <w:rsid w:val="00C2195E"/>
    <w:rsid w:val="00C352F3"/>
    <w:rsid w:val="00C37AB2"/>
    <w:rsid w:val="00C441B3"/>
    <w:rsid w:val="00C46CA9"/>
    <w:rsid w:val="00C8095F"/>
    <w:rsid w:val="00C8649B"/>
    <w:rsid w:val="00C9117C"/>
    <w:rsid w:val="00CC03B8"/>
    <w:rsid w:val="00CC5418"/>
    <w:rsid w:val="00CE09D2"/>
    <w:rsid w:val="00CE4435"/>
    <w:rsid w:val="00CF27D4"/>
    <w:rsid w:val="00CF2F28"/>
    <w:rsid w:val="00D16B81"/>
    <w:rsid w:val="00D363A8"/>
    <w:rsid w:val="00D37FE3"/>
    <w:rsid w:val="00D50F9B"/>
    <w:rsid w:val="00D570FE"/>
    <w:rsid w:val="00D636EF"/>
    <w:rsid w:val="00D9079F"/>
    <w:rsid w:val="00D92C96"/>
    <w:rsid w:val="00DA56AC"/>
    <w:rsid w:val="00DB5A10"/>
    <w:rsid w:val="00E14AC6"/>
    <w:rsid w:val="00E20C55"/>
    <w:rsid w:val="00E349B1"/>
    <w:rsid w:val="00E3542E"/>
    <w:rsid w:val="00E42CC2"/>
    <w:rsid w:val="00E45245"/>
    <w:rsid w:val="00E51FAC"/>
    <w:rsid w:val="00E5675C"/>
    <w:rsid w:val="00E60A49"/>
    <w:rsid w:val="00E8555E"/>
    <w:rsid w:val="00E90970"/>
    <w:rsid w:val="00E9444F"/>
    <w:rsid w:val="00E96739"/>
    <w:rsid w:val="00EA31B0"/>
    <w:rsid w:val="00EA5213"/>
    <w:rsid w:val="00EC2755"/>
    <w:rsid w:val="00EC75B4"/>
    <w:rsid w:val="00ED6EC7"/>
    <w:rsid w:val="00F008CC"/>
    <w:rsid w:val="00F04E1E"/>
    <w:rsid w:val="00F130CB"/>
    <w:rsid w:val="00F224A9"/>
    <w:rsid w:val="00F56067"/>
    <w:rsid w:val="00F65A7F"/>
    <w:rsid w:val="00F66F57"/>
    <w:rsid w:val="00F77D0C"/>
    <w:rsid w:val="00F856C9"/>
    <w:rsid w:val="00F92EDE"/>
    <w:rsid w:val="00F96F5E"/>
    <w:rsid w:val="00FB4741"/>
    <w:rsid w:val="00FC20D0"/>
    <w:rsid w:val="00FC33EF"/>
    <w:rsid w:val="00FC4084"/>
    <w:rsid w:val="00FD0265"/>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DBB727EF-F680-43A8-9C38-8730E33B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character" w:styleId="Hyperlink">
    <w:name w:val="Hyperlink"/>
    <w:basedOn w:val="DefaultParagraphFont"/>
    <w:uiPriority w:val="99"/>
    <w:unhideWhenUsed/>
    <w:rsid w:val="003F3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7565">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1E19-5DF1-4CC3-BD0D-328F46B2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Edward Laclaustra</cp:lastModifiedBy>
  <cp:revision>3</cp:revision>
  <cp:lastPrinted>2015-11-11T17:57:00Z</cp:lastPrinted>
  <dcterms:created xsi:type="dcterms:W3CDTF">2015-11-17T17:22:00Z</dcterms:created>
  <dcterms:modified xsi:type="dcterms:W3CDTF">2015-11-17T21:00:00Z</dcterms:modified>
</cp:coreProperties>
</file>