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B4" w:rsidRDefault="00424089" w:rsidP="004874A0">
      <w:pPr>
        <w:pStyle w:val="NoSpacing"/>
        <w:jc w:val="both"/>
        <w:rPr>
          <w:b/>
          <w:color w:val="1F497D" w:themeColor="text2"/>
        </w:rPr>
      </w:pPr>
      <w:bookmarkStart w:id="0" w:name="_GoBack"/>
      <w:bookmarkEnd w:id="0"/>
      <w:r>
        <w:rPr>
          <w:rFonts w:ascii="Arial Black" w:hAnsi="Arial Black"/>
          <w:b/>
          <w:noProof/>
          <w:color w:val="0F243E" w:themeColor="text2" w:themeShade="80"/>
        </w:rPr>
        <mc:AlternateContent>
          <mc:Choice Requires="wps">
            <w:drawing>
              <wp:anchor distT="0" distB="0" distL="114300" distR="114300" simplePos="0" relativeHeight="251659264" behindDoc="0" locked="0" layoutInCell="0" allowOverlap="1">
                <wp:simplePos x="0" y="0"/>
                <wp:positionH relativeFrom="margin">
                  <wp:posOffset>4273550</wp:posOffset>
                </wp:positionH>
                <wp:positionV relativeFrom="page">
                  <wp:posOffset>838200</wp:posOffset>
                </wp:positionV>
                <wp:extent cx="2274570" cy="3967480"/>
                <wp:effectExtent l="19050" t="19050" r="11430" b="13970"/>
                <wp:wrapSquare wrapText="bothSides"/>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967480"/>
                        </a:xfrm>
                        <a:prstGeom prst="roundRect">
                          <a:avLst>
                            <a:gd name="adj" fmla="val 11466"/>
                          </a:avLst>
                        </a:prstGeom>
                        <a:solidFill>
                          <a:srgbClr val="F9FEB4"/>
                        </a:solidFill>
                        <a:ln w="28575">
                          <a:solidFill>
                            <a:schemeClr val="accent1">
                              <a:lumMod val="100000"/>
                              <a:lumOff val="0"/>
                            </a:schemeClr>
                          </a:solidFill>
                          <a:round/>
                          <a:headEnd/>
                          <a:tailEnd/>
                        </a:ln>
                      </wps:spPr>
                      <wps:txbx>
                        <w:txbxContent>
                          <w:p w:rsidR="00710E3B" w:rsidRPr="00AC489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AC4899">
                              <w:rPr>
                                <w:rFonts w:ascii="Times New Roman" w:hAnsi="Times New Roman" w:cs="Times New Roman"/>
                                <w:b/>
                                <w:color w:val="0F243E" w:themeColor="text2" w:themeShade="80"/>
                                <w:sz w:val="28"/>
                                <w:szCs w:val="28"/>
                                <w:u w:val="single"/>
                              </w:rPr>
                              <w:t>Recommendation:</w:t>
                            </w:r>
                            <w:r w:rsidRPr="00AC4899">
                              <w:rPr>
                                <w:rFonts w:ascii="Times New Roman" w:hAnsi="Times New Roman" w:cs="Times New Roman"/>
                                <w:b/>
                                <w:color w:val="0F243E" w:themeColor="text2" w:themeShade="80"/>
                                <w:sz w:val="24"/>
                                <w:szCs w:val="24"/>
                                <w:u w:val="single"/>
                              </w:rPr>
                              <w:t xml:space="preserve">  BUY</w:t>
                            </w:r>
                          </w:p>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FA7C59">
                              <w:rPr>
                                <w:rFonts w:ascii="Times New Roman" w:hAnsi="Times New Roman" w:cs="Times New Roman"/>
                                <w:b/>
                                <w:color w:val="0F243E" w:themeColor="text2" w:themeShade="80"/>
                                <w:sz w:val="24"/>
                                <w:szCs w:val="24"/>
                                <w:u w:val="single"/>
                              </w:rPr>
                              <w:t xml:space="preserve">Total </w:t>
                            </w:r>
                            <w:r>
                              <w:rPr>
                                <w:rFonts w:ascii="Times New Roman" w:hAnsi="Times New Roman" w:cs="Times New Roman"/>
                                <w:b/>
                                <w:color w:val="0F243E" w:themeColor="text2" w:themeShade="80"/>
                                <w:sz w:val="24"/>
                                <w:szCs w:val="24"/>
                                <w:u w:val="single"/>
                              </w:rPr>
                              <w:t xml:space="preserve">Annual </w:t>
                            </w:r>
                            <w:r w:rsidRPr="00FA7C59">
                              <w:rPr>
                                <w:rFonts w:ascii="Times New Roman" w:hAnsi="Times New Roman" w:cs="Times New Roman"/>
                                <w:b/>
                                <w:color w:val="0F243E" w:themeColor="text2" w:themeShade="80"/>
                                <w:sz w:val="24"/>
                                <w:szCs w:val="24"/>
                                <w:u w:val="single"/>
                              </w:rPr>
                              <w:t>Return</w:t>
                            </w:r>
                            <w:r>
                              <w:rPr>
                                <w:rFonts w:ascii="Times New Roman" w:hAnsi="Times New Roman" w:cs="Times New Roman"/>
                                <w:b/>
                                <w:color w:val="0F243E" w:themeColor="text2" w:themeShade="80"/>
                                <w:sz w:val="24"/>
                                <w:szCs w:val="24"/>
                                <w:u w:val="single"/>
                              </w:rPr>
                              <w:t xml:space="preserve"> Est.</w:t>
                            </w:r>
                            <w:r w:rsidRPr="00FA7C59">
                              <w:rPr>
                                <w:rFonts w:ascii="Times New Roman" w:hAnsi="Times New Roman" w:cs="Times New Roman"/>
                                <w:b/>
                                <w:color w:val="0F243E" w:themeColor="text2" w:themeShade="80"/>
                                <w:sz w:val="24"/>
                                <w:szCs w:val="24"/>
                                <w:u w:val="single"/>
                              </w:rPr>
                              <w:t>:</w:t>
                            </w:r>
                          </w:p>
                          <w:tbl>
                            <w:tblPr>
                              <w:tblStyle w:val="LightGrid-Accent11"/>
                              <w:tblW w:w="0" w:type="auto"/>
                              <w:tblLook w:val="04A0" w:firstRow="1" w:lastRow="0" w:firstColumn="1" w:lastColumn="0" w:noHBand="0" w:noVBand="1"/>
                            </w:tblPr>
                            <w:tblGrid>
                              <w:gridCol w:w="1532"/>
                              <w:gridCol w:w="1547"/>
                            </w:tblGrid>
                            <w:tr w:rsidR="00710E3B" w:rsidTr="00AC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 xml:space="preserve">3 yr FV </w:t>
                                  </w:r>
                                </w:p>
                              </w:tc>
                              <w:tc>
                                <w:tcPr>
                                  <w:tcW w:w="1581" w:type="dxa"/>
                                </w:tcPr>
                                <w:p w:rsidR="00710E3B" w:rsidRPr="00AC4899" w:rsidRDefault="009E721E" w:rsidP="005E4CD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Pr>
                                      <w:rFonts w:ascii="Times New Roman" w:hAnsi="Times New Roman" w:cs="Times New Roman"/>
                                      <w:color w:val="0F243E" w:themeColor="text2" w:themeShade="80"/>
                                    </w:rPr>
                                    <w:t>10.3</w:t>
                                  </w:r>
                                  <w:r w:rsidR="00710E3B" w:rsidRPr="00AC4899">
                                    <w:rPr>
                                      <w:rFonts w:ascii="Times New Roman" w:hAnsi="Times New Roman" w:cs="Times New Roman"/>
                                      <w:color w:val="0F243E" w:themeColor="text2" w:themeShade="80"/>
                                    </w:rPr>
                                    <w:t>%</w:t>
                                  </w:r>
                                </w:p>
                              </w:tc>
                            </w:tr>
                            <w:tr w:rsidR="00710E3B" w:rsidTr="00AC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 yr FV</w:t>
                                  </w:r>
                                </w:p>
                              </w:tc>
                              <w:tc>
                                <w:tcPr>
                                  <w:tcW w:w="1581" w:type="dxa"/>
                                </w:tcPr>
                                <w:p w:rsidR="00710E3B" w:rsidRPr="00AC4899" w:rsidRDefault="009E721E"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7.8</w:t>
                                  </w:r>
                                  <w:r w:rsidR="00710E3B" w:rsidRPr="00AC4899">
                                    <w:rPr>
                                      <w:rFonts w:ascii="Times New Roman" w:hAnsi="Times New Roman" w:cs="Times New Roman"/>
                                      <w:b/>
                                      <w:color w:val="0F243E" w:themeColor="text2" w:themeShade="80"/>
                                    </w:rPr>
                                    <w:t>%</w:t>
                                  </w:r>
                                </w:p>
                              </w:tc>
                            </w:tr>
                          </w:tbl>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Pr>
                                <w:rFonts w:ascii="Times New Roman" w:hAnsi="Times New Roman" w:cs="Times New Roman"/>
                                <w:b/>
                                <w:color w:val="0F243E" w:themeColor="text2" w:themeShade="80"/>
                                <w:sz w:val="24"/>
                                <w:szCs w:val="24"/>
                                <w:u w:val="single"/>
                              </w:rPr>
                              <w:t>Financial Snapshot:</w:t>
                            </w:r>
                          </w:p>
                          <w:tbl>
                            <w:tblPr>
                              <w:tblStyle w:val="LightGrid-Accent11"/>
                              <w:tblW w:w="0" w:type="auto"/>
                              <w:tblLook w:val="0480" w:firstRow="0" w:lastRow="0" w:firstColumn="1" w:lastColumn="0" w:noHBand="0" w:noVBand="1"/>
                            </w:tblPr>
                            <w:tblGrid>
                              <w:gridCol w:w="1535"/>
                              <w:gridCol w:w="1544"/>
                            </w:tblGrid>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Price</w:t>
                                  </w:r>
                                </w:p>
                              </w:tc>
                              <w:tc>
                                <w:tcPr>
                                  <w:tcW w:w="1553" w:type="dxa"/>
                                </w:tcPr>
                                <w:p w:rsidR="00710E3B" w:rsidRPr="00AC4899" w:rsidRDefault="00710E3B" w:rsidP="009867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42.03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DCF Value</w:t>
                                  </w:r>
                                </w:p>
                              </w:tc>
                              <w:tc>
                                <w:tcPr>
                                  <w:tcW w:w="1553" w:type="dxa"/>
                                </w:tcPr>
                                <w:p w:rsidR="00710E3B" w:rsidRPr="00AC4899" w:rsidRDefault="00710E3B"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50.27</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Buy Target</w:t>
                                  </w:r>
                                </w:p>
                              </w:tc>
                              <w:tc>
                                <w:tcPr>
                                  <w:tcW w:w="1553" w:type="dxa"/>
                                </w:tcPr>
                                <w:p w:rsidR="00710E3B" w:rsidRPr="00AC4899" w:rsidRDefault="0004114A" w:rsidP="005E4CD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42.73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Sell Target</w:t>
                                  </w:r>
                                </w:p>
                              </w:tc>
                              <w:tc>
                                <w:tcPr>
                                  <w:tcW w:w="1553" w:type="dxa"/>
                                </w:tcPr>
                                <w:p w:rsidR="00710E3B" w:rsidRPr="00AC4899" w:rsidRDefault="0004114A"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57.80</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w:t>
                                  </w:r>
                                </w:p>
                              </w:tc>
                              <w:tc>
                                <w:tcPr>
                                  <w:tcW w:w="1553" w:type="dxa"/>
                                </w:tcPr>
                                <w:p w:rsidR="00710E3B" w:rsidRPr="00AC4899" w:rsidRDefault="009E721E"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16.8</w:t>
                                  </w:r>
                                  <w:r w:rsidR="00905C1F">
                                    <w:rPr>
                                      <w:rFonts w:ascii="Times New Roman" w:hAnsi="Times New Roman" w:cs="Times New Roman"/>
                                      <w:b/>
                                      <w:color w:val="0F243E" w:themeColor="text2" w:themeShade="80"/>
                                    </w:rPr>
                                    <w:t>x</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Forward P/E</w:t>
                                  </w:r>
                                </w:p>
                              </w:tc>
                              <w:tc>
                                <w:tcPr>
                                  <w:tcW w:w="1553" w:type="dxa"/>
                                </w:tcPr>
                                <w:p w:rsidR="00710E3B" w:rsidRPr="00AC4899" w:rsidRDefault="009E721E"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16.4</w:t>
                                  </w:r>
                                  <w:r w:rsidR="00710E3B" w:rsidRPr="00AC4899">
                                    <w:rPr>
                                      <w:rFonts w:ascii="Times New Roman" w:hAnsi="Times New Roman" w:cs="Times New Roman"/>
                                      <w:b/>
                                      <w:color w:val="0F243E" w:themeColor="text2" w:themeShade="80"/>
                                    </w:rPr>
                                    <w:t>x</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Div Yield</w:t>
                                  </w:r>
                                </w:p>
                              </w:tc>
                              <w:tc>
                                <w:tcPr>
                                  <w:tcW w:w="1553" w:type="dxa"/>
                                </w:tcPr>
                                <w:p w:rsidR="00710E3B" w:rsidRPr="00AC4899" w:rsidRDefault="009E721E"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4.33</w:t>
                                  </w:r>
                                  <w:r w:rsidR="00710E3B" w:rsidRPr="00AC4899">
                                    <w:rPr>
                                      <w:rFonts w:ascii="Times New Roman" w:hAnsi="Times New Roman" w:cs="Times New Roman"/>
                                      <w:b/>
                                      <w:color w:val="0F243E" w:themeColor="text2" w:themeShade="80"/>
                                    </w:rPr>
                                    <w:t>%</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Market Cap</w:t>
                                  </w:r>
                                </w:p>
                              </w:tc>
                              <w:tc>
                                <w:tcPr>
                                  <w:tcW w:w="1553" w:type="dxa"/>
                                </w:tcPr>
                                <w:p w:rsidR="00710E3B" w:rsidRPr="00AC4899" w:rsidRDefault="0004114A" w:rsidP="00905C1F">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36.6</w:t>
                                  </w:r>
                                  <w:r w:rsidR="00710E3B" w:rsidRPr="00AC4899">
                                    <w:rPr>
                                      <w:rFonts w:ascii="Times New Roman" w:hAnsi="Times New Roman" w:cs="Times New Roman"/>
                                      <w:b/>
                                      <w:color w:val="0F243E" w:themeColor="text2" w:themeShade="80"/>
                                    </w:rPr>
                                    <w:t>Billion</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52 Wk Range</w:t>
                                  </w:r>
                                </w:p>
                              </w:tc>
                              <w:tc>
                                <w:tcPr>
                                  <w:tcW w:w="1553" w:type="dxa"/>
                                </w:tcPr>
                                <w:p w:rsidR="00710E3B" w:rsidRPr="00AC4899" w:rsidRDefault="009E721E" w:rsidP="009E721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$48.59</w:t>
                                  </w:r>
                                  <w:r w:rsidR="00710E3B">
                                    <w:rPr>
                                      <w:rFonts w:ascii="Times New Roman" w:hAnsi="Times New Roman" w:cs="Times New Roman"/>
                                      <w:b/>
                                      <w:color w:val="0F243E" w:themeColor="text2" w:themeShade="80"/>
                                    </w:rPr>
                                    <w:t xml:space="preserve"> - $</w:t>
                                  </w:r>
                                  <w:r>
                                    <w:rPr>
                                      <w:rFonts w:ascii="Times New Roman" w:hAnsi="Times New Roman" w:cs="Times New Roman"/>
                                      <w:b/>
                                      <w:color w:val="0F243E" w:themeColor="text2" w:themeShade="80"/>
                                    </w:rPr>
                                    <w:t>41</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EPS Growth</w:t>
                                  </w:r>
                                </w:p>
                              </w:tc>
                              <w:tc>
                                <w:tcPr>
                                  <w:tcW w:w="1553" w:type="dxa"/>
                                </w:tcPr>
                                <w:p w:rsidR="00710E3B" w:rsidRPr="00AC4899" w:rsidRDefault="009E721E"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w:t>
                                  </w:r>
                                  <w:r w:rsidR="005E4CD1">
                                    <w:rPr>
                                      <w:rFonts w:ascii="Times New Roman" w:hAnsi="Times New Roman" w:cs="Times New Roman"/>
                                      <w:b/>
                                      <w:color w:val="0F243E" w:themeColor="text2" w:themeShade="80"/>
                                    </w:rPr>
                                    <w:t>.1</w:t>
                                  </w:r>
                                  <w:r w:rsidR="00710E3B" w:rsidRPr="00AC4899">
                                    <w:rPr>
                                      <w:rFonts w:ascii="Times New Roman" w:hAnsi="Times New Roman" w:cs="Times New Roman"/>
                                      <w:b/>
                                      <w:color w:val="0F243E" w:themeColor="text2" w:themeShade="80"/>
                                    </w:rPr>
                                    <w:t>%</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PEG</w:t>
                                  </w:r>
                                </w:p>
                              </w:tc>
                              <w:tc>
                                <w:tcPr>
                                  <w:tcW w:w="1553" w:type="dxa"/>
                                </w:tcPr>
                                <w:p w:rsidR="00710E3B" w:rsidRPr="00AC4899" w:rsidRDefault="00877ED8"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2.90</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Credit</w:t>
                                  </w:r>
                                </w:p>
                              </w:tc>
                              <w:tc>
                                <w:tcPr>
                                  <w:tcW w:w="1553" w:type="dxa"/>
                                </w:tcPr>
                                <w:p w:rsidR="00710E3B" w:rsidRPr="00AC4899" w:rsidRDefault="00710E3B"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A</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Current Ratio</w:t>
                                  </w:r>
                                </w:p>
                              </w:tc>
                              <w:tc>
                                <w:tcPr>
                                  <w:tcW w:w="1553" w:type="dxa"/>
                                </w:tcPr>
                                <w:p w:rsidR="00710E3B" w:rsidRPr="00AC4899" w:rsidRDefault="00336A7C"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1.02</w:t>
                                  </w:r>
                                  <w:r w:rsidR="00710E3B" w:rsidRPr="00AC4899">
                                    <w:rPr>
                                      <w:rFonts w:ascii="Times New Roman" w:hAnsi="Times New Roman" w:cs="Times New Roman"/>
                                      <w:b/>
                                      <w:color w:val="0F243E" w:themeColor="text2" w:themeShade="80"/>
                                    </w:rPr>
                                    <w:t>x</w:t>
                                  </w:r>
                                </w:p>
                              </w:tc>
                            </w:tr>
                          </w:tbl>
                          <w:p w:rsidR="00710E3B" w:rsidRDefault="00710E3B" w:rsidP="00FA7C59">
                            <w:pPr>
                              <w:pStyle w:val="NoSpacing"/>
                              <w:rPr>
                                <w:rFonts w:ascii="Times New Roman" w:hAnsi="Times New Roman" w:cs="Times New Roman"/>
                                <w:b/>
                                <w:color w:val="0F243E" w:themeColor="text2" w:themeShade="80"/>
                                <w:sz w:val="24"/>
                                <w:szCs w:val="24"/>
                              </w:rPr>
                            </w:pPr>
                          </w:p>
                          <w:p w:rsidR="00710E3B" w:rsidRDefault="00710E3B" w:rsidP="00FA7C59">
                            <w:pPr>
                              <w:pStyle w:val="NoSpacing"/>
                              <w:spacing w:line="360" w:lineRule="auto"/>
                              <w:rPr>
                                <w:rFonts w:ascii="Times New Roman" w:hAnsi="Times New Roman" w:cs="Times New Roman"/>
                                <w:b/>
                                <w:color w:val="0F243E" w:themeColor="text2" w:themeShade="80"/>
                                <w:sz w:val="24"/>
                                <w:szCs w:val="24"/>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36.5pt;margin-top:66pt;width:179.1pt;height:31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" o:allowincell="f" fillcolor="#f9feb4" strokecolor="#4f81bd [3204]" strokeweight="2.25pt">
                <v:textbox inset="10.8pt,10.8pt,10.8pt,10.8pt">
                  <w:txbxContent>
                    <w:p w:rsidR="00710E3B" w:rsidRPr="00AC489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AC4899">
                        <w:rPr>
                          <w:rFonts w:ascii="Times New Roman" w:hAnsi="Times New Roman" w:cs="Times New Roman"/>
                          <w:b/>
                          <w:color w:val="0F243E" w:themeColor="text2" w:themeShade="80"/>
                          <w:sz w:val="28"/>
                          <w:szCs w:val="28"/>
                          <w:u w:val="single"/>
                        </w:rPr>
                        <w:t>Recommendation:</w:t>
                      </w:r>
                      <w:r w:rsidRPr="00AC4899">
                        <w:rPr>
                          <w:rFonts w:ascii="Times New Roman" w:hAnsi="Times New Roman" w:cs="Times New Roman"/>
                          <w:b/>
                          <w:color w:val="0F243E" w:themeColor="text2" w:themeShade="80"/>
                          <w:sz w:val="24"/>
                          <w:szCs w:val="24"/>
                          <w:u w:val="single"/>
                        </w:rPr>
                        <w:t xml:space="preserve">  BUY</w:t>
                      </w:r>
                    </w:p>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sidRPr="00FA7C59">
                        <w:rPr>
                          <w:rFonts w:ascii="Times New Roman" w:hAnsi="Times New Roman" w:cs="Times New Roman"/>
                          <w:b/>
                          <w:color w:val="0F243E" w:themeColor="text2" w:themeShade="80"/>
                          <w:sz w:val="24"/>
                          <w:szCs w:val="24"/>
                          <w:u w:val="single"/>
                        </w:rPr>
                        <w:t xml:space="preserve">Total </w:t>
                      </w:r>
                      <w:r>
                        <w:rPr>
                          <w:rFonts w:ascii="Times New Roman" w:hAnsi="Times New Roman" w:cs="Times New Roman"/>
                          <w:b/>
                          <w:color w:val="0F243E" w:themeColor="text2" w:themeShade="80"/>
                          <w:sz w:val="24"/>
                          <w:szCs w:val="24"/>
                          <w:u w:val="single"/>
                        </w:rPr>
                        <w:t xml:space="preserve">Annual </w:t>
                      </w:r>
                      <w:r w:rsidRPr="00FA7C59">
                        <w:rPr>
                          <w:rFonts w:ascii="Times New Roman" w:hAnsi="Times New Roman" w:cs="Times New Roman"/>
                          <w:b/>
                          <w:color w:val="0F243E" w:themeColor="text2" w:themeShade="80"/>
                          <w:sz w:val="24"/>
                          <w:szCs w:val="24"/>
                          <w:u w:val="single"/>
                        </w:rPr>
                        <w:t>Return</w:t>
                      </w:r>
                      <w:r>
                        <w:rPr>
                          <w:rFonts w:ascii="Times New Roman" w:hAnsi="Times New Roman" w:cs="Times New Roman"/>
                          <w:b/>
                          <w:color w:val="0F243E" w:themeColor="text2" w:themeShade="80"/>
                          <w:sz w:val="24"/>
                          <w:szCs w:val="24"/>
                          <w:u w:val="single"/>
                        </w:rPr>
                        <w:t xml:space="preserve"> Est.</w:t>
                      </w:r>
                      <w:r w:rsidRPr="00FA7C59">
                        <w:rPr>
                          <w:rFonts w:ascii="Times New Roman" w:hAnsi="Times New Roman" w:cs="Times New Roman"/>
                          <w:b/>
                          <w:color w:val="0F243E" w:themeColor="text2" w:themeShade="80"/>
                          <w:sz w:val="24"/>
                          <w:szCs w:val="24"/>
                          <w:u w:val="single"/>
                        </w:rPr>
                        <w:t>:</w:t>
                      </w:r>
                    </w:p>
                    <w:tbl>
                      <w:tblPr>
                        <w:tblStyle w:val="LightGrid-Accent11"/>
                        <w:tblW w:w="0" w:type="auto"/>
                        <w:tblLook w:val="04A0" w:firstRow="1" w:lastRow="0" w:firstColumn="1" w:lastColumn="0" w:noHBand="0" w:noVBand="1"/>
                      </w:tblPr>
                      <w:tblGrid>
                        <w:gridCol w:w="1532"/>
                        <w:gridCol w:w="1547"/>
                      </w:tblGrid>
                      <w:tr w:rsidR="00710E3B" w:rsidTr="00AC4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 xml:space="preserve">3 yr FV </w:t>
                            </w:r>
                          </w:p>
                        </w:tc>
                        <w:tc>
                          <w:tcPr>
                            <w:tcW w:w="1581" w:type="dxa"/>
                          </w:tcPr>
                          <w:p w:rsidR="00710E3B" w:rsidRPr="00AC4899" w:rsidRDefault="009E721E" w:rsidP="005E4CD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F243E" w:themeColor="text2" w:themeShade="80"/>
                              </w:rPr>
                            </w:pPr>
                            <w:r>
                              <w:rPr>
                                <w:rFonts w:ascii="Times New Roman" w:hAnsi="Times New Roman" w:cs="Times New Roman"/>
                                <w:color w:val="0F243E" w:themeColor="text2" w:themeShade="80"/>
                              </w:rPr>
                              <w:t>10.3</w:t>
                            </w:r>
                            <w:r w:rsidR="00710E3B" w:rsidRPr="00AC4899">
                              <w:rPr>
                                <w:rFonts w:ascii="Times New Roman" w:hAnsi="Times New Roman" w:cs="Times New Roman"/>
                                <w:color w:val="0F243E" w:themeColor="text2" w:themeShade="80"/>
                              </w:rPr>
                              <w:t>%</w:t>
                            </w:r>
                          </w:p>
                        </w:tc>
                      </w:tr>
                      <w:tr w:rsidR="00710E3B" w:rsidTr="00AC4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 yr FV</w:t>
                            </w:r>
                          </w:p>
                        </w:tc>
                        <w:tc>
                          <w:tcPr>
                            <w:tcW w:w="1581" w:type="dxa"/>
                          </w:tcPr>
                          <w:p w:rsidR="00710E3B" w:rsidRPr="00AC4899" w:rsidRDefault="009E721E"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7.8</w:t>
                            </w:r>
                            <w:r w:rsidR="00710E3B" w:rsidRPr="00AC4899">
                              <w:rPr>
                                <w:rFonts w:ascii="Times New Roman" w:hAnsi="Times New Roman" w:cs="Times New Roman"/>
                                <w:b/>
                                <w:color w:val="0F243E" w:themeColor="text2" w:themeShade="80"/>
                              </w:rPr>
                              <w:t>%</w:t>
                            </w:r>
                          </w:p>
                        </w:tc>
                      </w:tr>
                    </w:tbl>
                    <w:p w:rsidR="00710E3B" w:rsidRPr="00FA7C59" w:rsidRDefault="00710E3B" w:rsidP="00FA7C59">
                      <w:pPr>
                        <w:pStyle w:val="NoSpacing"/>
                        <w:spacing w:line="360" w:lineRule="auto"/>
                        <w:rPr>
                          <w:rFonts w:ascii="Times New Roman" w:hAnsi="Times New Roman" w:cs="Times New Roman"/>
                          <w:b/>
                          <w:color w:val="0F243E" w:themeColor="text2" w:themeShade="80"/>
                          <w:sz w:val="24"/>
                          <w:szCs w:val="24"/>
                          <w:u w:val="single"/>
                        </w:rPr>
                      </w:pPr>
                      <w:r>
                        <w:rPr>
                          <w:rFonts w:ascii="Times New Roman" w:hAnsi="Times New Roman" w:cs="Times New Roman"/>
                          <w:b/>
                          <w:color w:val="0F243E" w:themeColor="text2" w:themeShade="80"/>
                          <w:sz w:val="24"/>
                          <w:szCs w:val="24"/>
                          <w:u w:val="single"/>
                        </w:rPr>
                        <w:t>Financial Snapshot:</w:t>
                      </w:r>
                    </w:p>
                    <w:tbl>
                      <w:tblPr>
                        <w:tblStyle w:val="LightGrid-Accent11"/>
                        <w:tblW w:w="0" w:type="auto"/>
                        <w:tblLook w:val="0480" w:firstRow="0" w:lastRow="0" w:firstColumn="1" w:lastColumn="0" w:noHBand="0" w:noVBand="1"/>
                      </w:tblPr>
                      <w:tblGrid>
                        <w:gridCol w:w="1535"/>
                        <w:gridCol w:w="1544"/>
                      </w:tblGrid>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Price</w:t>
                            </w:r>
                          </w:p>
                        </w:tc>
                        <w:tc>
                          <w:tcPr>
                            <w:tcW w:w="1553" w:type="dxa"/>
                          </w:tcPr>
                          <w:p w:rsidR="00710E3B" w:rsidRPr="00AC4899" w:rsidRDefault="00710E3B" w:rsidP="009867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42.03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DCF Value</w:t>
                            </w:r>
                          </w:p>
                        </w:tc>
                        <w:tc>
                          <w:tcPr>
                            <w:tcW w:w="1553" w:type="dxa"/>
                          </w:tcPr>
                          <w:p w:rsidR="00710E3B" w:rsidRPr="00AC4899" w:rsidRDefault="00710E3B"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sidRPr="00AC4899">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50.27</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Buy Target</w:t>
                            </w:r>
                          </w:p>
                        </w:tc>
                        <w:tc>
                          <w:tcPr>
                            <w:tcW w:w="1553" w:type="dxa"/>
                          </w:tcPr>
                          <w:p w:rsidR="00710E3B" w:rsidRPr="00AC4899" w:rsidRDefault="0004114A" w:rsidP="005E4CD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42.73</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Sell Target</w:t>
                            </w:r>
                          </w:p>
                        </w:tc>
                        <w:tc>
                          <w:tcPr>
                            <w:tcW w:w="1553" w:type="dxa"/>
                          </w:tcPr>
                          <w:p w:rsidR="00710E3B" w:rsidRPr="00AC4899" w:rsidRDefault="0004114A"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57.80</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w:t>
                            </w:r>
                          </w:p>
                        </w:tc>
                        <w:tc>
                          <w:tcPr>
                            <w:tcW w:w="1553" w:type="dxa"/>
                          </w:tcPr>
                          <w:p w:rsidR="00710E3B" w:rsidRPr="00AC4899" w:rsidRDefault="009E721E"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16.8</w:t>
                            </w:r>
                            <w:r w:rsidR="00905C1F">
                              <w:rPr>
                                <w:rFonts w:ascii="Times New Roman" w:hAnsi="Times New Roman" w:cs="Times New Roman"/>
                                <w:b/>
                                <w:color w:val="0F243E" w:themeColor="text2" w:themeShade="80"/>
                              </w:rPr>
                              <w:t>x</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Forward P/E</w:t>
                            </w:r>
                          </w:p>
                        </w:tc>
                        <w:tc>
                          <w:tcPr>
                            <w:tcW w:w="1553" w:type="dxa"/>
                          </w:tcPr>
                          <w:p w:rsidR="00710E3B" w:rsidRPr="00AC4899" w:rsidRDefault="009E721E" w:rsidP="005E4CD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16.4</w:t>
                            </w:r>
                            <w:r w:rsidR="00710E3B" w:rsidRPr="00AC4899">
                              <w:rPr>
                                <w:rFonts w:ascii="Times New Roman" w:hAnsi="Times New Roman" w:cs="Times New Roman"/>
                                <w:b/>
                                <w:color w:val="0F243E" w:themeColor="text2" w:themeShade="80"/>
                              </w:rPr>
                              <w:t>x</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Div Yield</w:t>
                            </w:r>
                          </w:p>
                        </w:tc>
                        <w:tc>
                          <w:tcPr>
                            <w:tcW w:w="1553" w:type="dxa"/>
                          </w:tcPr>
                          <w:p w:rsidR="00710E3B" w:rsidRPr="00AC4899" w:rsidRDefault="009E721E"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4.33</w:t>
                            </w:r>
                            <w:r w:rsidR="00710E3B" w:rsidRPr="00AC4899">
                              <w:rPr>
                                <w:rFonts w:ascii="Times New Roman" w:hAnsi="Times New Roman" w:cs="Times New Roman"/>
                                <w:b/>
                                <w:color w:val="0F243E" w:themeColor="text2" w:themeShade="80"/>
                              </w:rPr>
                              <w:t>%</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Market Cap</w:t>
                            </w:r>
                          </w:p>
                        </w:tc>
                        <w:tc>
                          <w:tcPr>
                            <w:tcW w:w="1553" w:type="dxa"/>
                          </w:tcPr>
                          <w:p w:rsidR="00710E3B" w:rsidRPr="00AC4899" w:rsidRDefault="0004114A" w:rsidP="00905C1F">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w:t>
                            </w:r>
                            <w:r w:rsidR="009E721E">
                              <w:rPr>
                                <w:rFonts w:ascii="Times New Roman" w:hAnsi="Times New Roman" w:cs="Times New Roman"/>
                                <w:b/>
                                <w:color w:val="0F243E" w:themeColor="text2" w:themeShade="80"/>
                              </w:rPr>
                              <w:t>36.6</w:t>
                            </w:r>
                            <w:r w:rsidR="00710E3B" w:rsidRPr="00AC4899">
                              <w:rPr>
                                <w:rFonts w:ascii="Times New Roman" w:hAnsi="Times New Roman" w:cs="Times New Roman"/>
                                <w:b/>
                                <w:color w:val="0F243E" w:themeColor="text2" w:themeShade="80"/>
                              </w:rPr>
                              <w:t>Billion</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52 Wk Range</w:t>
                            </w:r>
                          </w:p>
                        </w:tc>
                        <w:tc>
                          <w:tcPr>
                            <w:tcW w:w="1553" w:type="dxa"/>
                          </w:tcPr>
                          <w:p w:rsidR="00710E3B" w:rsidRPr="00AC4899" w:rsidRDefault="009E721E" w:rsidP="009E721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$48.59</w:t>
                            </w:r>
                            <w:r w:rsidR="00710E3B">
                              <w:rPr>
                                <w:rFonts w:ascii="Times New Roman" w:hAnsi="Times New Roman" w:cs="Times New Roman"/>
                                <w:b/>
                                <w:color w:val="0F243E" w:themeColor="text2" w:themeShade="80"/>
                              </w:rPr>
                              <w:t xml:space="preserve"> - $</w:t>
                            </w:r>
                            <w:r>
                              <w:rPr>
                                <w:rFonts w:ascii="Times New Roman" w:hAnsi="Times New Roman" w:cs="Times New Roman"/>
                                <w:b/>
                                <w:color w:val="0F243E" w:themeColor="text2" w:themeShade="80"/>
                              </w:rPr>
                              <w:t>41</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EPS Growth</w:t>
                            </w:r>
                          </w:p>
                        </w:tc>
                        <w:tc>
                          <w:tcPr>
                            <w:tcW w:w="1553" w:type="dxa"/>
                          </w:tcPr>
                          <w:p w:rsidR="00710E3B" w:rsidRPr="00AC4899" w:rsidRDefault="009E721E"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w:t>
                            </w:r>
                            <w:r w:rsidR="005E4CD1">
                              <w:rPr>
                                <w:rFonts w:ascii="Times New Roman" w:hAnsi="Times New Roman" w:cs="Times New Roman"/>
                                <w:b/>
                                <w:color w:val="0F243E" w:themeColor="text2" w:themeShade="80"/>
                              </w:rPr>
                              <w:t>.1</w:t>
                            </w:r>
                            <w:r w:rsidR="00710E3B" w:rsidRPr="00AC4899">
                              <w:rPr>
                                <w:rFonts w:ascii="Times New Roman" w:hAnsi="Times New Roman" w:cs="Times New Roman"/>
                                <w:b/>
                                <w:color w:val="0F243E" w:themeColor="text2" w:themeShade="80"/>
                              </w:rPr>
                              <w:t>%</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PEG</w:t>
                            </w:r>
                          </w:p>
                        </w:tc>
                        <w:tc>
                          <w:tcPr>
                            <w:tcW w:w="1553" w:type="dxa"/>
                          </w:tcPr>
                          <w:p w:rsidR="00710E3B" w:rsidRPr="00AC4899" w:rsidRDefault="00877ED8"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2.90</w:t>
                            </w:r>
                          </w:p>
                        </w:tc>
                      </w:tr>
                      <w:tr w:rsidR="00710E3B" w:rsidTr="00041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Credit</w:t>
                            </w:r>
                          </w:p>
                        </w:tc>
                        <w:tc>
                          <w:tcPr>
                            <w:tcW w:w="1553" w:type="dxa"/>
                          </w:tcPr>
                          <w:p w:rsidR="00710E3B" w:rsidRPr="00AC4899" w:rsidRDefault="00710E3B" w:rsidP="00FA7C59">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A</w:t>
                            </w:r>
                          </w:p>
                        </w:tc>
                      </w:tr>
                      <w:tr w:rsidR="00710E3B" w:rsidTr="0004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710E3B" w:rsidRPr="00AC4899" w:rsidRDefault="00710E3B" w:rsidP="00FA7C59">
                            <w:pPr>
                              <w:pStyle w:val="NoSpacing"/>
                              <w:rPr>
                                <w:rFonts w:ascii="Times New Roman" w:hAnsi="Times New Roman" w:cs="Times New Roman"/>
                                <w:b w:val="0"/>
                                <w:color w:val="0F243E" w:themeColor="text2" w:themeShade="80"/>
                              </w:rPr>
                            </w:pPr>
                            <w:r w:rsidRPr="00AC4899">
                              <w:rPr>
                                <w:rFonts w:ascii="Times New Roman" w:hAnsi="Times New Roman" w:cs="Times New Roman"/>
                                <w:b w:val="0"/>
                                <w:color w:val="0F243E" w:themeColor="text2" w:themeShade="80"/>
                              </w:rPr>
                              <w:t>Current Ratio</w:t>
                            </w:r>
                          </w:p>
                        </w:tc>
                        <w:tc>
                          <w:tcPr>
                            <w:tcW w:w="1553" w:type="dxa"/>
                          </w:tcPr>
                          <w:p w:rsidR="00710E3B" w:rsidRPr="00AC4899" w:rsidRDefault="00336A7C" w:rsidP="00FA7C5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F243E" w:themeColor="text2" w:themeShade="80"/>
                              </w:rPr>
                            </w:pPr>
                            <w:r>
                              <w:rPr>
                                <w:rFonts w:ascii="Times New Roman" w:hAnsi="Times New Roman" w:cs="Times New Roman"/>
                                <w:b/>
                                <w:color w:val="0F243E" w:themeColor="text2" w:themeShade="80"/>
                              </w:rPr>
                              <w:t>1.02</w:t>
                            </w:r>
                            <w:r w:rsidR="00710E3B" w:rsidRPr="00AC4899">
                              <w:rPr>
                                <w:rFonts w:ascii="Times New Roman" w:hAnsi="Times New Roman" w:cs="Times New Roman"/>
                                <w:b/>
                                <w:color w:val="0F243E" w:themeColor="text2" w:themeShade="80"/>
                              </w:rPr>
                              <w:t>x</w:t>
                            </w:r>
                          </w:p>
                        </w:tc>
                      </w:tr>
                    </w:tbl>
                    <w:p w:rsidR="00710E3B" w:rsidRDefault="00710E3B" w:rsidP="00FA7C59">
                      <w:pPr>
                        <w:pStyle w:val="NoSpacing"/>
                        <w:rPr>
                          <w:rFonts w:ascii="Times New Roman" w:hAnsi="Times New Roman" w:cs="Times New Roman"/>
                          <w:b/>
                          <w:color w:val="0F243E" w:themeColor="text2" w:themeShade="80"/>
                          <w:sz w:val="24"/>
                          <w:szCs w:val="24"/>
                        </w:rPr>
                      </w:pPr>
                    </w:p>
                    <w:p w:rsidR="00710E3B" w:rsidRDefault="00710E3B" w:rsidP="00FA7C59">
                      <w:pPr>
                        <w:pStyle w:val="NoSpacing"/>
                        <w:spacing w:line="360" w:lineRule="auto"/>
                        <w:rPr>
                          <w:rFonts w:ascii="Times New Roman" w:hAnsi="Times New Roman" w:cs="Times New Roman"/>
                          <w:b/>
                          <w:color w:val="0F243E" w:themeColor="text2" w:themeShade="80"/>
                          <w:sz w:val="24"/>
                          <w:szCs w:val="24"/>
                        </w:rPr>
                      </w:pPr>
                    </w:p>
                  </w:txbxContent>
                </v:textbox>
                <w10:wrap type="square" anchorx="margin" anchory="page"/>
              </v:roundrect>
            </w:pict>
          </mc:Fallback>
        </mc:AlternateContent>
      </w:r>
    </w:p>
    <w:p w:rsidR="008C66B0" w:rsidRPr="00493422" w:rsidRDefault="008C66B0" w:rsidP="004874A0">
      <w:pPr>
        <w:pStyle w:val="NoSpacing"/>
        <w:jc w:val="both"/>
        <w:rPr>
          <w:rFonts w:ascii="Times New Roman" w:hAnsi="Times New Roman" w:cs="Times New Roman"/>
        </w:rPr>
      </w:pPr>
      <w:r w:rsidRPr="00493422">
        <w:rPr>
          <w:rFonts w:ascii="Arial Black" w:hAnsi="Arial Black"/>
          <w:b/>
          <w:color w:val="0F243E" w:themeColor="text2" w:themeShade="80"/>
        </w:rPr>
        <w:t>Investment Theme:</w:t>
      </w:r>
      <w:r>
        <w:t xml:space="preserve">  </w:t>
      </w:r>
      <w:r w:rsidR="00CC67B4">
        <w:rPr>
          <w:rFonts w:ascii="Times New Roman" w:hAnsi="Times New Roman" w:cs="Times New Roman"/>
        </w:rPr>
        <w:t xml:space="preserve">Investing in </w:t>
      </w:r>
      <w:r w:rsidR="00BE7FA4">
        <w:rPr>
          <w:rFonts w:ascii="Times New Roman" w:hAnsi="Times New Roman" w:cs="Times New Roman"/>
        </w:rPr>
        <w:t xml:space="preserve">a </w:t>
      </w:r>
      <w:r w:rsidR="0005207E">
        <w:rPr>
          <w:rFonts w:ascii="Times New Roman" w:hAnsi="Times New Roman" w:cs="Times New Roman"/>
        </w:rPr>
        <w:t>consistent</w:t>
      </w:r>
      <w:r w:rsidR="002A5655">
        <w:rPr>
          <w:rFonts w:ascii="Times New Roman" w:hAnsi="Times New Roman" w:cs="Times New Roman"/>
        </w:rPr>
        <w:t xml:space="preserve"> </w:t>
      </w:r>
      <w:r w:rsidR="00BE7FA4">
        <w:rPr>
          <w:rFonts w:ascii="Times New Roman" w:hAnsi="Times New Roman" w:cs="Times New Roman"/>
        </w:rPr>
        <w:t>dividend</w:t>
      </w:r>
      <w:r w:rsidR="002A5655">
        <w:rPr>
          <w:rFonts w:ascii="Times New Roman" w:hAnsi="Times New Roman" w:cs="Times New Roman"/>
        </w:rPr>
        <w:t>-</w:t>
      </w:r>
      <w:r w:rsidR="0005207E">
        <w:rPr>
          <w:rFonts w:ascii="Times New Roman" w:hAnsi="Times New Roman" w:cs="Times New Roman"/>
        </w:rPr>
        <w:t>growth</w:t>
      </w:r>
      <w:r w:rsidR="00BE7FA4">
        <w:rPr>
          <w:rFonts w:ascii="Times New Roman" w:hAnsi="Times New Roman" w:cs="Times New Roman"/>
        </w:rPr>
        <w:t xml:space="preserve"> </w:t>
      </w:r>
      <w:r w:rsidR="0005207E">
        <w:rPr>
          <w:rFonts w:ascii="Times New Roman" w:hAnsi="Times New Roman" w:cs="Times New Roman"/>
        </w:rPr>
        <w:t>utilities</w:t>
      </w:r>
      <w:r w:rsidR="00BE7FA4">
        <w:rPr>
          <w:rFonts w:ascii="Times New Roman" w:hAnsi="Times New Roman" w:cs="Times New Roman"/>
        </w:rPr>
        <w:t xml:space="preserve"> company which </w:t>
      </w:r>
      <w:r w:rsidR="00673065">
        <w:rPr>
          <w:rFonts w:ascii="Times New Roman" w:hAnsi="Times New Roman" w:cs="Times New Roman"/>
        </w:rPr>
        <w:t xml:space="preserve">is </w:t>
      </w:r>
      <w:r w:rsidR="002A5655">
        <w:rPr>
          <w:rFonts w:ascii="Times New Roman" w:hAnsi="Times New Roman" w:cs="Times New Roman"/>
        </w:rPr>
        <w:t>operat</w:t>
      </w:r>
      <w:r w:rsidR="00673065">
        <w:rPr>
          <w:rFonts w:ascii="Times New Roman" w:hAnsi="Times New Roman" w:cs="Times New Roman"/>
        </w:rPr>
        <w:t>ing</w:t>
      </w:r>
      <w:r w:rsidR="002A5655">
        <w:rPr>
          <w:rFonts w:ascii="Times New Roman" w:hAnsi="Times New Roman" w:cs="Times New Roman"/>
        </w:rPr>
        <w:t xml:space="preserve"> in an above-average population</w:t>
      </w:r>
      <w:r w:rsidR="00673065">
        <w:rPr>
          <w:rFonts w:ascii="Times New Roman" w:hAnsi="Times New Roman" w:cs="Times New Roman"/>
        </w:rPr>
        <w:t xml:space="preserve"> and economic growth area.</w:t>
      </w:r>
    </w:p>
    <w:p w:rsidR="00493422" w:rsidRPr="00493422" w:rsidRDefault="00493422" w:rsidP="004874A0">
      <w:pPr>
        <w:pStyle w:val="NoSpacing"/>
        <w:jc w:val="both"/>
        <w:rPr>
          <w:rFonts w:ascii="Times New Roman" w:hAnsi="Times New Roman" w:cs="Times New Roman"/>
          <w:b/>
        </w:rPr>
      </w:pPr>
    </w:p>
    <w:p w:rsidR="002A5655" w:rsidRDefault="008C66B0" w:rsidP="008E5978">
      <w:pPr>
        <w:pStyle w:val="NoSpacing"/>
        <w:jc w:val="both"/>
        <w:rPr>
          <w:rFonts w:ascii="Times New Roman" w:hAnsi="Times New Roman" w:cs="Times New Roman"/>
        </w:rPr>
      </w:pPr>
      <w:r w:rsidRPr="00493422">
        <w:rPr>
          <w:rFonts w:ascii="Arial Black" w:hAnsi="Arial Black"/>
          <w:b/>
          <w:color w:val="0F243E" w:themeColor="text2" w:themeShade="80"/>
        </w:rPr>
        <w:t>Overview:</w:t>
      </w:r>
      <w:r w:rsidR="00493422" w:rsidRPr="00493422">
        <w:rPr>
          <w:b/>
          <w:color w:val="0F243E" w:themeColor="text2" w:themeShade="80"/>
        </w:rPr>
        <w:t xml:space="preserve"> </w:t>
      </w:r>
      <w:r w:rsidR="002A5655">
        <w:rPr>
          <w:rFonts w:ascii="Times New Roman" w:hAnsi="Times New Roman" w:cs="Times New Roman"/>
        </w:rPr>
        <w:t xml:space="preserve">Operating in </w:t>
      </w:r>
      <w:r w:rsidR="00595E25">
        <w:rPr>
          <w:rFonts w:ascii="Times New Roman" w:hAnsi="Times New Roman" w:cs="Times New Roman"/>
        </w:rPr>
        <w:t xml:space="preserve">a volatile market, Southern Company is a well-positioned business </w:t>
      </w:r>
      <w:r w:rsidR="00CF18B0">
        <w:rPr>
          <w:rFonts w:ascii="Times New Roman" w:hAnsi="Times New Roman" w:cs="Times New Roman"/>
        </w:rPr>
        <w:t xml:space="preserve">that can maintain enviable regulatory relationships and rate structures, along with a commitment to the pure-play regulated utility model. </w:t>
      </w:r>
      <w:r w:rsidR="00CF18B0" w:rsidRPr="00CF18B0">
        <w:rPr>
          <w:rFonts w:ascii="Times New Roman" w:hAnsi="Times New Roman" w:cs="Times New Roman"/>
        </w:rPr>
        <w:t>Southern has remained on</w:t>
      </w:r>
      <w:r w:rsidR="00CF18B0">
        <w:rPr>
          <w:rFonts w:ascii="Times New Roman" w:hAnsi="Times New Roman" w:cs="Times New Roman"/>
        </w:rPr>
        <w:t xml:space="preserve"> </w:t>
      </w:r>
      <w:r w:rsidR="00CF18B0" w:rsidRPr="00CF18B0">
        <w:rPr>
          <w:rFonts w:ascii="Times New Roman" w:hAnsi="Times New Roman" w:cs="Times New Roman"/>
        </w:rPr>
        <w:t>constructive terms with regulators largely because of its low-cost</w:t>
      </w:r>
      <w:r w:rsidR="00CF18B0">
        <w:rPr>
          <w:rFonts w:ascii="Times New Roman" w:hAnsi="Times New Roman" w:cs="Times New Roman"/>
        </w:rPr>
        <w:t xml:space="preserve"> </w:t>
      </w:r>
      <w:r w:rsidR="00CF18B0" w:rsidRPr="00CF18B0">
        <w:rPr>
          <w:rFonts w:ascii="Times New Roman" w:hAnsi="Times New Roman" w:cs="Times New Roman"/>
        </w:rPr>
        <w:t>generating fleet, its commitment to customers, and the business-friendly</w:t>
      </w:r>
      <w:r w:rsidR="00CF18B0">
        <w:rPr>
          <w:rFonts w:ascii="Times New Roman" w:hAnsi="Times New Roman" w:cs="Times New Roman"/>
        </w:rPr>
        <w:t xml:space="preserve"> </w:t>
      </w:r>
      <w:r w:rsidR="00CF18B0" w:rsidRPr="00CF18B0">
        <w:rPr>
          <w:rFonts w:ascii="Times New Roman" w:hAnsi="Times New Roman" w:cs="Times New Roman"/>
        </w:rPr>
        <w:t>atmosphere of its service territory.</w:t>
      </w:r>
      <w:r w:rsidR="00CF18B0">
        <w:rPr>
          <w:rFonts w:ascii="Times New Roman" w:hAnsi="Times New Roman" w:cs="Times New Roman"/>
        </w:rPr>
        <w:t xml:space="preserve"> </w:t>
      </w:r>
      <w:r w:rsidR="00DC0108">
        <w:rPr>
          <w:rFonts w:ascii="Times New Roman" w:hAnsi="Times New Roman" w:cs="Times New Roman"/>
        </w:rPr>
        <w:t>Its</w:t>
      </w:r>
      <w:r w:rsidR="008E5978">
        <w:rPr>
          <w:rFonts w:ascii="Times New Roman" w:hAnsi="Times New Roman" w:cs="Times New Roman"/>
        </w:rPr>
        <w:t xml:space="preserve"> subsidiary, </w:t>
      </w:r>
      <w:r w:rsidR="008E5978" w:rsidRPr="008E5978">
        <w:rPr>
          <w:rFonts w:ascii="Times New Roman" w:hAnsi="Times New Roman" w:cs="Times New Roman"/>
        </w:rPr>
        <w:t>Georgia</w:t>
      </w:r>
      <w:r w:rsidR="008E5978">
        <w:rPr>
          <w:rFonts w:ascii="Times New Roman" w:hAnsi="Times New Roman" w:cs="Times New Roman"/>
        </w:rPr>
        <w:t xml:space="preserve"> </w:t>
      </w:r>
      <w:r w:rsidR="008E5978" w:rsidRPr="008E5978">
        <w:rPr>
          <w:rFonts w:ascii="Times New Roman" w:hAnsi="Times New Roman" w:cs="Times New Roman"/>
        </w:rPr>
        <w:t>Power is building two nuclear units that</w:t>
      </w:r>
      <w:r w:rsidR="008E5978">
        <w:rPr>
          <w:rFonts w:ascii="Times New Roman" w:hAnsi="Times New Roman" w:cs="Times New Roman"/>
        </w:rPr>
        <w:t xml:space="preserve"> </w:t>
      </w:r>
      <w:r w:rsidR="008E5978" w:rsidRPr="008E5978">
        <w:rPr>
          <w:rFonts w:ascii="Times New Roman" w:hAnsi="Times New Roman" w:cs="Times New Roman"/>
        </w:rPr>
        <w:t>are scheduled to begin commercial operation</w:t>
      </w:r>
      <w:r w:rsidR="008E5978">
        <w:rPr>
          <w:rFonts w:ascii="Times New Roman" w:hAnsi="Times New Roman" w:cs="Times New Roman"/>
        </w:rPr>
        <w:t xml:space="preserve"> </w:t>
      </w:r>
      <w:r w:rsidR="008E5978" w:rsidRPr="008E5978">
        <w:rPr>
          <w:rFonts w:ascii="Times New Roman" w:hAnsi="Times New Roman" w:cs="Times New Roman"/>
        </w:rPr>
        <w:t>in 2016 and 2017. Mississippi</w:t>
      </w:r>
      <w:r w:rsidR="008E5978">
        <w:rPr>
          <w:rFonts w:ascii="Times New Roman" w:hAnsi="Times New Roman" w:cs="Times New Roman"/>
        </w:rPr>
        <w:t xml:space="preserve"> </w:t>
      </w:r>
      <w:r w:rsidR="008E5978" w:rsidRPr="008E5978">
        <w:rPr>
          <w:rFonts w:ascii="Times New Roman" w:hAnsi="Times New Roman" w:cs="Times New Roman"/>
        </w:rPr>
        <w:t>Power</w:t>
      </w:r>
      <w:r w:rsidR="008E5978">
        <w:rPr>
          <w:rFonts w:ascii="Times New Roman" w:hAnsi="Times New Roman" w:cs="Times New Roman"/>
        </w:rPr>
        <w:t>, another subsidiary,</w:t>
      </w:r>
      <w:r w:rsidR="008E5978" w:rsidRPr="008E5978">
        <w:rPr>
          <w:rFonts w:ascii="Times New Roman" w:hAnsi="Times New Roman" w:cs="Times New Roman"/>
        </w:rPr>
        <w:t xml:space="preserve"> is building a 582-mw coal gasification</w:t>
      </w:r>
      <w:r w:rsidR="008E5978">
        <w:rPr>
          <w:rFonts w:ascii="Times New Roman" w:hAnsi="Times New Roman" w:cs="Times New Roman"/>
        </w:rPr>
        <w:t xml:space="preserve"> </w:t>
      </w:r>
      <w:r w:rsidR="008E5978" w:rsidRPr="008E5978">
        <w:rPr>
          <w:rFonts w:ascii="Times New Roman" w:hAnsi="Times New Roman" w:cs="Times New Roman"/>
        </w:rPr>
        <w:t>plant, which is scheduled for completion</w:t>
      </w:r>
      <w:r w:rsidR="008E5978">
        <w:rPr>
          <w:rFonts w:ascii="Times New Roman" w:hAnsi="Times New Roman" w:cs="Times New Roman"/>
        </w:rPr>
        <w:t xml:space="preserve"> </w:t>
      </w:r>
      <w:r w:rsidR="008E5978" w:rsidRPr="008E5978">
        <w:rPr>
          <w:rFonts w:ascii="Times New Roman" w:hAnsi="Times New Roman" w:cs="Times New Roman"/>
        </w:rPr>
        <w:t xml:space="preserve">in 2014. </w:t>
      </w:r>
      <w:r w:rsidR="008E5978">
        <w:rPr>
          <w:rFonts w:ascii="Times New Roman" w:hAnsi="Times New Roman" w:cs="Times New Roman"/>
        </w:rPr>
        <w:t>U</w:t>
      </w:r>
      <w:r w:rsidR="008E5978" w:rsidRPr="008E5978">
        <w:rPr>
          <w:rFonts w:ascii="Times New Roman" w:hAnsi="Times New Roman" w:cs="Times New Roman"/>
        </w:rPr>
        <w:t>nlike many merchant</w:t>
      </w:r>
      <w:r w:rsidR="008E5978">
        <w:rPr>
          <w:rFonts w:ascii="Times New Roman" w:hAnsi="Times New Roman" w:cs="Times New Roman"/>
        </w:rPr>
        <w:t xml:space="preserve"> </w:t>
      </w:r>
      <w:r w:rsidR="008E5978" w:rsidRPr="008E5978">
        <w:rPr>
          <w:rFonts w:ascii="Times New Roman" w:hAnsi="Times New Roman" w:cs="Times New Roman"/>
        </w:rPr>
        <w:t>power producers, Southern Power operates with a highly conservative</w:t>
      </w:r>
      <w:r w:rsidR="008E5978">
        <w:rPr>
          <w:rFonts w:ascii="Times New Roman" w:hAnsi="Times New Roman" w:cs="Times New Roman"/>
        </w:rPr>
        <w:t xml:space="preserve"> </w:t>
      </w:r>
      <w:r w:rsidR="008E5978" w:rsidRPr="008E5978">
        <w:rPr>
          <w:rFonts w:ascii="Times New Roman" w:hAnsi="Times New Roman" w:cs="Times New Roman"/>
        </w:rPr>
        <w:t>framework. Management builds a plant only if it has long-term contracts</w:t>
      </w:r>
      <w:r w:rsidR="008E5978">
        <w:rPr>
          <w:rFonts w:ascii="Times New Roman" w:hAnsi="Times New Roman" w:cs="Times New Roman"/>
        </w:rPr>
        <w:t xml:space="preserve"> </w:t>
      </w:r>
      <w:r w:rsidR="008E5978" w:rsidRPr="008E5978">
        <w:rPr>
          <w:rFonts w:ascii="Times New Roman" w:hAnsi="Times New Roman" w:cs="Times New Roman"/>
        </w:rPr>
        <w:t>already in place. The contracts have an average life of roughly 11 years,</w:t>
      </w:r>
      <w:r w:rsidR="008E5978">
        <w:rPr>
          <w:rFonts w:ascii="Times New Roman" w:hAnsi="Times New Roman" w:cs="Times New Roman"/>
        </w:rPr>
        <w:t xml:space="preserve"> </w:t>
      </w:r>
      <w:r w:rsidR="008E5978" w:rsidRPr="008E5978">
        <w:rPr>
          <w:rFonts w:ascii="Times New Roman" w:hAnsi="Times New Roman" w:cs="Times New Roman"/>
        </w:rPr>
        <w:t>and all counterparties have investment-grade ratings.</w:t>
      </w:r>
    </w:p>
    <w:p w:rsidR="00680972" w:rsidRDefault="00680972" w:rsidP="004874A0">
      <w:pPr>
        <w:pStyle w:val="NoSpacing"/>
        <w:jc w:val="both"/>
        <w:rPr>
          <w:rFonts w:ascii="Times New Roman" w:hAnsi="Times New Roman" w:cs="Times New Roman"/>
        </w:rPr>
      </w:pPr>
    </w:p>
    <w:p w:rsidR="009D68F5" w:rsidRDefault="001F6A6F" w:rsidP="004874A0">
      <w:pPr>
        <w:pStyle w:val="NoSpacing"/>
        <w:jc w:val="both"/>
        <w:rPr>
          <w:rFonts w:ascii="Times New Roman" w:hAnsi="Times New Roman" w:cs="Times New Roman"/>
        </w:rPr>
      </w:pPr>
      <w:r>
        <w:rPr>
          <w:rFonts w:ascii="Times New Roman" w:hAnsi="Times New Roman" w:cs="Times New Roman"/>
        </w:rPr>
        <w:t>Reven</w:t>
      </w:r>
      <w:r w:rsidR="00F96809">
        <w:rPr>
          <w:rFonts w:ascii="Times New Roman" w:hAnsi="Times New Roman" w:cs="Times New Roman"/>
        </w:rPr>
        <w:t>ue is expected to grow between 3% and 4</w:t>
      </w:r>
      <w:r>
        <w:rPr>
          <w:rFonts w:ascii="Times New Roman" w:hAnsi="Times New Roman" w:cs="Times New Roman"/>
        </w:rPr>
        <w:t>% annually over the next five years</w:t>
      </w:r>
      <w:r w:rsidR="00F96809">
        <w:rPr>
          <w:rFonts w:ascii="Times New Roman" w:hAnsi="Times New Roman" w:cs="Times New Roman"/>
        </w:rPr>
        <w:t xml:space="preserve">, driven by </w:t>
      </w:r>
      <w:r w:rsidR="009D68F5">
        <w:rPr>
          <w:rFonts w:ascii="Times New Roman" w:hAnsi="Times New Roman" w:cs="Times New Roman"/>
        </w:rPr>
        <w:t xml:space="preserve">electricity demand from residential, commercial and industrial consumers. While demand from residential customers is weather-normalized and resilient, demand from commercial customer depends on the strength of the economy. Over the next few years, it is expected to see an increased demand from commercial sector when the economy has recovered. </w:t>
      </w:r>
      <w:r w:rsidR="00E54D60">
        <w:rPr>
          <w:rFonts w:ascii="Times New Roman" w:hAnsi="Times New Roman" w:cs="Times New Roman"/>
        </w:rPr>
        <w:t xml:space="preserve">Long-term growth in </w:t>
      </w:r>
      <w:r w:rsidR="009D68F5">
        <w:rPr>
          <w:rFonts w:ascii="Times New Roman" w:hAnsi="Times New Roman" w:cs="Times New Roman"/>
        </w:rPr>
        <w:t xml:space="preserve">electric utility sales to industrial customers will be much more modest than </w:t>
      </w:r>
      <w:r w:rsidR="00E54D60">
        <w:rPr>
          <w:rFonts w:ascii="Times New Roman" w:hAnsi="Times New Roman" w:cs="Times New Roman"/>
        </w:rPr>
        <w:t>the growth for the</w:t>
      </w:r>
      <w:r w:rsidR="009D68F5">
        <w:rPr>
          <w:rFonts w:ascii="Times New Roman" w:hAnsi="Times New Roman" w:cs="Times New Roman"/>
        </w:rPr>
        <w:t xml:space="preserve"> </w:t>
      </w:r>
      <w:r w:rsidR="00E54D60">
        <w:rPr>
          <w:rFonts w:ascii="Times New Roman" w:hAnsi="Times New Roman" w:cs="Times New Roman"/>
        </w:rPr>
        <w:t>residential and commercial sectors, reflecting the ability of large industrial firms to buy power from alternative energy providers.</w:t>
      </w:r>
    </w:p>
    <w:p w:rsidR="00680972" w:rsidRDefault="00680972" w:rsidP="004874A0">
      <w:pPr>
        <w:pStyle w:val="NoSpacing"/>
        <w:jc w:val="both"/>
        <w:rPr>
          <w:rFonts w:ascii="Times New Roman" w:hAnsi="Times New Roman" w:cs="Times New Roman"/>
        </w:rPr>
      </w:pPr>
    </w:p>
    <w:p w:rsidR="00640269" w:rsidRDefault="00E54D60" w:rsidP="004874A0">
      <w:pPr>
        <w:pStyle w:val="NoSpacing"/>
        <w:jc w:val="both"/>
        <w:rPr>
          <w:rFonts w:ascii="Times New Roman" w:hAnsi="Times New Roman" w:cs="Times New Roman"/>
        </w:rPr>
      </w:pPr>
      <w:r>
        <w:rPr>
          <w:rFonts w:ascii="Times New Roman" w:hAnsi="Times New Roman" w:cs="Times New Roman"/>
        </w:rPr>
        <w:t>Southern Company</w:t>
      </w:r>
      <w:r w:rsidR="00040EFE">
        <w:rPr>
          <w:rFonts w:ascii="Times New Roman" w:hAnsi="Times New Roman" w:cs="Times New Roman"/>
        </w:rPr>
        <w:t xml:space="preserve">’s </w:t>
      </w:r>
      <w:r>
        <w:rPr>
          <w:rFonts w:ascii="Times New Roman" w:hAnsi="Times New Roman" w:cs="Times New Roman"/>
        </w:rPr>
        <w:t>current price of $42</w:t>
      </w:r>
      <w:r w:rsidR="00040EFE">
        <w:rPr>
          <w:rFonts w:ascii="Times New Roman" w:hAnsi="Times New Roman" w:cs="Times New Roman"/>
        </w:rPr>
        <w:t>.</w:t>
      </w:r>
      <w:r>
        <w:rPr>
          <w:rFonts w:ascii="Times New Roman" w:hAnsi="Times New Roman" w:cs="Times New Roman"/>
        </w:rPr>
        <w:t>0</w:t>
      </w:r>
      <w:r w:rsidR="00040EFE">
        <w:rPr>
          <w:rFonts w:ascii="Times New Roman" w:hAnsi="Times New Roman" w:cs="Times New Roman"/>
        </w:rPr>
        <w:t>3</w:t>
      </w:r>
      <w:r w:rsidR="00493422" w:rsidRPr="00493422">
        <w:rPr>
          <w:rFonts w:ascii="Times New Roman" w:hAnsi="Times New Roman" w:cs="Times New Roman"/>
        </w:rPr>
        <w:t xml:space="preserve"> results in a P/</w:t>
      </w:r>
      <w:r w:rsidR="001F6A6F">
        <w:rPr>
          <w:rFonts w:ascii="Times New Roman" w:hAnsi="Times New Roman" w:cs="Times New Roman"/>
        </w:rPr>
        <w:t xml:space="preserve">E ratio of approximately </w:t>
      </w:r>
      <w:r>
        <w:rPr>
          <w:rFonts w:ascii="Times New Roman" w:hAnsi="Times New Roman" w:cs="Times New Roman"/>
        </w:rPr>
        <w:t>16</w:t>
      </w:r>
      <w:r w:rsidR="00905C1F">
        <w:rPr>
          <w:rFonts w:ascii="Times New Roman" w:hAnsi="Times New Roman" w:cs="Times New Roman"/>
        </w:rPr>
        <w:t>.</w:t>
      </w:r>
      <w:r>
        <w:rPr>
          <w:rFonts w:ascii="Times New Roman" w:hAnsi="Times New Roman" w:cs="Times New Roman"/>
        </w:rPr>
        <w:t>8</w:t>
      </w:r>
      <w:r w:rsidR="00493422" w:rsidRPr="00493422">
        <w:rPr>
          <w:rFonts w:ascii="Times New Roman" w:hAnsi="Times New Roman" w:cs="Times New Roman"/>
        </w:rPr>
        <w:t xml:space="preserve">x based on current-year </w:t>
      </w:r>
      <w:r w:rsidR="00E26BFA">
        <w:rPr>
          <w:rFonts w:ascii="Times New Roman" w:hAnsi="Times New Roman" w:cs="Times New Roman"/>
        </w:rPr>
        <w:t>EPS</w:t>
      </w:r>
      <w:r w:rsidR="00E26BFA" w:rsidRPr="00493422">
        <w:rPr>
          <w:rFonts w:ascii="Times New Roman" w:hAnsi="Times New Roman" w:cs="Times New Roman"/>
        </w:rPr>
        <w:t xml:space="preserve"> </w:t>
      </w:r>
      <w:r w:rsidR="00493422" w:rsidRPr="00493422">
        <w:rPr>
          <w:rFonts w:ascii="Times New Roman" w:hAnsi="Times New Roman" w:cs="Times New Roman"/>
        </w:rPr>
        <w:t xml:space="preserve">estimates </w:t>
      </w:r>
      <w:r w:rsidR="0006115D">
        <w:rPr>
          <w:rFonts w:ascii="Times New Roman" w:hAnsi="Times New Roman" w:cs="Times New Roman"/>
        </w:rPr>
        <w:t>of</w:t>
      </w:r>
      <w:r w:rsidR="001F6A6F">
        <w:rPr>
          <w:rFonts w:ascii="Times New Roman" w:hAnsi="Times New Roman" w:cs="Times New Roman"/>
        </w:rPr>
        <w:t xml:space="preserve"> approximately $</w:t>
      </w:r>
      <w:r>
        <w:rPr>
          <w:rFonts w:ascii="Times New Roman" w:hAnsi="Times New Roman" w:cs="Times New Roman"/>
        </w:rPr>
        <w:t>2.5</w:t>
      </w:r>
      <w:r w:rsidR="00F856C4">
        <w:rPr>
          <w:rFonts w:ascii="Times New Roman" w:hAnsi="Times New Roman" w:cs="Times New Roman"/>
        </w:rPr>
        <w:t>, with expected EPS to rise to $</w:t>
      </w:r>
      <w:r>
        <w:rPr>
          <w:rFonts w:ascii="Times New Roman" w:hAnsi="Times New Roman" w:cs="Times New Roman"/>
        </w:rPr>
        <w:t>2</w:t>
      </w:r>
      <w:r w:rsidR="00905C1F">
        <w:rPr>
          <w:rFonts w:ascii="Times New Roman" w:hAnsi="Times New Roman" w:cs="Times New Roman"/>
        </w:rPr>
        <w:t>.5</w:t>
      </w:r>
      <w:r>
        <w:rPr>
          <w:rFonts w:ascii="Times New Roman" w:hAnsi="Times New Roman" w:cs="Times New Roman"/>
        </w:rPr>
        <w:t>7</w:t>
      </w:r>
      <w:r w:rsidR="00F856C4">
        <w:rPr>
          <w:rFonts w:ascii="Times New Roman" w:hAnsi="Times New Roman" w:cs="Times New Roman"/>
        </w:rPr>
        <w:t xml:space="preserve"> </w:t>
      </w:r>
      <w:r w:rsidR="00176BE6">
        <w:rPr>
          <w:rFonts w:ascii="Times New Roman" w:hAnsi="Times New Roman" w:cs="Times New Roman"/>
        </w:rPr>
        <w:t>in fiscal year 2013. The discounted cash flow valuation assumes a 3</w:t>
      </w:r>
      <w:r w:rsidR="00493422" w:rsidRPr="00493422">
        <w:rPr>
          <w:rFonts w:ascii="Times New Roman" w:hAnsi="Times New Roman" w:cs="Times New Roman"/>
        </w:rPr>
        <w:t>% annual rev</w:t>
      </w:r>
      <w:r w:rsidR="001F6A6F">
        <w:rPr>
          <w:rFonts w:ascii="Times New Roman" w:hAnsi="Times New Roman" w:cs="Times New Roman"/>
        </w:rPr>
        <w:t xml:space="preserve">enue growth rate and a </w:t>
      </w:r>
      <w:r>
        <w:rPr>
          <w:rFonts w:ascii="Times New Roman" w:hAnsi="Times New Roman" w:cs="Times New Roman"/>
        </w:rPr>
        <w:t>cost of equity</w:t>
      </w:r>
      <w:r w:rsidR="001F6A6F">
        <w:rPr>
          <w:rFonts w:ascii="Times New Roman" w:hAnsi="Times New Roman" w:cs="Times New Roman"/>
        </w:rPr>
        <w:t xml:space="preserve"> </w:t>
      </w:r>
      <w:r>
        <w:rPr>
          <w:rFonts w:ascii="Times New Roman" w:hAnsi="Times New Roman" w:cs="Times New Roman"/>
        </w:rPr>
        <w:t>6.05</w:t>
      </w:r>
      <w:r w:rsidR="00493422" w:rsidRPr="00493422">
        <w:rPr>
          <w:rFonts w:ascii="Times New Roman" w:hAnsi="Times New Roman" w:cs="Times New Roman"/>
        </w:rPr>
        <w:t>%</w:t>
      </w:r>
      <w:r w:rsidR="003664BB">
        <w:rPr>
          <w:rFonts w:ascii="Times New Roman" w:hAnsi="Times New Roman" w:cs="Times New Roman"/>
        </w:rPr>
        <w:t>.</w:t>
      </w:r>
    </w:p>
    <w:p w:rsidR="00713C63" w:rsidRDefault="00713C63" w:rsidP="004874A0">
      <w:pPr>
        <w:pStyle w:val="NoSpacing"/>
        <w:jc w:val="both"/>
        <w:rPr>
          <w:rFonts w:ascii="Times New Roman" w:hAnsi="Times New Roman" w:cs="Times New Roman"/>
        </w:rPr>
      </w:pPr>
    </w:p>
    <w:p w:rsidR="00E54D60" w:rsidRPr="00E54D60" w:rsidRDefault="003664BB" w:rsidP="00E54D60">
      <w:pPr>
        <w:pStyle w:val="NoSpacing"/>
        <w:jc w:val="both"/>
        <w:rPr>
          <w:rFonts w:ascii="Times New Roman" w:hAnsi="Times New Roman" w:cs="Times New Roman"/>
        </w:rPr>
      </w:pPr>
      <w:r>
        <w:rPr>
          <w:rFonts w:ascii="Arial Black" w:hAnsi="Arial Black"/>
          <w:b/>
          <w:color w:val="0F243E" w:themeColor="text2" w:themeShade="80"/>
        </w:rPr>
        <w:t>2012</w:t>
      </w:r>
      <w:r w:rsidR="00687198">
        <w:rPr>
          <w:rFonts w:ascii="Arial Black" w:hAnsi="Arial Black"/>
          <w:b/>
          <w:color w:val="0F243E" w:themeColor="text2" w:themeShade="80"/>
        </w:rPr>
        <w:t xml:space="preserve"> </w:t>
      </w:r>
      <w:r w:rsidR="001F6A6F">
        <w:rPr>
          <w:rFonts w:ascii="Arial Black" w:hAnsi="Arial Black"/>
          <w:b/>
          <w:color w:val="0F243E" w:themeColor="text2" w:themeShade="80"/>
        </w:rPr>
        <w:t>Q3 Results</w:t>
      </w:r>
      <w:r w:rsidR="00892958" w:rsidRPr="00892958">
        <w:rPr>
          <w:rFonts w:ascii="Arial Black" w:hAnsi="Arial Black"/>
          <w:b/>
          <w:color w:val="0F243E" w:themeColor="text2" w:themeShade="80"/>
        </w:rPr>
        <w:t>:</w:t>
      </w:r>
      <w:r w:rsidR="00892958">
        <w:t xml:space="preserve">  </w:t>
      </w:r>
      <w:r w:rsidR="00E54D60" w:rsidRPr="00E54D60">
        <w:rPr>
          <w:rFonts w:ascii="Times New Roman" w:hAnsi="Times New Roman" w:cs="Times New Roman"/>
        </w:rPr>
        <w:t>Southern Company announced third-quarter results</w:t>
      </w:r>
      <w:r w:rsidR="00E54D60">
        <w:rPr>
          <w:rFonts w:ascii="Times New Roman" w:hAnsi="Times New Roman" w:cs="Times New Roman"/>
        </w:rPr>
        <w:t xml:space="preserve"> </w:t>
      </w:r>
      <w:r w:rsidR="00E54D60" w:rsidRPr="00E54D60">
        <w:rPr>
          <w:rFonts w:ascii="Times New Roman" w:hAnsi="Times New Roman" w:cs="Times New Roman"/>
        </w:rPr>
        <w:t>that reflected some economic stagnation and weakness in its</w:t>
      </w:r>
      <w:r w:rsidR="00E54D60">
        <w:rPr>
          <w:rFonts w:ascii="Times New Roman" w:hAnsi="Times New Roman" w:cs="Times New Roman"/>
        </w:rPr>
        <w:t xml:space="preserve"> </w:t>
      </w:r>
      <w:r w:rsidR="00E54D60" w:rsidRPr="00E54D60">
        <w:rPr>
          <w:rFonts w:ascii="Times New Roman" w:hAnsi="Times New Roman" w:cs="Times New Roman"/>
        </w:rPr>
        <w:t>Southeastern U.S. service territories. Earnings per share for the quarter rose to $1.11,</w:t>
      </w:r>
    </w:p>
    <w:p w:rsidR="00BF2DE2" w:rsidRDefault="00E54D60" w:rsidP="004874A0">
      <w:pPr>
        <w:pStyle w:val="NoSpacing"/>
        <w:jc w:val="both"/>
        <w:rPr>
          <w:rFonts w:ascii="Times New Roman" w:hAnsi="Times New Roman" w:cs="Times New Roman"/>
        </w:rPr>
      </w:pPr>
      <w:r w:rsidRPr="00E54D60">
        <w:rPr>
          <w:rFonts w:ascii="Times New Roman" w:hAnsi="Times New Roman" w:cs="Times New Roman"/>
        </w:rPr>
        <w:t>a nearly 4% increase from $1.07 EPS for the third quarter of 2011.</w:t>
      </w:r>
      <w:r>
        <w:rPr>
          <w:rFonts w:ascii="Times New Roman" w:hAnsi="Times New Roman" w:cs="Times New Roman"/>
        </w:rPr>
        <w:t xml:space="preserve"> </w:t>
      </w:r>
      <w:r w:rsidRPr="00E54D60">
        <w:rPr>
          <w:rFonts w:ascii="Times New Roman" w:hAnsi="Times New Roman" w:cs="Times New Roman"/>
        </w:rPr>
        <w:t>Regulated rates and lower operating expenses more than offset the</w:t>
      </w:r>
      <w:r>
        <w:rPr>
          <w:rFonts w:ascii="Times New Roman" w:hAnsi="Times New Roman" w:cs="Times New Roman"/>
        </w:rPr>
        <w:t xml:space="preserve"> </w:t>
      </w:r>
      <w:r w:rsidRPr="00E54D60">
        <w:rPr>
          <w:rFonts w:ascii="Times New Roman" w:hAnsi="Times New Roman" w:cs="Times New Roman"/>
        </w:rPr>
        <w:t>negative impact of weather after a milder summer. Earnings through the</w:t>
      </w:r>
      <w:r>
        <w:rPr>
          <w:rFonts w:ascii="Times New Roman" w:hAnsi="Times New Roman" w:cs="Times New Roman"/>
        </w:rPr>
        <w:t xml:space="preserve"> </w:t>
      </w:r>
      <w:r w:rsidRPr="00E54D60">
        <w:rPr>
          <w:rFonts w:ascii="Times New Roman" w:hAnsi="Times New Roman" w:cs="Times New Roman"/>
        </w:rPr>
        <w:t>first nine months total $2.24 per</w:t>
      </w:r>
      <w:r>
        <w:rPr>
          <w:rFonts w:ascii="Times New Roman" w:hAnsi="Times New Roman" w:cs="Times New Roman"/>
        </w:rPr>
        <w:t xml:space="preserve"> share</w:t>
      </w:r>
      <w:r w:rsidRPr="00E54D60">
        <w:rPr>
          <w:rFonts w:ascii="Times New Roman" w:hAnsi="Times New Roman" w:cs="Times New Roman"/>
        </w:rPr>
        <w:t>.</w:t>
      </w:r>
      <w:r>
        <w:rPr>
          <w:rFonts w:ascii="Times New Roman" w:hAnsi="Times New Roman" w:cs="Times New Roman"/>
        </w:rPr>
        <w:t xml:space="preserve"> </w:t>
      </w:r>
      <w:r w:rsidRPr="00E54D60">
        <w:rPr>
          <w:rFonts w:ascii="Times New Roman" w:hAnsi="Times New Roman" w:cs="Times New Roman"/>
        </w:rPr>
        <w:t>Southern guided for $0.38-0.40 per share for the fourth quarter</w:t>
      </w:r>
      <w:r>
        <w:rPr>
          <w:rFonts w:ascii="Times New Roman" w:hAnsi="Times New Roman" w:cs="Times New Roman"/>
        </w:rPr>
        <w:t>.</w:t>
      </w:r>
    </w:p>
    <w:p w:rsidR="00680972" w:rsidRDefault="00DC0108" w:rsidP="004874A0">
      <w:pPr>
        <w:jc w:val="both"/>
        <w:rPr>
          <w:rFonts w:ascii="Arial Black" w:hAnsi="Arial Black"/>
          <w:color w:val="0F243E" w:themeColor="text2" w:themeShade="80"/>
        </w:rPr>
      </w:pPr>
      <w:r>
        <w:rPr>
          <w:noProof/>
        </w:rPr>
        <w:drawing>
          <wp:inline distT="0" distB="0" distL="0" distR="0">
            <wp:extent cx="6493946" cy="2222205"/>
            <wp:effectExtent l="19050" t="0" r="2104" b="0"/>
            <wp:docPr id="7" name="Picture 1" descr="Chart forSouthern Company (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forSouthern Company (SO)"/>
                    <pic:cNvPicPr>
                      <a:picLocks noChangeAspect="1" noChangeArrowheads="1"/>
                    </pic:cNvPicPr>
                  </pic:nvPicPr>
                  <pic:blipFill>
                    <a:blip r:embed="rId10" cstate="print"/>
                    <a:srcRect/>
                    <a:stretch>
                      <a:fillRect/>
                    </a:stretch>
                  </pic:blipFill>
                  <pic:spPr bwMode="auto">
                    <a:xfrm>
                      <a:off x="0" y="0"/>
                      <a:ext cx="6492240" cy="2221621"/>
                    </a:xfrm>
                    <a:prstGeom prst="rect">
                      <a:avLst/>
                    </a:prstGeom>
                    <a:noFill/>
                    <a:ln w="9525">
                      <a:noFill/>
                      <a:miter lim="800000"/>
                      <a:headEnd/>
                      <a:tailEnd/>
                    </a:ln>
                  </pic:spPr>
                </pic:pic>
              </a:graphicData>
            </a:graphic>
          </wp:inline>
        </w:drawing>
      </w:r>
    </w:p>
    <w:p w:rsidR="00C3623C" w:rsidRDefault="00C3623C" w:rsidP="00FD18C9">
      <w:pPr>
        <w:jc w:val="both"/>
        <w:rPr>
          <w:rFonts w:ascii="Arial Black" w:hAnsi="Arial Black"/>
          <w:color w:val="0F243E" w:themeColor="text2" w:themeShade="80"/>
        </w:rPr>
      </w:pPr>
    </w:p>
    <w:p w:rsidR="00DC0108" w:rsidRDefault="002879DE" w:rsidP="00FD18C9">
      <w:pPr>
        <w:jc w:val="both"/>
        <w:rPr>
          <w:sz w:val="22"/>
          <w:szCs w:val="22"/>
        </w:rPr>
      </w:pPr>
      <w:r w:rsidRPr="00FA7C59">
        <w:rPr>
          <w:rFonts w:ascii="Arial Black" w:hAnsi="Arial Black"/>
          <w:color w:val="0F243E" w:themeColor="text2" w:themeShade="80"/>
        </w:rPr>
        <w:t>Investment Thesis:</w:t>
      </w:r>
      <w:r w:rsidR="00E3167C">
        <w:rPr>
          <w:rFonts w:ascii="Arial Black" w:hAnsi="Arial Black"/>
          <w:color w:val="0F243E" w:themeColor="text2" w:themeShade="80"/>
        </w:rPr>
        <w:t xml:space="preserve"> </w:t>
      </w:r>
      <w:r w:rsidR="00DC0108">
        <w:rPr>
          <w:sz w:val="22"/>
          <w:szCs w:val="22"/>
        </w:rPr>
        <w:t xml:space="preserve">Seeking dividends and capital preservation in volatile markets, I found Southern Company </w:t>
      </w:r>
      <w:r w:rsidR="00E3167C">
        <w:rPr>
          <w:sz w:val="22"/>
          <w:szCs w:val="22"/>
        </w:rPr>
        <w:t xml:space="preserve">an attractive investment </w:t>
      </w:r>
      <w:r w:rsidR="00B30D13">
        <w:rPr>
          <w:sz w:val="22"/>
          <w:szCs w:val="22"/>
        </w:rPr>
        <w:t xml:space="preserve">for three primary reasons. First, the company has a long positive relationship with regulators. </w:t>
      </w:r>
      <w:r w:rsidR="00B30D13" w:rsidRPr="00B30D13">
        <w:rPr>
          <w:sz w:val="22"/>
          <w:szCs w:val="22"/>
        </w:rPr>
        <w:t>Regulators determine a utility's rate</w:t>
      </w:r>
      <w:r w:rsidR="00B30D13">
        <w:rPr>
          <w:sz w:val="22"/>
          <w:szCs w:val="22"/>
        </w:rPr>
        <w:t xml:space="preserve"> </w:t>
      </w:r>
      <w:r w:rsidR="00B30D13" w:rsidRPr="00B30D13">
        <w:rPr>
          <w:sz w:val="22"/>
          <w:szCs w:val="22"/>
        </w:rPr>
        <w:t>mechanisms, capital base, and allowed return, which together translate</w:t>
      </w:r>
      <w:r w:rsidR="00B30D13">
        <w:rPr>
          <w:sz w:val="22"/>
          <w:szCs w:val="22"/>
        </w:rPr>
        <w:t xml:space="preserve"> </w:t>
      </w:r>
      <w:r w:rsidR="00B30D13" w:rsidRPr="00B30D13">
        <w:rPr>
          <w:sz w:val="22"/>
          <w:szCs w:val="22"/>
        </w:rPr>
        <w:t>into revenue collected from rate payers.</w:t>
      </w:r>
      <w:r w:rsidR="00B30D13">
        <w:rPr>
          <w:sz w:val="22"/>
          <w:szCs w:val="22"/>
        </w:rPr>
        <w:t xml:space="preserve"> </w:t>
      </w:r>
      <w:r w:rsidR="00B30D13" w:rsidRPr="00B30D13">
        <w:rPr>
          <w:sz w:val="22"/>
          <w:szCs w:val="22"/>
        </w:rPr>
        <w:t>Furthermore, regulation means that Southern</w:t>
      </w:r>
      <w:r w:rsidR="00B30D13">
        <w:rPr>
          <w:sz w:val="22"/>
          <w:szCs w:val="22"/>
        </w:rPr>
        <w:t xml:space="preserve"> Company </w:t>
      </w:r>
      <w:r w:rsidR="00B30D13" w:rsidRPr="00B30D13">
        <w:rPr>
          <w:sz w:val="22"/>
          <w:szCs w:val="22"/>
        </w:rPr>
        <w:t>is able to make up for some of its lost revenue through future rate</w:t>
      </w:r>
      <w:r w:rsidR="00B30D13">
        <w:rPr>
          <w:sz w:val="22"/>
          <w:szCs w:val="22"/>
        </w:rPr>
        <w:t xml:space="preserve"> </w:t>
      </w:r>
      <w:r w:rsidR="00B30D13" w:rsidRPr="00B30D13">
        <w:rPr>
          <w:sz w:val="22"/>
          <w:szCs w:val="22"/>
        </w:rPr>
        <w:t>increases.</w:t>
      </w:r>
      <w:r w:rsidR="00B30D13">
        <w:rPr>
          <w:sz w:val="22"/>
          <w:szCs w:val="22"/>
        </w:rPr>
        <w:t xml:space="preserve"> Second, t</w:t>
      </w:r>
      <w:r w:rsidR="00B30D13" w:rsidRPr="00B30D13">
        <w:rPr>
          <w:sz w:val="22"/>
          <w:szCs w:val="22"/>
        </w:rPr>
        <w:t>he company has</w:t>
      </w:r>
      <w:r w:rsidR="001430DF">
        <w:rPr>
          <w:sz w:val="22"/>
          <w:szCs w:val="22"/>
        </w:rPr>
        <w:t xml:space="preserve"> a relative predictable earnings and dividend stream. It has</w:t>
      </w:r>
      <w:r w:rsidR="00B30D13" w:rsidRPr="00B30D13">
        <w:rPr>
          <w:sz w:val="22"/>
          <w:szCs w:val="22"/>
        </w:rPr>
        <w:t xml:space="preserve"> raised</w:t>
      </w:r>
      <w:r w:rsidR="00B30D13">
        <w:rPr>
          <w:sz w:val="22"/>
          <w:szCs w:val="22"/>
        </w:rPr>
        <w:t xml:space="preserve"> </w:t>
      </w:r>
      <w:r w:rsidR="00B30D13" w:rsidRPr="00B30D13">
        <w:rPr>
          <w:sz w:val="22"/>
          <w:szCs w:val="22"/>
        </w:rPr>
        <w:t>its divi</w:t>
      </w:r>
      <w:r w:rsidR="00B30D13">
        <w:rPr>
          <w:sz w:val="22"/>
          <w:szCs w:val="22"/>
        </w:rPr>
        <w:t>dend 11 consecutive years and analysts</w:t>
      </w:r>
      <w:r w:rsidR="00B30D13" w:rsidRPr="00B30D13">
        <w:rPr>
          <w:sz w:val="22"/>
          <w:szCs w:val="22"/>
        </w:rPr>
        <w:t xml:space="preserve"> expect 4% annual growth</w:t>
      </w:r>
      <w:r w:rsidR="00B30D13">
        <w:rPr>
          <w:sz w:val="22"/>
          <w:szCs w:val="22"/>
        </w:rPr>
        <w:t xml:space="preserve"> through 2016</w:t>
      </w:r>
      <w:r w:rsidR="00B30D13" w:rsidRPr="00B30D13">
        <w:rPr>
          <w:sz w:val="22"/>
          <w:szCs w:val="22"/>
        </w:rPr>
        <w:t>.</w:t>
      </w:r>
      <w:r w:rsidR="00B30D13">
        <w:rPr>
          <w:sz w:val="22"/>
          <w:szCs w:val="22"/>
        </w:rPr>
        <w:t xml:space="preserve"> </w:t>
      </w:r>
      <w:r w:rsidR="001430DF">
        <w:rPr>
          <w:sz w:val="22"/>
          <w:szCs w:val="22"/>
        </w:rPr>
        <w:t xml:space="preserve">Its payout ratio has fluctuated between 69% and 86% over the last ten years. Southern Company targets its payout range from 70% to 75%. </w:t>
      </w:r>
      <w:r w:rsidR="00FD18C9">
        <w:rPr>
          <w:sz w:val="22"/>
          <w:szCs w:val="22"/>
        </w:rPr>
        <w:t>Third, population growth in Southern Company</w:t>
      </w:r>
      <w:r w:rsidR="00FD18C9" w:rsidRPr="00FD18C9">
        <w:rPr>
          <w:sz w:val="22"/>
          <w:szCs w:val="22"/>
        </w:rPr>
        <w:t>'s service territories has continued despite the economic</w:t>
      </w:r>
      <w:r w:rsidR="00FD18C9">
        <w:rPr>
          <w:sz w:val="22"/>
          <w:szCs w:val="22"/>
        </w:rPr>
        <w:t xml:space="preserve"> </w:t>
      </w:r>
      <w:r w:rsidR="00FD18C9" w:rsidRPr="00FD18C9">
        <w:rPr>
          <w:sz w:val="22"/>
          <w:szCs w:val="22"/>
        </w:rPr>
        <w:t>slowdown. New customers are a cheap and easy way for a regulated utility to grow.</w:t>
      </w:r>
      <w:r w:rsidR="00FD18C9">
        <w:rPr>
          <w:sz w:val="22"/>
          <w:szCs w:val="22"/>
        </w:rPr>
        <w:t xml:space="preserve"> Among regions, the South has the highest population growth rate in the last ten years. From 2000 to 2010, the South’s population growth rate is 14.3%. Georgia and Florida, two of Southern Company</w:t>
      </w:r>
      <w:r w:rsidR="00FD18C9" w:rsidRPr="00FD18C9">
        <w:rPr>
          <w:sz w:val="22"/>
          <w:szCs w:val="22"/>
        </w:rPr>
        <w:t>'s service territories</w:t>
      </w:r>
      <w:r w:rsidR="00FD18C9">
        <w:rPr>
          <w:sz w:val="22"/>
          <w:szCs w:val="22"/>
        </w:rPr>
        <w:t>, have very high population growth rate in the same period, 18.3% and 17.6%, respectively.</w:t>
      </w:r>
    </w:p>
    <w:p w:rsidR="002879DE" w:rsidRPr="00FA7C59" w:rsidRDefault="002879DE" w:rsidP="004874A0">
      <w:pPr>
        <w:pStyle w:val="NoSpacing"/>
        <w:jc w:val="both"/>
        <w:rPr>
          <w:rFonts w:ascii="Times New Roman" w:hAnsi="Times New Roman" w:cs="Times New Roman"/>
        </w:rPr>
      </w:pPr>
    </w:p>
    <w:p w:rsidR="002879DE" w:rsidRPr="00FA7C59" w:rsidRDefault="002879DE" w:rsidP="004874A0">
      <w:pPr>
        <w:jc w:val="both"/>
        <w:rPr>
          <w:rFonts w:ascii="Arial Black" w:eastAsiaTheme="minorHAnsi" w:hAnsi="Arial Black" w:cstheme="minorBidi"/>
          <w:color w:val="0F243E" w:themeColor="text2" w:themeShade="80"/>
          <w:sz w:val="22"/>
          <w:szCs w:val="22"/>
        </w:rPr>
      </w:pPr>
      <w:r w:rsidRPr="00FA7C59">
        <w:rPr>
          <w:rFonts w:ascii="Arial Black" w:eastAsiaTheme="minorHAnsi" w:hAnsi="Arial Black" w:cstheme="minorBidi"/>
          <w:color w:val="0F243E" w:themeColor="text2" w:themeShade="80"/>
          <w:sz w:val="22"/>
          <w:szCs w:val="22"/>
        </w:rPr>
        <w:t>Pros:</w:t>
      </w:r>
    </w:p>
    <w:p w:rsidR="00D475DC" w:rsidRP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2E64F3">
        <w:rPr>
          <w:sz w:val="22"/>
          <w:szCs w:val="22"/>
        </w:rPr>
        <w:t>Southern C</w:t>
      </w:r>
      <w:r w:rsidR="00E53AAC" w:rsidRPr="00E53AAC">
        <w:rPr>
          <w:sz w:val="22"/>
          <w:szCs w:val="22"/>
        </w:rPr>
        <w:t>ompany</w:t>
      </w:r>
      <w:r w:rsidR="00E53AAC" w:rsidRPr="009E1A7B">
        <w:rPr>
          <w:sz w:val="22"/>
          <w:szCs w:val="22"/>
        </w:rPr>
        <w:t xml:space="preserve"> </w:t>
      </w:r>
      <w:r w:rsidR="009E1A7B" w:rsidRPr="009E1A7B">
        <w:rPr>
          <w:sz w:val="22"/>
          <w:szCs w:val="22"/>
        </w:rPr>
        <w:t xml:space="preserve">has </w:t>
      </w:r>
      <w:r w:rsidR="009E1A7B">
        <w:rPr>
          <w:sz w:val="22"/>
          <w:szCs w:val="22"/>
        </w:rPr>
        <w:t>a positive relationship with regulators, t</w:t>
      </w:r>
      <w:r w:rsidR="009E1A7B" w:rsidRPr="009E1A7B">
        <w:rPr>
          <w:sz w:val="22"/>
          <w:szCs w:val="22"/>
        </w:rPr>
        <w:t>he essential ingredient for success at a regulated utility</w:t>
      </w:r>
      <w:r w:rsidR="004874A0">
        <w:rPr>
          <w:sz w:val="22"/>
          <w:szCs w:val="22"/>
        </w:rPr>
        <w:t>.</w:t>
      </w:r>
      <w:r w:rsidR="009E1A7B">
        <w:rPr>
          <w:sz w:val="22"/>
          <w:szCs w:val="22"/>
        </w:rPr>
        <w:t xml:space="preserve"> It</w:t>
      </w:r>
      <w:r w:rsidR="009E1A7B" w:rsidRPr="009E1A7B">
        <w:rPr>
          <w:sz w:val="22"/>
          <w:szCs w:val="22"/>
        </w:rPr>
        <w:t xml:space="preserve"> maintains an office and staff in Washington, D.C., to interact with Congress and with agencies. </w:t>
      </w:r>
      <w:r w:rsidR="009E1A7B">
        <w:rPr>
          <w:sz w:val="22"/>
          <w:szCs w:val="22"/>
        </w:rPr>
        <w:t>It</w:t>
      </w:r>
      <w:r w:rsidR="009E1A7B" w:rsidRPr="009E1A7B">
        <w:rPr>
          <w:sz w:val="22"/>
          <w:szCs w:val="22"/>
        </w:rPr>
        <w:t xml:space="preserve"> support</w:t>
      </w:r>
      <w:r w:rsidR="009E1A7B">
        <w:rPr>
          <w:sz w:val="22"/>
          <w:szCs w:val="22"/>
        </w:rPr>
        <w:t>s</w:t>
      </w:r>
      <w:r w:rsidR="009E1A7B" w:rsidRPr="009E1A7B">
        <w:rPr>
          <w:sz w:val="22"/>
          <w:szCs w:val="22"/>
        </w:rPr>
        <w:t xml:space="preserve"> a number of trade organizations that engage in lobbying activities. The total expense associated with operating </w:t>
      </w:r>
      <w:r w:rsidR="009E1A7B">
        <w:rPr>
          <w:sz w:val="22"/>
          <w:szCs w:val="22"/>
        </w:rPr>
        <w:t>its</w:t>
      </w:r>
      <w:r w:rsidR="009E1A7B" w:rsidRPr="009E1A7B">
        <w:rPr>
          <w:sz w:val="22"/>
          <w:szCs w:val="22"/>
        </w:rPr>
        <w:t xml:space="preserve"> federal affairs program is approximately $10 million annually. </w:t>
      </w:r>
      <w:r w:rsidR="009E1A7B">
        <w:rPr>
          <w:sz w:val="22"/>
          <w:szCs w:val="22"/>
        </w:rPr>
        <w:t>It</w:t>
      </w:r>
      <w:r w:rsidR="009E1A7B" w:rsidRPr="009E1A7B">
        <w:rPr>
          <w:sz w:val="22"/>
          <w:szCs w:val="22"/>
        </w:rPr>
        <w:t xml:space="preserve"> also work</w:t>
      </w:r>
      <w:r w:rsidR="009E1A7B">
        <w:rPr>
          <w:sz w:val="22"/>
          <w:szCs w:val="22"/>
        </w:rPr>
        <w:t>s</w:t>
      </w:r>
      <w:r w:rsidR="009E1A7B" w:rsidRPr="009E1A7B">
        <w:rPr>
          <w:sz w:val="22"/>
          <w:szCs w:val="22"/>
        </w:rPr>
        <w:t xml:space="preserve"> with state and local legislators and policymakers.</w:t>
      </w:r>
    </w:p>
    <w:p w:rsidR="00D475DC" w:rsidRPr="00D475DC" w:rsidRDefault="00D475DC" w:rsidP="00276DF8">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00276DF8">
        <w:rPr>
          <w:sz w:val="22"/>
          <w:szCs w:val="22"/>
        </w:rPr>
        <w:t xml:space="preserve">The </w:t>
      </w:r>
      <w:r w:rsidR="00276DF8" w:rsidRPr="00276DF8">
        <w:rPr>
          <w:sz w:val="22"/>
          <w:szCs w:val="22"/>
        </w:rPr>
        <w:t>region of the country served by Southern Company is undergoing significant growth, driven by population increases</w:t>
      </w:r>
      <w:r w:rsidR="004874A0">
        <w:rPr>
          <w:sz w:val="22"/>
          <w:szCs w:val="22"/>
        </w:rPr>
        <w:t xml:space="preserve">. </w:t>
      </w:r>
      <w:r w:rsidR="00276DF8" w:rsidRPr="00276DF8">
        <w:rPr>
          <w:sz w:val="22"/>
          <w:szCs w:val="22"/>
        </w:rPr>
        <w:t>The United States Census Bureau estimates that between the years 2000 and 2030, some 50% of the population growth in United States will occur in the region that the Census Bureau defines as the South, reaching from the mid-Atlantic to Texas.  The Southeast and the Southern Company's territory will enjoy its sh</w:t>
      </w:r>
      <w:r w:rsidR="00276DF8">
        <w:rPr>
          <w:sz w:val="22"/>
          <w:szCs w:val="22"/>
        </w:rPr>
        <w:t>are of that population growth.</w:t>
      </w:r>
    </w:p>
    <w:p w:rsidR="00D475DC" w:rsidRDefault="00D475DC" w:rsidP="004874A0">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00C71301">
        <w:rPr>
          <w:sz w:val="22"/>
          <w:szCs w:val="22"/>
        </w:rPr>
        <w:t>T</w:t>
      </w:r>
      <w:r w:rsidR="00C71301" w:rsidRPr="00B30D13">
        <w:rPr>
          <w:sz w:val="22"/>
          <w:szCs w:val="22"/>
        </w:rPr>
        <w:t>he company has</w:t>
      </w:r>
      <w:r w:rsidR="00C71301">
        <w:rPr>
          <w:sz w:val="22"/>
          <w:szCs w:val="22"/>
        </w:rPr>
        <w:t xml:space="preserve"> a relative predictable earnings and dividend stream. It has a strong and steady cash flow from its regulated electric utility operations, its solid balance sheet, and a generally supportive regulatory environment</w:t>
      </w:r>
      <w:r w:rsidR="00C71301" w:rsidRPr="00B30D13">
        <w:rPr>
          <w:sz w:val="22"/>
          <w:szCs w:val="22"/>
        </w:rPr>
        <w:t>.</w:t>
      </w:r>
    </w:p>
    <w:p w:rsidR="00651BBB" w:rsidRPr="00D475DC" w:rsidRDefault="00651BBB" w:rsidP="00C71301">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00C71301" w:rsidRPr="00C71301">
        <w:rPr>
          <w:sz w:val="22"/>
          <w:szCs w:val="22"/>
        </w:rPr>
        <w:t>The company's in-house engineering and construction expertise allows it to build plants</w:t>
      </w:r>
      <w:r w:rsidR="00C71301">
        <w:rPr>
          <w:sz w:val="22"/>
          <w:szCs w:val="22"/>
        </w:rPr>
        <w:t xml:space="preserve"> </w:t>
      </w:r>
      <w:r w:rsidR="00C71301" w:rsidRPr="00C71301">
        <w:rPr>
          <w:sz w:val="22"/>
          <w:szCs w:val="22"/>
        </w:rPr>
        <w:t>more cheaply than its peers and lowers maintenance and environmental compliance costs.</w:t>
      </w:r>
    </w:p>
    <w:p w:rsidR="00D475DC" w:rsidRPr="00D475DC" w:rsidRDefault="00D475DC" w:rsidP="00C71301">
      <w:pPr>
        <w:jc w:val="both"/>
        <w:rPr>
          <w:sz w:val="22"/>
          <w:szCs w:val="22"/>
        </w:rPr>
      </w:pPr>
      <w:r w:rsidRPr="00D475DC">
        <w:rPr>
          <w:rFonts w:ascii="Arial Black" w:eastAsiaTheme="minorHAnsi" w:hAnsi="Arial Black" w:cstheme="minorBidi"/>
          <w:color w:val="0F243E" w:themeColor="text2" w:themeShade="80"/>
          <w:sz w:val="22"/>
          <w:szCs w:val="22"/>
        </w:rPr>
        <w:t>•</w:t>
      </w:r>
      <w:r>
        <w:rPr>
          <w:sz w:val="22"/>
          <w:szCs w:val="22"/>
        </w:rPr>
        <w:t xml:space="preserve"> </w:t>
      </w:r>
      <w:r w:rsidR="00C71301" w:rsidRPr="00C71301">
        <w:rPr>
          <w:sz w:val="22"/>
          <w:szCs w:val="22"/>
        </w:rPr>
        <w:t>With an average contract du</w:t>
      </w:r>
      <w:r w:rsidR="00C71301">
        <w:rPr>
          <w:sz w:val="22"/>
          <w:szCs w:val="22"/>
        </w:rPr>
        <w:t>ration around 11 years, Southern</w:t>
      </w:r>
      <w:r w:rsidR="00C7317F">
        <w:rPr>
          <w:sz w:val="22"/>
          <w:szCs w:val="22"/>
        </w:rPr>
        <w:t xml:space="preserve"> Company</w:t>
      </w:r>
      <w:r w:rsidR="00C71301" w:rsidRPr="00C71301">
        <w:rPr>
          <w:sz w:val="22"/>
          <w:szCs w:val="22"/>
        </w:rPr>
        <w:t>'s merchant seg</w:t>
      </w:r>
      <w:r w:rsidR="00C71301">
        <w:rPr>
          <w:sz w:val="22"/>
          <w:szCs w:val="22"/>
        </w:rPr>
        <w:t xml:space="preserve">ment, </w:t>
      </w:r>
      <w:r w:rsidR="00C71301" w:rsidRPr="00C71301">
        <w:rPr>
          <w:sz w:val="22"/>
          <w:szCs w:val="22"/>
        </w:rPr>
        <w:t>Southern Power, has lower remarketing risk than most merchant power suppliers.</w:t>
      </w:r>
    </w:p>
    <w:p w:rsidR="00D475DC" w:rsidRPr="00D475DC" w:rsidRDefault="00D475DC" w:rsidP="00C7317F">
      <w:pPr>
        <w:jc w:val="both"/>
        <w:rPr>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C7317F">
        <w:rPr>
          <w:sz w:val="22"/>
          <w:szCs w:val="22"/>
        </w:rPr>
        <w:t>The company</w:t>
      </w:r>
      <w:r w:rsidR="00C7317F" w:rsidRPr="00C7317F">
        <w:rPr>
          <w:sz w:val="22"/>
          <w:szCs w:val="22"/>
        </w:rPr>
        <w:t>'s management team historically has comprised highly capable and conservative</w:t>
      </w:r>
      <w:r w:rsidR="00C7317F">
        <w:rPr>
          <w:sz w:val="22"/>
          <w:szCs w:val="22"/>
        </w:rPr>
        <w:t xml:space="preserve"> </w:t>
      </w:r>
      <w:r w:rsidR="00C7317F" w:rsidRPr="00C7317F">
        <w:rPr>
          <w:sz w:val="22"/>
          <w:szCs w:val="22"/>
        </w:rPr>
        <w:t>individuals. Many high-level executives running other utilities trace their roots to Southern</w:t>
      </w:r>
      <w:r w:rsidR="00C7317F">
        <w:rPr>
          <w:sz w:val="22"/>
          <w:szCs w:val="22"/>
        </w:rPr>
        <w:t xml:space="preserve"> Company</w:t>
      </w:r>
      <w:r w:rsidR="00C7317F" w:rsidRPr="00C7317F">
        <w:rPr>
          <w:sz w:val="22"/>
          <w:szCs w:val="22"/>
        </w:rPr>
        <w:t>.</w:t>
      </w:r>
      <w:r w:rsidR="00C7317F">
        <w:rPr>
          <w:sz w:val="22"/>
          <w:szCs w:val="22"/>
        </w:rPr>
        <w:t xml:space="preserve"> </w:t>
      </w:r>
      <w:r w:rsidR="00C7317F" w:rsidRPr="00C7317F">
        <w:rPr>
          <w:sz w:val="22"/>
          <w:szCs w:val="22"/>
        </w:rPr>
        <w:t>Management has fostered excellent regulatory relations in its service territory</w:t>
      </w:r>
      <w:r w:rsidR="00C7317F">
        <w:rPr>
          <w:sz w:val="22"/>
          <w:szCs w:val="22"/>
        </w:rPr>
        <w:t>.</w:t>
      </w:r>
    </w:p>
    <w:p w:rsidR="00D475DC" w:rsidRPr="00D475DC" w:rsidRDefault="00D475DC" w:rsidP="004874A0">
      <w:pPr>
        <w:jc w:val="both"/>
        <w:rPr>
          <w:sz w:val="22"/>
          <w:szCs w:val="22"/>
        </w:rPr>
      </w:pPr>
    </w:p>
    <w:p w:rsidR="00D5061C" w:rsidRPr="00D5061C" w:rsidRDefault="008C66B0" w:rsidP="00587556">
      <w:pPr>
        <w:jc w:val="both"/>
      </w:pPr>
      <w:r w:rsidRPr="00FA7C59">
        <w:rPr>
          <w:rFonts w:ascii="Arial Black" w:hAnsi="Arial Black"/>
          <w:color w:val="0F243E" w:themeColor="text2" w:themeShade="80"/>
        </w:rPr>
        <w:t>Industry Trends:</w:t>
      </w:r>
      <w:r>
        <w:rPr>
          <w:rFonts w:ascii="Arial Black" w:hAnsi="Arial Black"/>
        </w:rPr>
        <w:t xml:space="preserve">  </w:t>
      </w:r>
      <w:r w:rsidR="00843193" w:rsidRPr="00843193">
        <w:rPr>
          <w:rFonts w:eastAsiaTheme="minorHAnsi"/>
          <w:sz w:val="22"/>
          <w:szCs w:val="22"/>
        </w:rPr>
        <w:t>Electricity demand varies by customer sector.</w:t>
      </w:r>
      <w:r w:rsidR="00843193">
        <w:rPr>
          <w:rFonts w:ascii="Arial Black" w:hAnsi="Arial Black"/>
        </w:rPr>
        <w:t xml:space="preserve"> </w:t>
      </w:r>
      <w:r w:rsidR="00843193" w:rsidRPr="00843193">
        <w:rPr>
          <w:rFonts w:eastAsiaTheme="minorHAnsi"/>
          <w:sz w:val="22"/>
          <w:szCs w:val="22"/>
        </w:rPr>
        <w:t xml:space="preserve">While </w:t>
      </w:r>
      <w:r w:rsidR="00843193">
        <w:rPr>
          <w:rFonts w:eastAsiaTheme="minorHAnsi"/>
          <w:sz w:val="22"/>
          <w:szCs w:val="22"/>
        </w:rPr>
        <w:t xml:space="preserve">the demand growth of residential customers will remain mostly weather-related, demand from the commercial and industrial sector is dependent on the strength of the economy. </w:t>
      </w:r>
      <w:r w:rsidR="00131060">
        <w:rPr>
          <w:rFonts w:eastAsiaTheme="minorHAnsi"/>
          <w:sz w:val="22"/>
          <w:szCs w:val="22"/>
        </w:rPr>
        <w:t xml:space="preserve">The federal economic stimulus package </w:t>
      </w:r>
      <w:r w:rsidR="00472692">
        <w:rPr>
          <w:rFonts w:eastAsiaTheme="minorHAnsi"/>
          <w:sz w:val="22"/>
          <w:szCs w:val="22"/>
        </w:rPr>
        <w:t xml:space="preserve">supported renewable energy projects and smart grid projects to advance green technologies and move the nation to a far more efficient and reliable electric system. A self-regulating, electric reliability organization under the jurisdiction of the Federal Energy Regulatory Commission is established to address reliability issues highlighted by the power blackout of August 2003. Public Utility Holding Company Act of 1935 was repealed to pave the way for the entry of new non-utility domestic players into the industry and for additional acquisition activity by foreign companies. </w:t>
      </w:r>
      <w:r w:rsidR="00A20DE2">
        <w:rPr>
          <w:rFonts w:eastAsiaTheme="minorHAnsi"/>
          <w:sz w:val="22"/>
          <w:szCs w:val="22"/>
        </w:rPr>
        <w:t>Many states are examining the need to reform the cost-based framework.</w:t>
      </w:r>
    </w:p>
    <w:p w:rsidR="00FA7C59" w:rsidRPr="00FA7C59" w:rsidRDefault="00FA7C59" w:rsidP="004874A0">
      <w:pPr>
        <w:pStyle w:val="NoSpacing"/>
        <w:jc w:val="both"/>
        <w:rPr>
          <w:rFonts w:ascii="Times New Roman" w:hAnsi="Times New Roman" w:cs="Times New Roman"/>
        </w:rPr>
      </w:pPr>
    </w:p>
    <w:p w:rsidR="00D475DC" w:rsidRPr="0098676A" w:rsidRDefault="008C66B0" w:rsidP="00A20DE2">
      <w:pPr>
        <w:pStyle w:val="NoSpacing"/>
        <w:jc w:val="both"/>
        <w:rPr>
          <w:rFonts w:ascii="Times New Roman" w:hAnsi="Times New Roman" w:cs="Times New Roman"/>
        </w:rPr>
      </w:pPr>
      <w:r w:rsidRPr="00FA7C59">
        <w:rPr>
          <w:rFonts w:ascii="Arial Black" w:hAnsi="Arial Black"/>
          <w:color w:val="0F243E" w:themeColor="text2" w:themeShade="80"/>
        </w:rPr>
        <w:t xml:space="preserve">Business Summary:  </w:t>
      </w:r>
      <w:r w:rsidR="00A20DE2" w:rsidRPr="00A20DE2">
        <w:rPr>
          <w:rFonts w:ascii="Times New Roman" w:hAnsi="Times New Roman" w:cs="Times New Roman"/>
        </w:rPr>
        <w:t xml:space="preserve">Southern </w:t>
      </w:r>
      <w:r w:rsidR="00A20DE2">
        <w:rPr>
          <w:rFonts w:ascii="Times New Roman" w:hAnsi="Times New Roman" w:cs="Times New Roman"/>
        </w:rPr>
        <w:t xml:space="preserve">Company </w:t>
      </w:r>
      <w:r w:rsidR="00A20DE2" w:rsidRPr="00A20DE2">
        <w:rPr>
          <w:rFonts w:ascii="Times New Roman" w:hAnsi="Times New Roman" w:cs="Times New Roman"/>
        </w:rPr>
        <w:t>generates and distributes electricity to more than 4.4 million customers in the</w:t>
      </w:r>
      <w:r w:rsidR="00A20DE2">
        <w:rPr>
          <w:rFonts w:ascii="Times New Roman" w:hAnsi="Times New Roman" w:cs="Times New Roman"/>
        </w:rPr>
        <w:t xml:space="preserve"> </w:t>
      </w:r>
      <w:r w:rsidR="00A20DE2" w:rsidRPr="00A20DE2">
        <w:rPr>
          <w:rFonts w:ascii="Times New Roman" w:hAnsi="Times New Roman" w:cs="Times New Roman"/>
        </w:rPr>
        <w:t>Southeast. It owns four electric utilities in Alabama, Georgia, Florida, and Mississippi and</w:t>
      </w:r>
      <w:r w:rsidR="00A20DE2">
        <w:rPr>
          <w:rFonts w:ascii="Times New Roman" w:hAnsi="Times New Roman" w:cs="Times New Roman"/>
        </w:rPr>
        <w:t xml:space="preserve"> </w:t>
      </w:r>
      <w:r w:rsidR="00A20DE2" w:rsidRPr="00A20DE2">
        <w:rPr>
          <w:rFonts w:ascii="Times New Roman" w:hAnsi="Times New Roman" w:cs="Times New Roman"/>
        </w:rPr>
        <w:t>has more than 43,500 megawatts of generating capacity, the majority of which comes from</w:t>
      </w:r>
      <w:r w:rsidR="00A20DE2">
        <w:rPr>
          <w:rFonts w:ascii="Times New Roman" w:hAnsi="Times New Roman" w:cs="Times New Roman"/>
        </w:rPr>
        <w:t xml:space="preserve"> </w:t>
      </w:r>
      <w:r w:rsidR="00A20DE2" w:rsidRPr="00A20DE2">
        <w:rPr>
          <w:rFonts w:ascii="Times New Roman" w:hAnsi="Times New Roman" w:cs="Times New Roman"/>
        </w:rPr>
        <w:t xml:space="preserve">coal-fired plants. Southern </w:t>
      </w:r>
      <w:r w:rsidR="00A20DE2">
        <w:rPr>
          <w:rFonts w:ascii="Times New Roman" w:hAnsi="Times New Roman" w:cs="Times New Roman"/>
        </w:rPr>
        <w:t xml:space="preserve">Company </w:t>
      </w:r>
      <w:r w:rsidR="00A20DE2" w:rsidRPr="00A20DE2">
        <w:rPr>
          <w:rFonts w:ascii="Times New Roman" w:hAnsi="Times New Roman" w:cs="Times New Roman"/>
        </w:rPr>
        <w:t>also operates a conservative merchant generation segment,</w:t>
      </w:r>
      <w:r w:rsidR="00A20DE2">
        <w:rPr>
          <w:rFonts w:ascii="Times New Roman" w:hAnsi="Times New Roman" w:cs="Times New Roman"/>
        </w:rPr>
        <w:t xml:space="preserve"> </w:t>
      </w:r>
      <w:r w:rsidR="00A20DE2" w:rsidRPr="00A20DE2">
        <w:rPr>
          <w:rFonts w:ascii="Times New Roman" w:hAnsi="Times New Roman" w:cs="Times New Roman"/>
        </w:rPr>
        <w:t>Southern Power. Southern is one of the most widely held stocks in the United States.</w:t>
      </w:r>
    </w:p>
    <w:p w:rsidR="00587556" w:rsidRDefault="00587556" w:rsidP="004874A0">
      <w:pPr>
        <w:jc w:val="both"/>
        <w:rPr>
          <w:rFonts w:ascii="Arial Black" w:eastAsiaTheme="minorHAnsi" w:hAnsi="Arial Black" w:cstheme="minorBidi"/>
          <w:color w:val="0F243E" w:themeColor="text2" w:themeShade="80"/>
          <w:sz w:val="22"/>
          <w:szCs w:val="22"/>
        </w:rPr>
      </w:pPr>
    </w:p>
    <w:p w:rsidR="00C902B0" w:rsidRPr="005950CA" w:rsidRDefault="008C66B0" w:rsidP="005B2383">
      <w:pPr>
        <w:jc w:val="both"/>
        <w:rPr>
          <w:rFonts w:eastAsiaTheme="minorHAnsi"/>
          <w:sz w:val="22"/>
          <w:szCs w:val="22"/>
        </w:rPr>
      </w:pPr>
      <w:r w:rsidRPr="00FA7C59">
        <w:rPr>
          <w:rFonts w:ascii="Arial Black" w:eastAsiaTheme="minorHAnsi" w:hAnsi="Arial Black" w:cstheme="minorBidi"/>
          <w:color w:val="0F243E" w:themeColor="text2" w:themeShade="80"/>
          <w:sz w:val="22"/>
          <w:szCs w:val="22"/>
        </w:rPr>
        <w:t>Management Review:</w:t>
      </w:r>
      <w:r w:rsidR="00FA7C59">
        <w:rPr>
          <w:rFonts w:ascii="Arial Black" w:eastAsiaTheme="minorHAnsi" w:hAnsi="Arial Black" w:cstheme="minorBidi"/>
          <w:color w:val="0F243E" w:themeColor="text2" w:themeShade="80"/>
          <w:sz w:val="22"/>
          <w:szCs w:val="22"/>
        </w:rPr>
        <w:t xml:space="preserve">  </w:t>
      </w:r>
      <w:r w:rsidR="00670A11" w:rsidRPr="00670A11">
        <w:rPr>
          <w:rFonts w:eastAsiaTheme="minorHAnsi"/>
          <w:sz w:val="22"/>
          <w:szCs w:val="22"/>
        </w:rPr>
        <w:t>CEO Thomas Fanning</w:t>
      </w:r>
      <w:r w:rsidR="00670A11">
        <w:rPr>
          <w:rFonts w:eastAsiaTheme="minorHAnsi"/>
          <w:sz w:val="22"/>
          <w:szCs w:val="22"/>
        </w:rPr>
        <w:t xml:space="preserve"> </w:t>
      </w:r>
      <w:r w:rsidR="00670A11" w:rsidRPr="00670A11">
        <w:rPr>
          <w:rFonts w:eastAsiaTheme="minorHAnsi"/>
          <w:sz w:val="22"/>
          <w:szCs w:val="22"/>
        </w:rPr>
        <w:t>served as CFO and COO of Southern as part of his 30-year tenure with the company before</w:t>
      </w:r>
      <w:r w:rsidR="00670A11">
        <w:rPr>
          <w:rFonts w:eastAsiaTheme="minorHAnsi"/>
          <w:sz w:val="22"/>
          <w:szCs w:val="22"/>
        </w:rPr>
        <w:t xml:space="preserve"> </w:t>
      </w:r>
      <w:r w:rsidR="00670A11" w:rsidRPr="00670A11">
        <w:rPr>
          <w:rFonts w:eastAsiaTheme="minorHAnsi"/>
          <w:sz w:val="22"/>
          <w:szCs w:val="22"/>
        </w:rPr>
        <w:t>his promotion in late 2010. He has executive experience as well, having served as president</w:t>
      </w:r>
      <w:r w:rsidR="00670A11">
        <w:rPr>
          <w:rFonts w:eastAsiaTheme="minorHAnsi"/>
          <w:sz w:val="22"/>
          <w:szCs w:val="22"/>
        </w:rPr>
        <w:t xml:space="preserve"> </w:t>
      </w:r>
      <w:r w:rsidR="00670A11" w:rsidRPr="00670A11">
        <w:rPr>
          <w:rFonts w:eastAsiaTheme="minorHAnsi"/>
          <w:sz w:val="22"/>
          <w:szCs w:val="22"/>
        </w:rPr>
        <w:t>and CEO of Gulf Power. Southern doesn't appear to engage in aggressive accounting, and</w:t>
      </w:r>
      <w:r w:rsidR="00670A11">
        <w:rPr>
          <w:rFonts w:eastAsiaTheme="minorHAnsi"/>
          <w:sz w:val="22"/>
          <w:szCs w:val="22"/>
        </w:rPr>
        <w:t xml:space="preserve"> </w:t>
      </w:r>
      <w:r w:rsidR="00670A11" w:rsidRPr="00670A11">
        <w:rPr>
          <w:rFonts w:eastAsiaTheme="minorHAnsi"/>
          <w:sz w:val="22"/>
          <w:szCs w:val="22"/>
        </w:rPr>
        <w:t xml:space="preserve">executive compensation is </w:t>
      </w:r>
      <w:r w:rsidR="00D777E2">
        <w:rPr>
          <w:rFonts w:eastAsiaTheme="minorHAnsi"/>
          <w:sz w:val="22"/>
          <w:szCs w:val="22"/>
        </w:rPr>
        <w:t xml:space="preserve">targeted at the market median </w:t>
      </w:r>
      <w:r w:rsidR="00670A11" w:rsidRPr="00670A11">
        <w:rPr>
          <w:rFonts w:eastAsiaTheme="minorHAnsi"/>
          <w:sz w:val="22"/>
          <w:szCs w:val="22"/>
        </w:rPr>
        <w:t xml:space="preserve">of its </w:t>
      </w:r>
      <w:r w:rsidR="00D777E2">
        <w:rPr>
          <w:rFonts w:eastAsiaTheme="minorHAnsi"/>
          <w:sz w:val="22"/>
          <w:szCs w:val="22"/>
        </w:rPr>
        <w:t xml:space="preserve">industry </w:t>
      </w:r>
      <w:r w:rsidR="00670A11" w:rsidRPr="00670A11">
        <w:rPr>
          <w:rFonts w:eastAsiaTheme="minorHAnsi"/>
          <w:sz w:val="22"/>
          <w:szCs w:val="22"/>
        </w:rPr>
        <w:t>peer. Former CEO David</w:t>
      </w:r>
      <w:r w:rsidR="00670A11">
        <w:rPr>
          <w:rFonts w:eastAsiaTheme="minorHAnsi"/>
          <w:sz w:val="22"/>
          <w:szCs w:val="22"/>
        </w:rPr>
        <w:t xml:space="preserve"> </w:t>
      </w:r>
      <w:r w:rsidR="00670A11" w:rsidRPr="00670A11">
        <w:rPr>
          <w:rFonts w:eastAsiaTheme="minorHAnsi"/>
          <w:sz w:val="22"/>
          <w:szCs w:val="22"/>
        </w:rPr>
        <w:t xml:space="preserve">Ratcliffe received $16 million of total compensation during 2010. </w:t>
      </w:r>
      <w:r w:rsidR="00A31C30">
        <w:rPr>
          <w:rFonts w:eastAsiaTheme="minorHAnsi"/>
          <w:sz w:val="22"/>
          <w:szCs w:val="22"/>
        </w:rPr>
        <w:t>T</w:t>
      </w:r>
      <w:r w:rsidR="00670A11" w:rsidRPr="00670A11">
        <w:rPr>
          <w:rFonts w:eastAsiaTheme="minorHAnsi"/>
          <w:sz w:val="22"/>
          <w:szCs w:val="22"/>
        </w:rPr>
        <w:t>his was</w:t>
      </w:r>
      <w:r w:rsidR="00670A11">
        <w:rPr>
          <w:rFonts w:eastAsiaTheme="minorHAnsi"/>
          <w:sz w:val="22"/>
          <w:szCs w:val="22"/>
        </w:rPr>
        <w:t xml:space="preserve"> </w:t>
      </w:r>
      <w:r w:rsidR="00670A11" w:rsidRPr="00670A11">
        <w:rPr>
          <w:rFonts w:eastAsiaTheme="minorHAnsi"/>
          <w:sz w:val="22"/>
          <w:szCs w:val="22"/>
        </w:rPr>
        <w:t>largely tied to his performance-based bonus, equity awards, and other long-term</w:t>
      </w:r>
      <w:r w:rsidR="00670A11">
        <w:rPr>
          <w:rFonts w:eastAsiaTheme="minorHAnsi"/>
          <w:sz w:val="22"/>
          <w:szCs w:val="22"/>
        </w:rPr>
        <w:t xml:space="preserve"> </w:t>
      </w:r>
      <w:r w:rsidR="00670A11" w:rsidRPr="00670A11">
        <w:rPr>
          <w:rFonts w:eastAsiaTheme="minorHAnsi"/>
          <w:sz w:val="22"/>
          <w:szCs w:val="22"/>
        </w:rPr>
        <w:t>compensation. More importantly, management has maintained a focus on preserving</w:t>
      </w:r>
      <w:r w:rsidR="00670A11">
        <w:rPr>
          <w:rFonts w:eastAsiaTheme="minorHAnsi"/>
          <w:sz w:val="22"/>
          <w:szCs w:val="22"/>
        </w:rPr>
        <w:t xml:space="preserve"> </w:t>
      </w:r>
      <w:r w:rsidR="00670A11" w:rsidRPr="00670A11">
        <w:rPr>
          <w:rFonts w:eastAsiaTheme="minorHAnsi"/>
          <w:sz w:val="22"/>
          <w:szCs w:val="22"/>
        </w:rPr>
        <w:t>goodwill and constructive exchange between its utilities and its state regulators, which is a crucial driver of utility returns over the long run.</w:t>
      </w:r>
      <w:r w:rsidR="005950CA">
        <w:rPr>
          <w:rFonts w:eastAsiaTheme="minorHAnsi"/>
          <w:sz w:val="22"/>
          <w:szCs w:val="22"/>
        </w:rPr>
        <w:t xml:space="preserve"> </w:t>
      </w:r>
    </w:p>
    <w:p w:rsidR="0098676A" w:rsidRDefault="0098676A" w:rsidP="004874A0">
      <w:pPr>
        <w:jc w:val="both"/>
        <w:rPr>
          <w:rFonts w:eastAsiaTheme="minorHAnsi"/>
          <w:sz w:val="22"/>
          <w:szCs w:val="22"/>
        </w:rPr>
      </w:pPr>
    </w:p>
    <w:p w:rsidR="00FD4724" w:rsidRDefault="002428FA" w:rsidP="004874A0">
      <w:pPr>
        <w:pStyle w:val="NoSpacing"/>
        <w:jc w:val="both"/>
        <w:rPr>
          <w:rFonts w:ascii="Times New Roman" w:hAnsi="Times New Roman" w:cs="Times New Roman"/>
        </w:rPr>
      </w:pPr>
      <w:r>
        <w:rPr>
          <w:rFonts w:ascii="Arial Black" w:hAnsi="Arial Black"/>
          <w:color w:val="0F243E" w:themeColor="text2" w:themeShade="80"/>
        </w:rPr>
        <w:t>Financial Trend Analysis:</w:t>
      </w:r>
      <w:r w:rsidR="002879DE">
        <w:rPr>
          <w:color w:val="0F243E" w:themeColor="text2" w:themeShade="80"/>
        </w:rPr>
        <w:t xml:space="preserve">  </w:t>
      </w:r>
      <w:r w:rsidR="00FD4724">
        <w:rPr>
          <w:rFonts w:ascii="Times New Roman" w:hAnsi="Times New Roman" w:cs="Times New Roman"/>
        </w:rPr>
        <w:t xml:space="preserve">Revenue </w:t>
      </w:r>
      <w:r w:rsidR="009E20F0">
        <w:rPr>
          <w:rFonts w:ascii="Times New Roman" w:hAnsi="Times New Roman" w:cs="Times New Roman"/>
        </w:rPr>
        <w:t>of an electricity utility company fluctuates with the weather condition and macroeconomic condition. O</w:t>
      </w:r>
      <w:r w:rsidR="00FD4724">
        <w:rPr>
          <w:rFonts w:ascii="Times New Roman" w:hAnsi="Times New Roman" w:cs="Times New Roman"/>
        </w:rPr>
        <w:t xml:space="preserve">ver the </w:t>
      </w:r>
      <w:r w:rsidR="009E20F0">
        <w:rPr>
          <w:rFonts w:ascii="Times New Roman" w:hAnsi="Times New Roman" w:cs="Times New Roman"/>
        </w:rPr>
        <w:t>last</w:t>
      </w:r>
      <w:r w:rsidR="00FD4724">
        <w:rPr>
          <w:rFonts w:ascii="Times New Roman" w:hAnsi="Times New Roman" w:cs="Times New Roman"/>
        </w:rPr>
        <w:t xml:space="preserve"> five years</w:t>
      </w:r>
      <w:r w:rsidR="009E20F0">
        <w:rPr>
          <w:rFonts w:ascii="Times New Roman" w:hAnsi="Times New Roman" w:cs="Times New Roman"/>
        </w:rPr>
        <w:t>,</w:t>
      </w:r>
      <w:r w:rsidR="00FD4724">
        <w:rPr>
          <w:rFonts w:ascii="Times New Roman" w:hAnsi="Times New Roman" w:cs="Times New Roman"/>
        </w:rPr>
        <w:t xml:space="preserve"> </w:t>
      </w:r>
      <w:r w:rsidR="009E20F0">
        <w:rPr>
          <w:rFonts w:ascii="Times New Roman" w:hAnsi="Times New Roman" w:cs="Times New Roman"/>
        </w:rPr>
        <w:t>Southern Company’s</w:t>
      </w:r>
      <w:r w:rsidR="00FD4724">
        <w:rPr>
          <w:rFonts w:ascii="Times New Roman" w:hAnsi="Times New Roman" w:cs="Times New Roman"/>
        </w:rPr>
        <w:t xml:space="preserve"> </w:t>
      </w:r>
      <w:r w:rsidR="009E20F0">
        <w:rPr>
          <w:rFonts w:ascii="Times New Roman" w:hAnsi="Times New Roman" w:cs="Times New Roman"/>
        </w:rPr>
        <w:t>r</w:t>
      </w:r>
      <w:r w:rsidR="005F5797">
        <w:rPr>
          <w:rFonts w:ascii="Times New Roman" w:hAnsi="Times New Roman" w:cs="Times New Roman"/>
        </w:rPr>
        <w:t>evenue has been up from 2006 to 200</w:t>
      </w:r>
      <w:r w:rsidR="009E20F0">
        <w:rPr>
          <w:rFonts w:ascii="Times New Roman" w:hAnsi="Times New Roman" w:cs="Times New Roman"/>
        </w:rPr>
        <w:t>8</w:t>
      </w:r>
      <w:r w:rsidR="005F5797">
        <w:rPr>
          <w:rFonts w:ascii="Times New Roman" w:hAnsi="Times New Roman" w:cs="Times New Roman"/>
        </w:rPr>
        <w:t>, down in 20</w:t>
      </w:r>
      <w:r w:rsidR="009E20F0">
        <w:rPr>
          <w:rFonts w:ascii="Times New Roman" w:hAnsi="Times New Roman" w:cs="Times New Roman"/>
        </w:rPr>
        <w:t>09</w:t>
      </w:r>
      <w:r w:rsidR="005F5797">
        <w:rPr>
          <w:rFonts w:ascii="Times New Roman" w:hAnsi="Times New Roman" w:cs="Times New Roman"/>
        </w:rPr>
        <w:t>, and up again in 201</w:t>
      </w:r>
      <w:r w:rsidR="009E20F0">
        <w:rPr>
          <w:rFonts w:ascii="Times New Roman" w:hAnsi="Times New Roman" w:cs="Times New Roman"/>
        </w:rPr>
        <w:t>0</w:t>
      </w:r>
      <w:r w:rsidR="00265684">
        <w:rPr>
          <w:rFonts w:ascii="Times New Roman" w:hAnsi="Times New Roman" w:cs="Times New Roman"/>
        </w:rPr>
        <w:t xml:space="preserve"> and 201</w:t>
      </w:r>
      <w:r w:rsidR="009E20F0">
        <w:rPr>
          <w:rFonts w:ascii="Times New Roman" w:hAnsi="Times New Roman" w:cs="Times New Roman"/>
        </w:rPr>
        <w:t>1</w:t>
      </w:r>
      <w:r w:rsidR="00265684">
        <w:rPr>
          <w:rFonts w:ascii="Times New Roman" w:hAnsi="Times New Roman" w:cs="Times New Roman"/>
        </w:rPr>
        <w:t>. G</w:t>
      </w:r>
      <w:r w:rsidR="009E20F0">
        <w:rPr>
          <w:rFonts w:ascii="Times New Roman" w:hAnsi="Times New Roman" w:cs="Times New Roman"/>
        </w:rPr>
        <w:t xml:space="preserve">ross margin has hinged around </w:t>
      </w:r>
      <w:r w:rsidR="008C77DE">
        <w:rPr>
          <w:rFonts w:ascii="Times New Roman" w:hAnsi="Times New Roman" w:cs="Times New Roman"/>
        </w:rPr>
        <w:t>5</w:t>
      </w:r>
      <w:r w:rsidR="009E20F0">
        <w:rPr>
          <w:rFonts w:ascii="Times New Roman" w:hAnsi="Times New Roman" w:cs="Times New Roman"/>
        </w:rPr>
        <w:t>0</w:t>
      </w:r>
      <w:r w:rsidR="00265684">
        <w:rPr>
          <w:rFonts w:ascii="Times New Roman" w:hAnsi="Times New Roman" w:cs="Times New Roman"/>
        </w:rPr>
        <w:t xml:space="preserve">% of sales. Selling, general and administrative expense has accounted for a </w:t>
      </w:r>
      <w:r w:rsidR="009E20F0">
        <w:rPr>
          <w:rFonts w:ascii="Times New Roman" w:hAnsi="Times New Roman" w:cs="Times New Roman"/>
        </w:rPr>
        <w:t>de</w:t>
      </w:r>
      <w:r w:rsidR="00265684">
        <w:rPr>
          <w:rFonts w:ascii="Times New Roman" w:hAnsi="Times New Roman" w:cs="Times New Roman"/>
        </w:rPr>
        <w:t>creasing portion in income statement</w:t>
      </w:r>
      <w:r w:rsidR="00957F04">
        <w:rPr>
          <w:rFonts w:ascii="Times New Roman" w:hAnsi="Times New Roman" w:cs="Times New Roman"/>
        </w:rPr>
        <w:t xml:space="preserve">. It has </w:t>
      </w:r>
      <w:r w:rsidR="009E20F0">
        <w:rPr>
          <w:rFonts w:ascii="Times New Roman" w:hAnsi="Times New Roman" w:cs="Times New Roman"/>
        </w:rPr>
        <w:t>decreased</w:t>
      </w:r>
      <w:r w:rsidR="00957F04">
        <w:rPr>
          <w:rFonts w:ascii="Times New Roman" w:hAnsi="Times New Roman" w:cs="Times New Roman"/>
        </w:rPr>
        <w:t xml:space="preserve"> from 23</w:t>
      </w:r>
      <w:r w:rsidR="009E20F0">
        <w:rPr>
          <w:rFonts w:ascii="Times New Roman" w:hAnsi="Times New Roman" w:cs="Times New Roman"/>
        </w:rPr>
        <w:t>.9</w:t>
      </w:r>
      <w:r w:rsidR="00957F04">
        <w:rPr>
          <w:rFonts w:ascii="Times New Roman" w:hAnsi="Times New Roman" w:cs="Times New Roman"/>
        </w:rPr>
        <w:t>% of sales in 200</w:t>
      </w:r>
      <w:r w:rsidR="009E20F0">
        <w:rPr>
          <w:rFonts w:ascii="Times New Roman" w:hAnsi="Times New Roman" w:cs="Times New Roman"/>
        </w:rPr>
        <w:t>7</w:t>
      </w:r>
      <w:r w:rsidR="00957F04">
        <w:rPr>
          <w:rFonts w:ascii="Times New Roman" w:hAnsi="Times New Roman" w:cs="Times New Roman"/>
        </w:rPr>
        <w:t xml:space="preserve"> to </w:t>
      </w:r>
      <w:r w:rsidR="009E20F0">
        <w:rPr>
          <w:rFonts w:ascii="Times New Roman" w:hAnsi="Times New Roman" w:cs="Times New Roman"/>
        </w:rPr>
        <w:t>2</w:t>
      </w:r>
      <w:r w:rsidR="00957F04">
        <w:rPr>
          <w:rFonts w:ascii="Times New Roman" w:hAnsi="Times New Roman" w:cs="Times New Roman"/>
        </w:rPr>
        <w:t xml:space="preserve">2.3% of sales in 2011. As a result, operating margin has </w:t>
      </w:r>
      <w:r w:rsidR="009E20F0">
        <w:rPr>
          <w:rFonts w:ascii="Times New Roman" w:hAnsi="Times New Roman" w:cs="Times New Roman"/>
        </w:rPr>
        <w:t>in</w:t>
      </w:r>
      <w:r w:rsidR="00957F04">
        <w:rPr>
          <w:rFonts w:ascii="Times New Roman" w:hAnsi="Times New Roman" w:cs="Times New Roman"/>
        </w:rPr>
        <w:t xml:space="preserve">creased from </w:t>
      </w:r>
      <w:r w:rsidR="009E20F0">
        <w:rPr>
          <w:rFonts w:ascii="Times New Roman" w:hAnsi="Times New Roman" w:cs="Times New Roman"/>
        </w:rPr>
        <w:t>21</w:t>
      </w:r>
      <w:r w:rsidR="00957F04">
        <w:rPr>
          <w:rFonts w:ascii="Times New Roman" w:hAnsi="Times New Roman" w:cs="Times New Roman"/>
        </w:rPr>
        <w:t>.</w:t>
      </w:r>
      <w:r w:rsidR="009E20F0">
        <w:rPr>
          <w:rFonts w:ascii="Times New Roman" w:hAnsi="Times New Roman" w:cs="Times New Roman"/>
        </w:rPr>
        <w:t>66</w:t>
      </w:r>
      <w:r w:rsidR="00957F04">
        <w:rPr>
          <w:rFonts w:ascii="Times New Roman" w:hAnsi="Times New Roman" w:cs="Times New Roman"/>
        </w:rPr>
        <w:t>% of sales in 200</w:t>
      </w:r>
      <w:r w:rsidR="009E20F0">
        <w:rPr>
          <w:rFonts w:ascii="Times New Roman" w:hAnsi="Times New Roman" w:cs="Times New Roman"/>
        </w:rPr>
        <w:t>7</w:t>
      </w:r>
      <w:r w:rsidR="00957F04">
        <w:rPr>
          <w:rFonts w:ascii="Times New Roman" w:hAnsi="Times New Roman" w:cs="Times New Roman"/>
        </w:rPr>
        <w:t xml:space="preserve"> to </w:t>
      </w:r>
      <w:r w:rsidR="009E20F0">
        <w:rPr>
          <w:rFonts w:ascii="Times New Roman" w:hAnsi="Times New Roman" w:cs="Times New Roman"/>
        </w:rPr>
        <w:t>24</w:t>
      </w:r>
      <w:r w:rsidR="00957F04">
        <w:rPr>
          <w:rFonts w:ascii="Times New Roman" w:hAnsi="Times New Roman" w:cs="Times New Roman"/>
        </w:rPr>
        <w:t xml:space="preserve">% of sales in 2011. </w:t>
      </w:r>
      <w:r w:rsidR="002D7ACF">
        <w:rPr>
          <w:rFonts w:ascii="Times New Roman" w:hAnsi="Times New Roman" w:cs="Times New Roman"/>
        </w:rPr>
        <w:t>However, r</w:t>
      </w:r>
      <w:r w:rsidR="00957F04" w:rsidRPr="005950CA">
        <w:rPr>
          <w:rFonts w:ascii="Times New Roman" w:hAnsi="Times New Roman" w:cs="Times New Roman"/>
        </w:rPr>
        <w:t xml:space="preserve">eturns on equity and total capital are </w:t>
      </w:r>
      <w:r w:rsidR="002D7ACF">
        <w:rPr>
          <w:rFonts w:ascii="Times New Roman" w:hAnsi="Times New Roman" w:cs="Times New Roman"/>
        </w:rPr>
        <w:t>slightly decreasing every year because the growth rate of equity and total capital is higher than the growth rate of operating margin</w:t>
      </w:r>
      <w:r w:rsidR="00957F04" w:rsidRPr="005950CA">
        <w:rPr>
          <w:rFonts w:ascii="Times New Roman" w:hAnsi="Times New Roman" w:cs="Times New Roman"/>
        </w:rPr>
        <w:t>.</w:t>
      </w:r>
      <w:r w:rsidR="00957F04">
        <w:rPr>
          <w:rFonts w:ascii="Times New Roman" w:hAnsi="Times New Roman" w:cs="Times New Roman"/>
        </w:rPr>
        <w:t xml:space="preserve"> Assets turnover is approximately </w:t>
      </w:r>
      <w:r w:rsidR="002D7ACF">
        <w:rPr>
          <w:rFonts w:ascii="Times New Roman" w:hAnsi="Times New Roman" w:cs="Times New Roman"/>
        </w:rPr>
        <w:t>30</w:t>
      </w:r>
      <w:r w:rsidR="00957F04">
        <w:rPr>
          <w:rFonts w:ascii="Times New Roman" w:hAnsi="Times New Roman" w:cs="Times New Roman"/>
        </w:rPr>
        <w:t xml:space="preserve">% in average over the last five years. </w:t>
      </w:r>
      <w:r w:rsidR="00855768">
        <w:rPr>
          <w:rFonts w:ascii="Times New Roman" w:hAnsi="Times New Roman" w:cs="Times New Roman"/>
        </w:rPr>
        <w:t>Debt</w:t>
      </w:r>
      <w:r w:rsidR="00957F04">
        <w:rPr>
          <w:rFonts w:ascii="Times New Roman" w:hAnsi="Times New Roman" w:cs="Times New Roman"/>
        </w:rPr>
        <w:t xml:space="preserve">/Equity ratio </w:t>
      </w:r>
      <w:r w:rsidR="00855768">
        <w:rPr>
          <w:rFonts w:ascii="Times New Roman" w:hAnsi="Times New Roman" w:cs="Times New Roman"/>
        </w:rPr>
        <w:t xml:space="preserve">and Debt/Capital ratio </w:t>
      </w:r>
      <w:r w:rsidR="00957F04">
        <w:rPr>
          <w:rFonts w:ascii="Times New Roman" w:hAnsi="Times New Roman" w:cs="Times New Roman"/>
        </w:rPr>
        <w:t>ha</w:t>
      </w:r>
      <w:r w:rsidR="00855768">
        <w:rPr>
          <w:rFonts w:ascii="Times New Roman" w:hAnsi="Times New Roman" w:cs="Times New Roman"/>
        </w:rPr>
        <w:t>ve</w:t>
      </w:r>
      <w:r w:rsidR="00957F04">
        <w:rPr>
          <w:rFonts w:ascii="Times New Roman" w:hAnsi="Times New Roman" w:cs="Times New Roman"/>
        </w:rPr>
        <w:t xml:space="preserve"> </w:t>
      </w:r>
      <w:r w:rsidR="00855768">
        <w:rPr>
          <w:rFonts w:ascii="Times New Roman" w:hAnsi="Times New Roman" w:cs="Times New Roman"/>
        </w:rPr>
        <w:t>de</w:t>
      </w:r>
      <w:r w:rsidR="00957F04">
        <w:rPr>
          <w:rFonts w:ascii="Times New Roman" w:hAnsi="Times New Roman" w:cs="Times New Roman"/>
        </w:rPr>
        <w:t>creased</w:t>
      </w:r>
      <w:r w:rsidR="00855768">
        <w:rPr>
          <w:rFonts w:ascii="Times New Roman" w:hAnsi="Times New Roman" w:cs="Times New Roman"/>
        </w:rPr>
        <w:t xml:space="preserve"> </w:t>
      </w:r>
      <w:r w:rsidR="009F5DB1">
        <w:rPr>
          <w:rFonts w:ascii="Times New Roman" w:hAnsi="Times New Roman" w:cs="Times New Roman"/>
        </w:rPr>
        <w:t xml:space="preserve">over </w:t>
      </w:r>
      <w:r w:rsidR="00855768">
        <w:rPr>
          <w:rFonts w:ascii="Times New Roman" w:hAnsi="Times New Roman" w:cs="Times New Roman"/>
        </w:rPr>
        <w:t>year</w:t>
      </w:r>
      <w:r w:rsidR="009F5DB1">
        <w:rPr>
          <w:rFonts w:ascii="Times New Roman" w:hAnsi="Times New Roman" w:cs="Times New Roman"/>
        </w:rPr>
        <w:t>s</w:t>
      </w:r>
      <w:r w:rsidR="00855768">
        <w:rPr>
          <w:rFonts w:ascii="Times New Roman" w:hAnsi="Times New Roman" w:cs="Times New Roman"/>
        </w:rPr>
        <w:t>.</w:t>
      </w:r>
      <w:r w:rsidR="00957F04">
        <w:rPr>
          <w:rFonts w:ascii="Times New Roman" w:hAnsi="Times New Roman" w:cs="Times New Roman"/>
        </w:rPr>
        <w:t xml:space="preserve"> </w:t>
      </w:r>
      <w:r w:rsidR="00855768">
        <w:rPr>
          <w:rFonts w:ascii="Times New Roman" w:hAnsi="Times New Roman" w:cs="Times New Roman"/>
        </w:rPr>
        <w:t xml:space="preserve">Current ratio is </w:t>
      </w:r>
      <w:r w:rsidR="009F5DB1">
        <w:rPr>
          <w:rFonts w:ascii="Times New Roman" w:hAnsi="Times New Roman" w:cs="Times New Roman"/>
        </w:rPr>
        <w:t xml:space="preserve">up and down, fluctuating from </w:t>
      </w:r>
      <w:r w:rsidR="00855768">
        <w:rPr>
          <w:rFonts w:ascii="Times New Roman" w:hAnsi="Times New Roman" w:cs="Times New Roman"/>
        </w:rPr>
        <w:t>0.</w:t>
      </w:r>
      <w:r w:rsidR="002D7ACF">
        <w:rPr>
          <w:rFonts w:ascii="Times New Roman" w:hAnsi="Times New Roman" w:cs="Times New Roman"/>
        </w:rPr>
        <w:t>95</w:t>
      </w:r>
      <w:r w:rsidR="009F5DB1">
        <w:rPr>
          <w:rFonts w:ascii="Times New Roman" w:hAnsi="Times New Roman" w:cs="Times New Roman"/>
        </w:rPr>
        <w:t xml:space="preserve"> to 1</w:t>
      </w:r>
      <w:r w:rsidR="002D7ACF">
        <w:rPr>
          <w:rFonts w:ascii="Times New Roman" w:hAnsi="Times New Roman" w:cs="Times New Roman"/>
        </w:rPr>
        <w:t>.05</w:t>
      </w:r>
      <w:r w:rsidR="00855768">
        <w:rPr>
          <w:rFonts w:ascii="Times New Roman" w:hAnsi="Times New Roman" w:cs="Times New Roman"/>
        </w:rPr>
        <w:t xml:space="preserve"> for the last 5 year period. </w:t>
      </w:r>
      <w:r w:rsidR="009F5DB1">
        <w:rPr>
          <w:rFonts w:ascii="Times New Roman" w:hAnsi="Times New Roman" w:cs="Times New Roman"/>
        </w:rPr>
        <w:t xml:space="preserve">Interest coverage has ranged from </w:t>
      </w:r>
      <w:r w:rsidR="002D7ACF">
        <w:rPr>
          <w:rFonts w:ascii="Times New Roman" w:hAnsi="Times New Roman" w:cs="Times New Roman"/>
        </w:rPr>
        <w:t>3</w:t>
      </w:r>
      <w:r w:rsidR="009F5DB1">
        <w:rPr>
          <w:rFonts w:ascii="Times New Roman" w:hAnsi="Times New Roman" w:cs="Times New Roman"/>
        </w:rPr>
        <w:t xml:space="preserve">.6 times to </w:t>
      </w:r>
      <w:r w:rsidR="002D7ACF">
        <w:rPr>
          <w:rFonts w:ascii="Times New Roman" w:hAnsi="Times New Roman" w:cs="Times New Roman"/>
        </w:rPr>
        <w:t>4.9</w:t>
      </w:r>
      <w:r w:rsidR="009F5DB1">
        <w:rPr>
          <w:rFonts w:ascii="Times New Roman" w:hAnsi="Times New Roman" w:cs="Times New Roman"/>
        </w:rPr>
        <w:t xml:space="preserve"> times over the same period due to the volatile annual interest expense.</w:t>
      </w:r>
    </w:p>
    <w:p w:rsidR="00957F04" w:rsidRDefault="00957F04" w:rsidP="004874A0">
      <w:pPr>
        <w:pStyle w:val="NoSpacing"/>
        <w:jc w:val="both"/>
        <w:rPr>
          <w:rFonts w:ascii="Times New Roman" w:hAnsi="Times New Roman" w:cs="Times New Roman"/>
        </w:rPr>
      </w:pPr>
    </w:p>
    <w:p w:rsidR="00106C06" w:rsidRDefault="00C902B0" w:rsidP="00A95D96">
      <w:pPr>
        <w:jc w:val="both"/>
        <w:rPr>
          <w:rFonts w:eastAsiaTheme="minorHAnsi"/>
          <w:sz w:val="22"/>
          <w:szCs w:val="22"/>
        </w:rPr>
      </w:pPr>
      <w:r w:rsidRPr="00C902B0">
        <w:rPr>
          <w:rFonts w:ascii="Arial Black" w:eastAsiaTheme="minorHAnsi" w:hAnsi="Arial Black" w:cstheme="minorBidi"/>
          <w:color w:val="0F243E" w:themeColor="text2" w:themeShade="80"/>
          <w:sz w:val="22"/>
          <w:szCs w:val="22"/>
        </w:rPr>
        <w:t>Financial Health:</w:t>
      </w:r>
      <w:r w:rsidR="002428FA">
        <w:rPr>
          <w:rFonts w:ascii="Arial Black" w:eastAsiaTheme="minorHAnsi" w:hAnsi="Arial Black" w:cstheme="minorBidi"/>
          <w:color w:val="0F243E" w:themeColor="text2" w:themeShade="80"/>
          <w:sz w:val="22"/>
          <w:szCs w:val="22"/>
        </w:rPr>
        <w:t xml:space="preserve">  </w:t>
      </w:r>
      <w:r w:rsidR="008C77DE">
        <w:rPr>
          <w:rFonts w:eastAsiaTheme="minorHAnsi"/>
          <w:sz w:val="22"/>
          <w:szCs w:val="22"/>
        </w:rPr>
        <w:t>Like other industry peers, Southern Company spends tremendous amount in capital expenditures. It</w:t>
      </w:r>
      <w:r w:rsidR="008C77DE" w:rsidRPr="008C77DE">
        <w:rPr>
          <w:rFonts w:eastAsiaTheme="minorHAnsi"/>
          <w:sz w:val="22"/>
          <w:szCs w:val="22"/>
        </w:rPr>
        <w:t xml:space="preserve"> has projected capital expenditures of about $5.267 billion for 2012 (with</w:t>
      </w:r>
      <w:r w:rsidR="008C77DE">
        <w:rPr>
          <w:rFonts w:eastAsiaTheme="minorHAnsi"/>
          <w:sz w:val="22"/>
          <w:szCs w:val="22"/>
        </w:rPr>
        <w:t xml:space="preserve"> </w:t>
      </w:r>
      <w:r w:rsidR="008C77DE" w:rsidRPr="008C77DE">
        <w:rPr>
          <w:rFonts w:eastAsiaTheme="minorHAnsi"/>
          <w:sz w:val="22"/>
          <w:szCs w:val="22"/>
        </w:rPr>
        <w:t>$425 million targeted for environmental projects), $4.381 billion for 2013 ($405 million), and $4.341 billion for</w:t>
      </w:r>
      <w:r w:rsidR="008C77DE">
        <w:rPr>
          <w:rFonts w:eastAsiaTheme="minorHAnsi"/>
          <w:sz w:val="22"/>
          <w:szCs w:val="22"/>
        </w:rPr>
        <w:t xml:space="preserve"> </w:t>
      </w:r>
      <w:r w:rsidR="008C77DE" w:rsidRPr="008C77DE">
        <w:rPr>
          <w:rFonts w:eastAsiaTheme="minorHAnsi"/>
          <w:sz w:val="22"/>
          <w:szCs w:val="22"/>
        </w:rPr>
        <w:t>2014 ($621 million)</w:t>
      </w:r>
      <w:r w:rsidR="008C77DE">
        <w:rPr>
          <w:rFonts w:eastAsiaTheme="minorHAnsi"/>
          <w:sz w:val="22"/>
          <w:szCs w:val="22"/>
        </w:rPr>
        <w:t xml:space="preserve">. Southern Company uses cash from Operating Activities Cash Flow and long-term debt to fund its capital expenditure. </w:t>
      </w:r>
      <w:r w:rsidR="008C77DE" w:rsidRPr="008C77DE">
        <w:rPr>
          <w:rFonts w:eastAsiaTheme="minorHAnsi"/>
          <w:sz w:val="22"/>
          <w:szCs w:val="22"/>
        </w:rPr>
        <w:t>The company's customer growth</w:t>
      </w:r>
      <w:r w:rsidR="008C77DE">
        <w:rPr>
          <w:rFonts w:eastAsiaTheme="minorHAnsi"/>
          <w:sz w:val="22"/>
          <w:szCs w:val="22"/>
        </w:rPr>
        <w:t xml:space="preserve"> </w:t>
      </w:r>
      <w:r w:rsidR="008C77DE" w:rsidRPr="008C77DE">
        <w:rPr>
          <w:rFonts w:eastAsiaTheme="minorHAnsi"/>
          <w:sz w:val="22"/>
          <w:szCs w:val="22"/>
        </w:rPr>
        <w:t>averaged around 1.7% a year in the decade before 2009, driving electricity</w:t>
      </w:r>
      <w:r w:rsidR="00106C06">
        <w:rPr>
          <w:rFonts w:eastAsiaTheme="minorHAnsi"/>
          <w:sz w:val="22"/>
          <w:szCs w:val="22"/>
        </w:rPr>
        <w:t xml:space="preserve"> </w:t>
      </w:r>
      <w:r w:rsidR="008C77DE" w:rsidRPr="008C77DE">
        <w:rPr>
          <w:rFonts w:eastAsiaTheme="minorHAnsi"/>
          <w:sz w:val="22"/>
          <w:szCs w:val="22"/>
        </w:rPr>
        <w:t>demand increases of about 2% annually. Although usage dropped</w:t>
      </w:r>
      <w:r w:rsidR="00106C06">
        <w:rPr>
          <w:rFonts w:eastAsiaTheme="minorHAnsi"/>
          <w:sz w:val="22"/>
          <w:szCs w:val="22"/>
        </w:rPr>
        <w:t xml:space="preserve"> </w:t>
      </w:r>
      <w:r w:rsidR="008C77DE" w:rsidRPr="008C77DE">
        <w:rPr>
          <w:rFonts w:eastAsiaTheme="minorHAnsi"/>
          <w:sz w:val="22"/>
          <w:szCs w:val="22"/>
        </w:rPr>
        <w:t>substantially in 2009 because of weak industrial demand, industrial users</w:t>
      </w:r>
      <w:r w:rsidR="00106C06">
        <w:rPr>
          <w:rFonts w:eastAsiaTheme="minorHAnsi"/>
          <w:sz w:val="22"/>
          <w:szCs w:val="22"/>
        </w:rPr>
        <w:t xml:space="preserve"> </w:t>
      </w:r>
      <w:r w:rsidR="008C77DE" w:rsidRPr="008C77DE">
        <w:rPr>
          <w:rFonts w:eastAsiaTheme="minorHAnsi"/>
          <w:sz w:val="22"/>
          <w:szCs w:val="22"/>
        </w:rPr>
        <w:t>are the least profitable customers. Industrial usage recovered more than</w:t>
      </w:r>
      <w:r w:rsidR="00106C06">
        <w:rPr>
          <w:rFonts w:eastAsiaTheme="minorHAnsi"/>
          <w:sz w:val="22"/>
          <w:szCs w:val="22"/>
        </w:rPr>
        <w:t xml:space="preserve"> </w:t>
      </w:r>
      <w:r w:rsidR="008C77DE" w:rsidRPr="008C77DE">
        <w:rPr>
          <w:rFonts w:eastAsiaTheme="minorHAnsi"/>
          <w:sz w:val="22"/>
          <w:szCs w:val="22"/>
        </w:rPr>
        <w:t>7% in 2010 and a further 3% in 2011. Weather-normalized residential</w:t>
      </w:r>
      <w:r w:rsidR="00106C06">
        <w:rPr>
          <w:rFonts w:eastAsiaTheme="minorHAnsi"/>
          <w:sz w:val="22"/>
          <w:szCs w:val="22"/>
        </w:rPr>
        <w:t xml:space="preserve"> </w:t>
      </w:r>
      <w:r w:rsidR="008C77DE" w:rsidRPr="008C77DE">
        <w:rPr>
          <w:rFonts w:eastAsiaTheme="minorHAnsi"/>
          <w:sz w:val="22"/>
          <w:szCs w:val="22"/>
        </w:rPr>
        <w:t xml:space="preserve">demand has proved resilient, and commercial demand has </w:t>
      </w:r>
      <w:r w:rsidR="00106C06">
        <w:rPr>
          <w:rFonts w:eastAsiaTheme="minorHAnsi"/>
          <w:sz w:val="22"/>
          <w:szCs w:val="22"/>
        </w:rPr>
        <w:t xml:space="preserve">been slightly stable. </w:t>
      </w:r>
    </w:p>
    <w:p w:rsidR="00106C06" w:rsidRDefault="00106C06" w:rsidP="00A95D96">
      <w:pPr>
        <w:jc w:val="both"/>
        <w:rPr>
          <w:rFonts w:eastAsiaTheme="minorHAnsi"/>
          <w:sz w:val="22"/>
          <w:szCs w:val="22"/>
        </w:rPr>
      </w:pPr>
    </w:p>
    <w:p w:rsidR="00106C06" w:rsidRDefault="00106C06" w:rsidP="00106C06">
      <w:pPr>
        <w:jc w:val="both"/>
        <w:rPr>
          <w:rFonts w:eastAsiaTheme="minorHAnsi"/>
          <w:sz w:val="22"/>
          <w:szCs w:val="22"/>
        </w:rPr>
      </w:pPr>
      <w:r>
        <w:rPr>
          <w:rFonts w:eastAsiaTheme="minorHAnsi"/>
          <w:sz w:val="22"/>
          <w:szCs w:val="22"/>
        </w:rPr>
        <w:t>The company</w:t>
      </w:r>
      <w:r w:rsidRPr="00106C06">
        <w:rPr>
          <w:rFonts w:eastAsiaTheme="minorHAnsi"/>
          <w:sz w:val="22"/>
          <w:szCs w:val="22"/>
        </w:rPr>
        <w:t>'s total current liabilities increased to $6.577 billion as of December 31, 2011, from $6.472 billion at the</w:t>
      </w:r>
      <w:r>
        <w:rPr>
          <w:rFonts w:eastAsiaTheme="minorHAnsi"/>
          <w:sz w:val="22"/>
          <w:szCs w:val="22"/>
        </w:rPr>
        <w:t xml:space="preserve"> </w:t>
      </w:r>
      <w:r w:rsidRPr="00106C06">
        <w:rPr>
          <w:rFonts w:eastAsiaTheme="minorHAnsi"/>
          <w:sz w:val="22"/>
          <w:szCs w:val="22"/>
        </w:rPr>
        <w:t xml:space="preserve">end of 2010. With this increase and the modest increase in </w:t>
      </w:r>
      <w:r>
        <w:rPr>
          <w:rFonts w:eastAsiaTheme="minorHAnsi"/>
          <w:sz w:val="22"/>
          <w:szCs w:val="22"/>
        </w:rPr>
        <w:t>it</w:t>
      </w:r>
      <w:r w:rsidRPr="00106C06">
        <w:rPr>
          <w:rFonts w:eastAsiaTheme="minorHAnsi"/>
          <w:sz w:val="22"/>
          <w:szCs w:val="22"/>
        </w:rPr>
        <w:t>s total current assets from $5.883 billion at</w:t>
      </w:r>
      <w:r>
        <w:rPr>
          <w:rFonts w:eastAsiaTheme="minorHAnsi"/>
          <w:sz w:val="22"/>
          <w:szCs w:val="22"/>
        </w:rPr>
        <w:t xml:space="preserve"> </w:t>
      </w:r>
      <w:r w:rsidRPr="00106C06">
        <w:rPr>
          <w:rFonts w:eastAsiaTheme="minorHAnsi"/>
          <w:sz w:val="22"/>
          <w:szCs w:val="22"/>
        </w:rPr>
        <w:t xml:space="preserve">the end of 2010, to $6.262 billion at the end of 2011, </w:t>
      </w:r>
      <w:r>
        <w:rPr>
          <w:rFonts w:eastAsiaTheme="minorHAnsi"/>
          <w:sz w:val="22"/>
          <w:szCs w:val="22"/>
        </w:rPr>
        <w:t>the company</w:t>
      </w:r>
      <w:r w:rsidRPr="00106C06">
        <w:rPr>
          <w:rFonts w:eastAsiaTheme="minorHAnsi"/>
          <w:sz w:val="22"/>
          <w:szCs w:val="22"/>
        </w:rPr>
        <w:t xml:space="preserve"> reversed its prior trend of having its current assets</w:t>
      </w:r>
      <w:r>
        <w:rPr>
          <w:rFonts w:eastAsiaTheme="minorHAnsi"/>
          <w:sz w:val="22"/>
          <w:szCs w:val="22"/>
        </w:rPr>
        <w:t xml:space="preserve"> </w:t>
      </w:r>
      <w:r w:rsidRPr="00106C06">
        <w:rPr>
          <w:rFonts w:eastAsiaTheme="minorHAnsi"/>
          <w:sz w:val="22"/>
          <w:szCs w:val="22"/>
        </w:rPr>
        <w:t>being exceeded by its current liabilities.</w:t>
      </w:r>
      <w:r>
        <w:rPr>
          <w:rFonts w:eastAsiaTheme="minorHAnsi"/>
          <w:sz w:val="22"/>
          <w:szCs w:val="22"/>
        </w:rPr>
        <w:t xml:space="preserve"> However, a</w:t>
      </w:r>
      <w:r w:rsidRPr="00106C06">
        <w:rPr>
          <w:rFonts w:eastAsiaTheme="minorHAnsi"/>
          <w:sz w:val="22"/>
          <w:szCs w:val="22"/>
        </w:rPr>
        <w:t xml:space="preserve"> $1 billion cash reserve and more than $5 billion in unused credit lines reduce</w:t>
      </w:r>
      <w:r>
        <w:rPr>
          <w:rFonts w:eastAsiaTheme="minorHAnsi"/>
          <w:sz w:val="22"/>
          <w:szCs w:val="22"/>
        </w:rPr>
        <w:t xml:space="preserve"> </w:t>
      </w:r>
      <w:r w:rsidRPr="00106C06">
        <w:rPr>
          <w:rFonts w:eastAsiaTheme="minorHAnsi"/>
          <w:sz w:val="22"/>
          <w:szCs w:val="22"/>
        </w:rPr>
        <w:t>short-term liquidity concerns.</w:t>
      </w:r>
    </w:p>
    <w:p w:rsidR="00FA7C59" w:rsidRPr="000D7FC3" w:rsidRDefault="000D7FC3" w:rsidP="004874A0">
      <w:pPr>
        <w:jc w:val="both"/>
        <w:rPr>
          <w:b/>
          <w:sz w:val="20"/>
        </w:rPr>
      </w:pPr>
      <w:r>
        <w:rPr>
          <w:rFonts w:eastAsiaTheme="minorHAnsi"/>
          <w:sz w:val="22"/>
          <w:szCs w:val="22"/>
        </w:rPr>
        <w:t xml:space="preserve">  </w:t>
      </w:r>
    </w:p>
    <w:p w:rsidR="00387D07" w:rsidRDefault="002879DE" w:rsidP="00EC517F">
      <w:pPr>
        <w:pStyle w:val="NoSpacing"/>
        <w:jc w:val="both"/>
        <w:rPr>
          <w:rFonts w:ascii="Times New Roman" w:hAnsi="Times New Roman" w:cs="Times New Roman"/>
          <w:szCs w:val="20"/>
        </w:rPr>
      </w:pPr>
      <w:r w:rsidRPr="00FA7C59">
        <w:rPr>
          <w:rFonts w:ascii="Arial Black" w:hAnsi="Arial Black"/>
          <w:color w:val="0F243E" w:themeColor="text2" w:themeShade="80"/>
        </w:rPr>
        <w:t>Competitive Analysis:</w:t>
      </w:r>
      <w:r w:rsidRPr="00D164B5">
        <w:rPr>
          <w:rFonts w:ascii="Arial Black" w:hAnsi="Arial Black"/>
          <w:b/>
          <w:noProof/>
          <w:sz w:val="28"/>
          <w:szCs w:val="20"/>
        </w:rPr>
        <w:t xml:space="preserve"> </w:t>
      </w:r>
      <w:r w:rsidR="00387D07" w:rsidRPr="00387D07">
        <w:rPr>
          <w:rFonts w:ascii="Times New Roman" w:hAnsi="Times New Roman" w:cs="Times New Roman"/>
          <w:szCs w:val="20"/>
        </w:rPr>
        <w:t xml:space="preserve">Southern Company’s retail operating companies have provided competitive wholesale power supply to the region by providing a reliable and stable resource. </w:t>
      </w:r>
      <w:r w:rsidR="00387D07">
        <w:rPr>
          <w:rFonts w:ascii="Times New Roman" w:hAnsi="Times New Roman" w:cs="Times New Roman"/>
          <w:szCs w:val="20"/>
        </w:rPr>
        <w:t>The company</w:t>
      </w:r>
      <w:r w:rsidR="00387D07" w:rsidRPr="00387D07">
        <w:rPr>
          <w:rFonts w:ascii="Times New Roman" w:hAnsi="Times New Roman" w:cs="Times New Roman"/>
          <w:szCs w:val="20"/>
        </w:rPr>
        <w:t xml:space="preserve"> ha</w:t>
      </w:r>
      <w:r w:rsidR="00387D07">
        <w:rPr>
          <w:rFonts w:ascii="Times New Roman" w:hAnsi="Times New Roman" w:cs="Times New Roman"/>
          <w:szCs w:val="20"/>
        </w:rPr>
        <w:t>s</w:t>
      </w:r>
      <w:r w:rsidR="00387D07" w:rsidRPr="00387D07">
        <w:rPr>
          <w:rFonts w:ascii="Times New Roman" w:hAnsi="Times New Roman" w:cs="Times New Roman"/>
          <w:szCs w:val="20"/>
        </w:rPr>
        <w:t xml:space="preserve"> the experience to anticipate market and weather changes and the ability to respond quickly when called upon.</w:t>
      </w:r>
    </w:p>
    <w:p w:rsidR="00387D07" w:rsidRDefault="00387D07" w:rsidP="00387D07">
      <w:pPr>
        <w:pStyle w:val="NoSpacing"/>
        <w:jc w:val="both"/>
        <w:rPr>
          <w:rFonts w:ascii="Times New Roman" w:hAnsi="Times New Roman" w:cs="Times New Roman"/>
          <w:szCs w:val="20"/>
        </w:rPr>
      </w:pPr>
      <w:r w:rsidRPr="00387D07">
        <w:rPr>
          <w:rFonts w:ascii="Times New Roman" w:hAnsi="Times New Roman" w:cs="Times New Roman"/>
          <w:szCs w:val="20"/>
        </w:rPr>
        <w:t xml:space="preserve">As the agent for Alabama Power, Georgia Power, Gulf Power and Mississippi Power, Southern Wholesale Energy </w:t>
      </w:r>
      <w:r>
        <w:rPr>
          <w:rFonts w:ascii="Times New Roman" w:hAnsi="Times New Roman" w:cs="Times New Roman"/>
          <w:szCs w:val="20"/>
        </w:rPr>
        <w:t xml:space="preserve">(SWE) </w:t>
      </w:r>
      <w:r w:rsidRPr="00387D07">
        <w:rPr>
          <w:rFonts w:ascii="Times New Roman" w:hAnsi="Times New Roman" w:cs="Times New Roman"/>
          <w:szCs w:val="20"/>
        </w:rPr>
        <w:t>markets the retail operating companies' surplus generating capacity to the wholesale market.</w:t>
      </w:r>
      <w:r>
        <w:rPr>
          <w:rFonts w:ascii="Times New Roman" w:hAnsi="Times New Roman" w:cs="Times New Roman"/>
          <w:szCs w:val="20"/>
        </w:rPr>
        <w:t xml:space="preserve"> </w:t>
      </w:r>
      <w:r w:rsidRPr="00387D07">
        <w:rPr>
          <w:rFonts w:ascii="Times New Roman" w:hAnsi="Times New Roman" w:cs="Times New Roman"/>
          <w:szCs w:val="20"/>
        </w:rPr>
        <w:t>SWE offers its customers</w:t>
      </w:r>
      <w:r>
        <w:rPr>
          <w:rFonts w:ascii="Times New Roman" w:hAnsi="Times New Roman" w:cs="Times New Roman"/>
          <w:szCs w:val="20"/>
        </w:rPr>
        <w:t xml:space="preserve"> h</w:t>
      </w:r>
      <w:r w:rsidRPr="00387D07">
        <w:rPr>
          <w:rFonts w:ascii="Times New Roman" w:hAnsi="Times New Roman" w:cs="Times New Roman"/>
          <w:szCs w:val="20"/>
        </w:rPr>
        <w:t xml:space="preserve">igh levels of reliability </w:t>
      </w:r>
      <w:r>
        <w:rPr>
          <w:rFonts w:ascii="Times New Roman" w:hAnsi="Times New Roman" w:cs="Times New Roman"/>
          <w:szCs w:val="20"/>
        </w:rPr>
        <w:t xml:space="preserve">from a diverse mix of resources, competitively priced products, </w:t>
      </w:r>
      <w:r w:rsidR="00004F64">
        <w:rPr>
          <w:rFonts w:ascii="Times New Roman" w:hAnsi="Times New Roman" w:cs="Times New Roman"/>
          <w:szCs w:val="20"/>
        </w:rPr>
        <w:t xml:space="preserve">and </w:t>
      </w:r>
      <w:r>
        <w:rPr>
          <w:rFonts w:ascii="Times New Roman" w:hAnsi="Times New Roman" w:cs="Times New Roman"/>
          <w:szCs w:val="20"/>
        </w:rPr>
        <w:t>flexibility in product offerings</w:t>
      </w:r>
      <w:r w:rsidRPr="00387D07">
        <w:rPr>
          <w:rFonts w:ascii="Times New Roman" w:hAnsi="Times New Roman" w:cs="Times New Roman"/>
          <w:szCs w:val="20"/>
        </w:rPr>
        <w:t>.</w:t>
      </w:r>
    </w:p>
    <w:p w:rsidR="000823E9" w:rsidRDefault="000823E9" w:rsidP="004874A0">
      <w:pPr>
        <w:pStyle w:val="NoSpacing"/>
        <w:jc w:val="both"/>
        <w:rPr>
          <w:rFonts w:ascii="Arial Black" w:hAnsi="Arial Black"/>
          <w:color w:val="0F243E" w:themeColor="text2" w:themeShade="80"/>
        </w:rPr>
      </w:pPr>
    </w:p>
    <w:p w:rsidR="008F4B9E" w:rsidRDefault="002879DE" w:rsidP="004874A0">
      <w:pPr>
        <w:pStyle w:val="NoSpacing"/>
        <w:jc w:val="both"/>
        <w:rPr>
          <w:rFonts w:ascii="Times New Roman" w:hAnsi="Times New Roman" w:cs="Times New Roman"/>
        </w:rPr>
      </w:pPr>
      <w:r>
        <w:rPr>
          <w:rFonts w:ascii="Arial Black" w:hAnsi="Arial Black"/>
          <w:color w:val="0F243E" w:themeColor="text2" w:themeShade="80"/>
        </w:rPr>
        <w:t xml:space="preserve">Projections and </w:t>
      </w:r>
      <w:r w:rsidR="008C66B0" w:rsidRPr="00FA7C59">
        <w:rPr>
          <w:rFonts w:ascii="Arial Black" w:hAnsi="Arial Black"/>
          <w:color w:val="0F243E" w:themeColor="text2" w:themeShade="80"/>
        </w:rPr>
        <w:t>Valuation Summary:</w:t>
      </w:r>
      <w:r w:rsidR="002428FA">
        <w:rPr>
          <w:rFonts w:ascii="Arial Black" w:hAnsi="Arial Black"/>
          <w:color w:val="0F243E" w:themeColor="text2" w:themeShade="80"/>
        </w:rPr>
        <w:t xml:space="preserve">  </w:t>
      </w:r>
      <w:r w:rsidR="0098676A" w:rsidRPr="0098676A">
        <w:rPr>
          <w:rFonts w:ascii="Times New Roman" w:hAnsi="Times New Roman" w:cs="Times New Roman"/>
        </w:rPr>
        <w:t xml:space="preserve">The valuation is based on the low end of current estimates of </w:t>
      </w:r>
      <w:r w:rsidR="008F4B9E">
        <w:rPr>
          <w:rFonts w:ascii="Times New Roman" w:hAnsi="Times New Roman" w:cs="Times New Roman"/>
        </w:rPr>
        <w:t>3</w:t>
      </w:r>
      <w:r w:rsidR="0098676A" w:rsidRPr="0098676A">
        <w:rPr>
          <w:rFonts w:ascii="Times New Roman" w:hAnsi="Times New Roman" w:cs="Times New Roman"/>
        </w:rPr>
        <w:t>% annua</w:t>
      </w:r>
      <w:r w:rsidR="008F4B9E">
        <w:rPr>
          <w:rFonts w:ascii="Times New Roman" w:hAnsi="Times New Roman" w:cs="Times New Roman"/>
        </w:rPr>
        <w:t>l revenue growth in a range of 3</w:t>
      </w:r>
      <w:r w:rsidR="0098676A" w:rsidRPr="0098676A">
        <w:rPr>
          <w:rFonts w:ascii="Times New Roman" w:hAnsi="Times New Roman" w:cs="Times New Roman"/>
        </w:rPr>
        <w:t>%-</w:t>
      </w:r>
      <w:r w:rsidR="008F4B9E">
        <w:rPr>
          <w:rFonts w:ascii="Times New Roman" w:hAnsi="Times New Roman" w:cs="Times New Roman"/>
        </w:rPr>
        <w:t xml:space="preserve">4%. </w:t>
      </w:r>
      <w:r w:rsidR="00004F64">
        <w:rPr>
          <w:rFonts w:ascii="Times New Roman" w:hAnsi="Times New Roman" w:cs="Times New Roman"/>
        </w:rPr>
        <w:t>With the decreasing trend of cost of goods sold in the last five years, I projected COGS</w:t>
      </w:r>
      <w:r w:rsidR="008F4B9E">
        <w:rPr>
          <w:rFonts w:ascii="Times New Roman" w:hAnsi="Times New Roman" w:cs="Times New Roman"/>
        </w:rPr>
        <w:t xml:space="preserve"> at </w:t>
      </w:r>
      <w:r w:rsidR="00004F64">
        <w:rPr>
          <w:rFonts w:ascii="Times New Roman" w:hAnsi="Times New Roman" w:cs="Times New Roman"/>
        </w:rPr>
        <w:t>34</w:t>
      </w:r>
      <w:r w:rsidR="00B73947">
        <w:rPr>
          <w:rFonts w:ascii="Times New Roman" w:hAnsi="Times New Roman" w:cs="Times New Roman"/>
        </w:rPr>
        <w:t>% of sales</w:t>
      </w:r>
      <w:r w:rsidR="00004F64">
        <w:rPr>
          <w:rFonts w:ascii="Times New Roman" w:hAnsi="Times New Roman" w:cs="Times New Roman"/>
        </w:rPr>
        <w:t xml:space="preserve"> in average for the next five years</w:t>
      </w:r>
      <w:r w:rsidR="00B73947">
        <w:rPr>
          <w:rFonts w:ascii="Times New Roman" w:hAnsi="Times New Roman" w:cs="Times New Roman"/>
        </w:rPr>
        <w:t xml:space="preserve">. </w:t>
      </w:r>
      <w:r w:rsidR="00004F64">
        <w:rPr>
          <w:rFonts w:ascii="Times New Roman" w:hAnsi="Times New Roman" w:cs="Times New Roman"/>
        </w:rPr>
        <w:t>S</w:t>
      </w:r>
      <w:r w:rsidR="00B73947">
        <w:rPr>
          <w:rFonts w:ascii="Times New Roman" w:hAnsi="Times New Roman" w:cs="Times New Roman"/>
        </w:rPr>
        <w:t>elling, genera</w:t>
      </w:r>
      <w:r w:rsidR="008F3E02">
        <w:rPr>
          <w:rFonts w:ascii="Times New Roman" w:hAnsi="Times New Roman" w:cs="Times New Roman"/>
        </w:rPr>
        <w:t>l and administrative expense was</w:t>
      </w:r>
      <w:r w:rsidR="00B73947">
        <w:rPr>
          <w:rFonts w:ascii="Times New Roman" w:hAnsi="Times New Roman" w:cs="Times New Roman"/>
        </w:rPr>
        <w:t xml:space="preserve"> </w:t>
      </w:r>
      <w:r w:rsidR="00004F64">
        <w:rPr>
          <w:rFonts w:ascii="Times New Roman" w:hAnsi="Times New Roman" w:cs="Times New Roman"/>
        </w:rPr>
        <w:t>estimated a</w:t>
      </w:r>
      <w:r w:rsidR="008F3E02">
        <w:rPr>
          <w:rFonts w:ascii="Times New Roman" w:hAnsi="Times New Roman" w:cs="Times New Roman"/>
        </w:rPr>
        <w:t>t</w:t>
      </w:r>
      <w:r w:rsidR="00004F64" w:rsidRPr="00004F64">
        <w:rPr>
          <w:rFonts w:ascii="Times New Roman" w:hAnsi="Times New Roman" w:cs="Times New Roman"/>
        </w:rPr>
        <w:t xml:space="preserve"> </w:t>
      </w:r>
      <w:r w:rsidR="00004F64">
        <w:rPr>
          <w:rFonts w:ascii="Times New Roman" w:hAnsi="Times New Roman" w:cs="Times New Roman"/>
        </w:rPr>
        <w:t xml:space="preserve">the average historical percentage of </w:t>
      </w:r>
      <w:r w:rsidR="00B73947">
        <w:rPr>
          <w:rFonts w:ascii="Times New Roman" w:hAnsi="Times New Roman" w:cs="Times New Roman"/>
        </w:rPr>
        <w:t>SG&amp;A expense</w:t>
      </w:r>
      <w:r w:rsidR="008F3E02">
        <w:rPr>
          <w:rFonts w:ascii="Times New Roman" w:hAnsi="Times New Roman" w:cs="Times New Roman"/>
        </w:rPr>
        <w:t xml:space="preserve"> in the last five years,</w:t>
      </w:r>
      <w:r w:rsidR="00B73947">
        <w:rPr>
          <w:rFonts w:ascii="Times New Roman" w:hAnsi="Times New Roman" w:cs="Times New Roman"/>
        </w:rPr>
        <w:t xml:space="preserve"> account</w:t>
      </w:r>
      <w:r w:rsidR="008F3E02">
        <w:rPr>
          <w:rFonts w:ascii="Times New Roman" w:hAnsi="Times New Roman" w:cs="Times New Roman"/>
        </w:rPr>
        <w:t>ing</w:t>
      </w:r>
      <w:r w:rsidR="00B73947">
        <w:rPr>
          <w:rFonts w:ascii="Times New Roman" w:hAnsi="Times New Roman" w:cs="Times New Roman"/>
        </w:rPr>
        <w:t xml:space="preserve"> for </w:t>
      </w:r>
      <w:r w:rsidR="008F3E02">
        <w:rPr>
          <w:rFonts w:ascii="Times New Roman" w:hAnsi="Times New Roman" w:cs="Times New Roman"/>
        </w:rPr>
        <w:t>28</w:t>
      </w:r>
      <w:r w:rsidR="00B73947">
        <w:rPr>
          <w:rFonts w:ascii="Times New Roman" w:hAnsi="Times New Roman" w:cs="Times New Roman"/>
        </w:rPr>
        <w:t>% of sales. Depreciation expense is calculated by timing projected sales and the average historical percentage of depreciation over sales in 5-year period. The same rule is applied for interest expense.</w:t>
      </w:r>
    </w:p>
    <w:p w:rsidR="00B73947" w:rsidRDefault="00B73947" w:rsidP="004874A0">
      <w:pPr>
        <w:pStyle w:val="NoSpacing"/>
        <w:jc w:val="both"/>
        <w:rPr>
          <w:rFonts w:ascii="Times New Roman" w:hAnsi="Times New Roman" w:cs="Times New Roman"/>
        </w:rPr>
      </w:pPr>
    </w:p>
    <w:p w:rsidR="005E4CD1" w:rsidRDefault="008F3E02" w:rsidP="005E4CD1">
      <w:pPr>
        <w:pStyle w:val="NoSpacing"/>
        <w:jc w:val="both"/>
        <w:rPr>
          <w:rFonts w:ascii="Times New Roman" w:hAnsi="Times New Roman" w:cs="Times New Roman"/>
        </w:rPr>
      </w:pPr>
      <w:r>
        <w:rPr>
          <w:rFonts w:ascii="Times New Roman" w:hAnsi="Times New Roman" w:cs="Times New Roman"/>
        </w:rPr>
        <w:t xml:space="preserve">Due to its huge capital expenditure, Southern Company has negative free cash flow and </w:t>
      </w:r>
      <w:r w:rsidR="005253F5">
        <w:rPr>
          <w:rFonts w:ascii="Times New Roman" w:hAnsi="Times New Roman" w:cs="Times New Roman"/>
        </w:rPr>
        <w:t xml:space="preserve">negative </w:t>
      </w:r>
      <w:r>
        <w:rPr>
          <w:rFonts w:ascii="Times New Roman" w:hAnsi="Times New Roman" w:cs="Times New Roman"/>
        </w:rPr>
        <w:t xml:space="preserve">free cash flow to equity investors. Therefore, I employed dividend discount model and excess return model to evaluate the company. </w:t>
      </w:r>
      <w:r w:rsidR="005253F5">
        <w:rPr>
          <w:rFonts w:ascii="Times New Roman" w:hAnsi="Times New Roman" w:cs="Times New Roman"/>
        </w:rPr>
        <w:t>Instead of WACC, c</w:t>
      </w:r>
      <w:r>
        <w:rPr>
          <w:rFonts w:ascii="Times New Roman" w:hAnsi="Times New Roman" w:cs="Times New Roman"/>
        </w:rPr>
        <w:t>ost</w:t>
      </w:r>
      <w:r w:rsidR="005253F5">
        <w:rPr>
          <w:rFonts w:ascii="Times New Roman" w:hAnsi="Times New Roman" w:cs="Times New Roman"/>
        </w:rPr>
        <w:t xml:space="preserve"> of equity is used in these two models. Southern Company has a very low beta, resulting in a low cost of equity. For a more conservative valuation, I use beta of 0.75, which is the highest beta among its peer.</w:t>
      </w:r>
    </w:p>
    <w:p w:rsidR="00FA7C59" w:rsidRDefault="00FA7C59" w:rsidP="004874A0">
      <w:pPr>
        <w:pStyle w:val="NoSpacing"/>
        <w:jc w:val="both"/>
        <w:rPr>
          <w:rFonts w:ascii="Arial Black" w:hAnsi="Arial Black"/>
          <w:color w:val="0F243E" w:themeColor="text2" w:themeShade="80"/>
        </w:rPr>
      </w:pPr>
    </w:p>
    <w:p w:rsidR="008C66B0" w:rsidRPr="00FA7C59" w:rsidRDefault="008C66B0" w:rsidP="004874A0">
      <w:pPr>
        <w:jc w:val="both"/>
        <w:rPr>
          <w:rFonts w:ascii="Arial Black" w:eastAsiaTheme="minorHAnsi" w:hAnsi="Arial Black" w:cstheme="minorBidi"/>
          <w:color w:val="0F243E" w:themeColor="text2" w:themeShade="80"/>
          <w:sz w:val="22"/>
          <w:szCs w:val="22"/>
        </w:rPr>
      </w:pPr>
      <w:r w:rsidRPr="00FA7C59">
        <w:rPr>
          <w:rFonts w:ascii="Arial Black" w:eastAsiaTheme="minorHAnsi" w:hAnsi="Arial Black" w:cstheme="minorBidi"/>
          <w:color w:val="0F243E" w:themeColor="text2" w:themeShade="80"/>
          <w:sz w:val="22"/>
          <w:szCs w:val="22"/>
        </w:rPr>
        <w:t>Risk Factors:</w:t>
      </w:r>
    </w:p>
    <w:p w:rsidR="005253F5" w:rsidRDefault="00D475DC" w:rsidP="005253F5">
      <w:pPr>
        <w:jc w:val="both"/>
        <w:rPr>
          <w:rFonts w:eastAsiaTheme="minorHAnsi"/>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5253F5" w:rsidRPr="005253F5">
        <w:rPr>
          <w:rFonts w:eastAsiaTheme="minorHAnsi"/>
          <w:sz w:val="22"/>
          <w:szCs w:val="22"/>
        </w:rPr>
        <w:t xml:space="preserve">The biggest threat that Southern </w:t>
      </w:r>
      <w:r w:rsidR="005253F5">
        <w:rPr>
          <w:rFonts w:eastAsiaTheme="minorHAnsi"/>
          <w:sz w:val="22"/>
          <w:szCs w:val="22"/>
        </w:rPr>
        <w:t xml:space="preserve">Company </w:t>
      </w:r>
      <w:r w:rsidR="005253F5" w:rsidRPr="005253F5">
        <w:rPr>
          <w:rFonts w:eastAsiaTheme="minorHAnsi"/>
          <w:sz w:val="22"/>
          <w:szCs w:val="22"/>
        </w:rPr>
        <w:t>faces is a deterioration of its regulatory relationships in its</w:t>
      </w:r>
      <w:r w:rsidR="005253F5">
        <w:rPr>
          <w:rFonts w:eastAsiaTheme="minorHAnsi"/>
          <w:sz w:val="22"/>
          <w:szCs w:val="22"/>
        </w:rPr>
        <w:t xml:space="preserve"> </w:t>
      </w:r>
      <w:r w:rsidR="005253F5" w:rsidRPr="005253F5">
        <w:rPr>
          <w:rFonts w:eastAsiaTheme="minorHAnsi"/>
          <w:sz w:val="22"/>
          <w:szCs w:val="22"/>
        </w:rPr>
        <w:t>four retail service territories.</w:t>
      </w:r>
      <w:r w:rsidR="005253F5">
        <w:rPr>
          <w:rFonts w:eastAsiaTheme="minorHAnsi"/>
          <w:sz w:val="22"/>
          <w:szCs w:val="22"/>
        </w:rPr>
        <w:t xml:space="preserve"> As having said, m</w:t>
      </w:r>
      <w:r w:rsidR="005253F5" w:rsidRPr="005253F5">
        <w:rPr>
          <w:rFonts w:eastAsiaTheme="minorHAnsi"/>
          <w:sz w:val="22"/>
          <w:szCs w:val="22"/>
        </w:rPr>
        <w:t>uch of the company's success hinges on the relationships it</w:t>
      </w:r>
      <w:r w:rsidR="005253F5">
        <w:rPr>
          <w:rFonts w:eastAsiaTheme="minorHAnsi"/>
          <w:sz w:val="22"/>
          <w:szCs w:val="22"/>
        </w:rPr>
        <w:t xml:space="preserve"> </w:t>
      </w:r>
      <w:r w:rsidR="005253F5" w:rsidRPr="005253F5">
        <w:rPr>
          <w:rFonts w:eastAsiaTheme="minorHAnsi"/>
          <w:sz w:val="22"/>
          <w:szCs w:val="22"/>
        </w:rPr>
        <w:t>has built through years of low power prices and excellent customer service.</w:t>
      </w:r>
    </w:p>
    <w:p w:rsidR="00D50DEC" w:rsidRDefault="00D475DC" w:rsidP="005253F5">
      <w:pPr>
        <w:jc w:val="both"/>
        <w:rPr>
          <w:rFonts w:eastAsiaTheme="minorHAnsi"/>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5253F5">
        <w:rPr>
          <w:rFonts w:eastAsiaTheme="minorHAnsi"/>
          <w:sz w:val="22"/>
          <w:szCs w:val="22"/>
        </w:rPr>
        <w:t>Much of the company</w:t>
      </w:r>
      <w:r w:rsidR="005253F5" w:rsidRPr="005253F5">
        <w:rPr>
          <w:rFonts w:eastAsiaTheme="minorHAnsi"/>
          <w:sz w:val="22"/>
          <w:szCs w:val="22"/>
        </w:rPr>
        <w:t>'s generating fleet burns coal, so any emission legislation could require</w:t>
      </w:r>
      <w:r w:rsidR="005253F5">
        <w:rPr>
          <w:rFonts w:eastAsiaTheme="minorHAnsi"/>
          <w:sz w:val="22"/>
          <w:szCs w:val="22"/>
        </w:rPr>
        <w:t xml:space="preserve"> </w:t>
      </w:r>
      <w:r w:rsidR="005253F5" w:rsidRPr="005253F5">
        <w:rPr>
          <w:rFonts w:eastAsiaTheme="minorHAnsi"/>
          <w:sz w:val="22"/>
          <w:szCs w:val="22"/>
        </w:rPr>
        <w:t xml:space="preserve">expensive compliance that could raise customers' bills </w:t>
      </w:r>
      <w:r w:rsidR="005253F5">
        <w:rPr>
          <w:rFonts w:eastAsiaTheme="minorHAnsi"/>
          <w:sz w:val="22"/>
          <w:szCs w:val="22"/>
        </w:rPr>
        <w:t xml:space="preserve">and discourage usage. Its </w:t>
      </w:r>
      <w:r w:rsidR="005253F5" w:rsidRPr="005253F5">
        <w:rPr>
          <w:rFonts w:eastAsiaTheme="minorHAnsi"/>
          <w:sz w:val="22"/>
          <w:szCs w:val="22"/>
        </w:rPr>
        <w:t>fleet is especially exposed to Air Toxics Rule compliance.</w:t>
      </w:r>
    </w:p>
    <w:p w:rsidR="005253F5" w:rsidRDefault="00D475DC" w:rsidP="005253F5">
      <w:pPr>
        <w:jc w:val="both"/>
        <w:rPr>
          <w:rFonts w:eastAsiaTheme="minorHAnsi"/>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5253F5">
        <w:rPr>
          <w:rFonts w:eastAsiaTheme="minorHAnsi"/>
          <w:sz w:val="22"/>
          <w:szCs w:val="22"/>
        </w:rPr>
        <w:t>A</w:t>
      </w:r>
      <w:r w:rsidR="005253F5" w:rsidRPr="005253F5">
        <w:rPr>
          <w:rFonts w:eastAsiaTheme="minorHAnsi"/>
          <w:sz w:val="22"/>
          <w:szCs w:val="22"/>
        </w:rPr>
        <w:t xml:space="preserve">s the industrial growth and strength </w:t>
      </w:r>
      <w:r w:rsidR="005253F5">
        <w:rPr>
          <w:rFonts w:eastAsiaTheme="minorHAnsi"/>
          <w:sz w:val="22"/>
          <w:szCs w:val="22"/>
        </w:rPr>
        <w:t xml:space="preserve">in the region where Southern Company is operating </w:t>
      </w:r>
      <w:r w:rsidR="005253F5" w:rsidRPr="005253F5">
        <w:rPr>
          <w:rFonts w:eastAsiaTheme="minorHAnsi"/>
          <w:sz w:val="22"/>
          <w:szCs w:val="22"/>
        </w:rPr>
        <w:t>has</w:t>
      </w:r>
      <w:r w:rsidR="005253F5">
        <w:rPr>
          <w:rFonts w:eastAsiaTheme="minorHAnsi"/>
          <w:sz w:val="22"/>
          <w:szCs w:val="22"/>
        </w:rPr>
        <w:t xml:space="preserve"> </w:t>
      </w:r>
      <w:r w:rsidR="005253F5" w:rsidRPr="005253F5">
        <w:rPr>
          <w:rFonts w:eastAsiaTheme="minorHAnsi"/>
          <w:sz w:val="22"/>
          <w:szCs w:val="22"/>
        </w:rPr>
        <w:t>been driven to a large extent by exports</w:t>
      </w:r>
      <w:r w:rsidR="005253F5">
        <w:rPr>
          <w:rFonts w:eastAsiaTheme="minorHAnsi"/>
          <w:sz w:val="22"/>
          <w:szCs w:val="22"/>
        </w:rPr>
        <w:t xml:space="preserve">, </w:t>
      </w:r>
      <w:r w:rsidR="005253F5" w:rsidRPr="005253F5">
        <w:rPr>
          <w:rFonts w:eastAsiaTheme="minorHAnsi"/>
          <w:sz w:val="22"/>
          <w:szCs w:val="22"/>
        </w:rPr>
        <w:t>export weakness from a slowdown in global economic activity is proving</w:t>
      </w:r>
      <w:r w:rsidR="001268A5">
        <w:rPr>
          <w:rFonts w:eastAsiaTheme="minorHAnsi"/>
          <w:sz w:val="22"/>
          <w:szCs w:val="22"/>
        </w:rPr>
        <w:t xml:space="preserve"> </w:t>
      </w:r>
      <w:r w:rsidR="005253F5" w:rsidRPr="005253F5">
        <w:rPr>
          <w:rFonts w:eastAsiaTheme="minorHAnsi"/>
          <w:sz w:val="22"/>
          <w:szCs w:val="22"/>
        </w:rPr>
        <w:t xml:space="preserve">a drag on </w:t>
      </w:r>
      <w:r w:rsidR="001268A5">
        <w:rPr>
          <w:rFonts w:eastAsiaTheme="minorHAnsi"/>
          <w:sz w:val="22"/>
          <w:szCs w:val="22"/>
        </w:rPr>
        <w:t xml:space="preserve">the company’s performance. </w:t>
      </w:r>
      <w:r w:rsidR="005253F5" w:rsidRPr="005253F5">
        <w:rPr>
          <w:rFonts w:eastAsiaTheme="minorHAnsi"/>
          <w:sz w:val="22"/>
          <w:szCs w:val="22"/>
        </w:rPr>
        <w:t>A continued lull in global demand</w:t>
      </w:r>
      <w:r w:rsidR="001268A5">
        <w:rPr>
          <w:rFonts w:eastAsiaTheme="minorHAnsi"/>
          <w:sz w:val="22"/>
          <w:szCs w:val="22"/>
        </w:rPr>
        <w:t xml:space="preserve"> </w:t>
      </w:r>
      <w:r w:rsidR="005253F5" w:rsidRPr="005253F5">
        <w:rPr>
          <w:rFonts w:eastAsiaTheme="minorHAnsi"/>
          <w:sz w:val="22"/>
          <w:szCs w:val="22"/>
        </w:rPr>
        <w:t xml:space="preserve">for U.S. exports would affect </w:t>
      </w:r>
      <w:r w:rsidR="001268A5">
        <w:rPr>
          <w:rFonts w:eastAsiaTheme="minorHAnsi"/>
          <w:sz w:val="22"/>
          <w:szCs w:val="22"/>
        </w:rPr>
        <w:t>the company</w:t>
      </w:r>
      <w:r w:rsidR="005253F5" w:rsidRPr="005253F5">
        <w:rPr>
          <w:rFonts w:eastAsiaTheme="minorHAnsi"/>
          <w:sz w:val="22"/>
          <w:szCs w:val="22"/>
        </w:rPr>
        <w:t xml:space="preserve"> more than most of its peers outside</w:t>
      </w:r>
      <w:r w:rsidR="001268A5">
        <w:rPr>
          <w:rFonts w:eastAsiaTheme="minorHAnsi"/>
          <w:sz w:val="22"/>
          <w:szCs w:val="22"/>
        </w:rPr>
        <w:t xml:space="preserve"> </w:t>
      </w:r>
      <w:r w:rsidR="005253F5" w:rsidRPr="005253F5">
        <w:rPr>
          <w:rFonts w:eastAsiaTheme="minorHAnsi"/>
          <w:sz w:val="22"/>
          <w:szCs w:val="22"/>
        </w:rPr>
        <w:t>the Southeast.</w:t>
      </w:r>
    </w:p>
    <w:p w:rsidR="001268A5" w:rsidRDefault="00D475DC" w:rsidP="001268A5">
      <w:pPr>
        <w:jc w:val="both"/>
        <w:rPr>
          <w:rFonts w:eastAsiaTheme="minorHAnsi"/>
          <w:sz w:val="22"/>
          <w:szCs w:val="22"/>
        </w:rPr>
      </w:pPr>
      <w:r w:rsidRPr="00D475DC">
        <w:rPr>
          <w:rFonts w:ascii="Arial Black" w:eastAsiaTheme="minorHAnsi" w:hAnsi="Arial Black" w:cstheme="minorBidi"/>
          <w:color w:val="0F243E" w:themeColor="text2" w:themeShade="80"/>
          <w:sz w:val="22"/>
          <w:szCs w:val="22"/>
        </w:rPr>
        <w:t>•</w:t>
      </w:r>
      <w:r>
        <w:rPr>
          <w:rFonts w:ascii="Arial Black" w:eastAsiaTheme="minorHAnsi" w:hAnsi="Arial Black" w:cstheme="minorBidi"/>
          <w:color w:val="0F243E" w:themeColor="text2" w:themeShade="80"/>
          <w:sz w:val="22"/>
          <w:szCs w:val="22"/>
        </w:rPr>
        <w:t xml:space="preserve"> </w:t>
      </w:r>
      <w:r w:rsidR="001268A5" w:rsidRPr="001268A5">
        <w:rPr>
          <w:rFonts w:eastAsiaTheme="minorHAnsi"/>
          <w:sz w:val="22"/>
          <w:szCs w:val="22"/>
        </w:rPr>
        <w:t>If tough federal</w:t>
      </w:r>
      <w:r w:rsidR="001268A5">
        <w:rPr>
          <w:rFonts w:eastAsiaTheme="minorHAnsi"/>
          <w:sz w:val="22"/>
          <w:szCs w:val="22"/>
        </w:rPr>
        <w:t xml:space="preserve"> </w:t>
      </w:r>
      <w:r w:rsidR="001268A5" w:rsidRPr="001268A5">
        <w:rPr>
          <w:rFonts w:eastAsiaTheme="minorHAnsi"/>
          <w:sz w:val="22"/>
          <w:szCs w:val="22"/>
        </w:rPr>
        <w:t>environmental regulations raise investment needs and costs for customers, regulators might</w:t>
      </w:r>
      <w:r w:rsidR="001268A5">
        <w:rPr>
          <w:rFonts w:eastAsiaTheme="minorHAnsi"/>
          <w:sz w:val="22"/>
          <w:szCs w:val="22"/>
        </w:rPr>
        <w:t xml:space="preserve"> </w:t>
      </w:r>
      <w:r w:rsidR="001268A5" w:rsidRPr="001268A5">
        <w:rPr>
          <w:rFonts w:eastAsiaTheme="minorHAnsi"/>
          <w:sz w:val="22"/>
          <w:szCs w:val="22"/>
        </w:rPr>
        <w:t>be less willing to support above-average allowed returns on equity.</w:t>
      </w: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Default="001268A5" w:rsidP="001268A5">
      <w:pPr>
        <w:jc w:val="both"/>
        <w:rPr>
          <w:rFonts w:eastAsiaTheme="minorHAnsi"/>
          <w:sz w:val="22"/>
          <w:szCs w:val="22"/>
        </w:rPr>
      </w:pPr>
    </w:p>
    <w:p w:rsidR="001268A5" w:rsidRPr="00640269" w:rsidRDefault="001268A5" w:rsidP="001268A5">
      <w:pPr>
        <w:jc w:val="both"/>
        <w:rPr>
          <w:rFonts w:ascii="Arial Black" w:hAnsi="Arial Black"/>
          <w:b/>
          <w:color w:val="0F243E" w:themeColor="text2" w:themeShade="80"/>
          <w:sz w:val="22"/>
          <w:szCs w:val="22"/>
          <w:u w:val="single"/>
        </w:rPr>
      </w:pPr>
    </w:p>
    <w:p w:rsidR="008C66B0" w:rsidRDefault="00BA5E80" w:rsidP="004874A0">
      <w:pPr>
        <w:jc w:val="both"/>
        <w:rPr>
          <w:rFonts w:ascii="Arial Black" w:hAnsi="Arial Black"/>
          <w:b/>
          <w:color w:val="0F243E" w:themeColor="text2" w:themeShade="80"/>
          <w:sz w:val="22"/>
          <w:szCs w:val="22"/>
          <w:u w:val="single"/>
        </w:rPr>
      </w:pPr>
      <w:r>
        <w:rPr>
          <w:rFonts w:ascii="Arial Black" w:hAnsi="Arial Black"/>
          <w:b/>
          <w:color w:val="0F243E" w:themeColor="text2" w:themeShade="80"/>
          <w:sz w:val="22"/>
          <w:szCs w:val="22"/>
          <w:u w:val="single"/>
        </w:rPr>
        <w:t>Dividend Discount</w:t>
      </w:r>
      <w:r w:rsidR="008C66B0" w:rsidRPr="00640269">
        <w:rPr>
          <w:rFonts w:ascii="Arial Black" w:hAnsi="Arial Black"/>
          <w:b/>
          <w:color w:val="0F243E" w:themeColor="text2" w:themeShade="80"/>
          <w:sz w:val="22"/>
          <w:szCs w:val="22"/>
          <w:u w:val="single"/>
        </w:rPr>
        <w:t xml:space="preserve"> Model:</w:t>
      </w:r>
    </w:p>
    <w:p w:rsidR="00640269" w:rsidRDefault="00BA5E80" w:rsidP="004874A0">
      <w:pPr>
        <w:jc w:val="both"/>
        <w:rPr>
          <w:rFonts w:ascii="Arial Black" w:hAnsi="Arial Black"/>
          <w:b/>
          <w:color w:val="0F243E" w:themeColor="text2" w:themeShade="80"/>
          <w:sz w:val="22"/>
          <w:szCs w:val="22"/>
          <w:u w:val="single"/>
        </w:rPr>
      </w:pPr>
      <w:r w:rsidRPr="00BA5E80">
        <w:rPr>
          <w:noProof/>
          <w:szCs w:val="22"/>
        </w:rPr>
        <w:drawing>
          <wp:inline distT="0" distB="0" distL="0" distR="0">
            <wp:extent cx="6191250" cy="13430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91250" cy="1343025"/>
                    </a:xfrm>
                    <a:prstGeom prst="rect">
                      <a:avLst/>
                    </a:prstGeom>
                    <a:noFill/>
                    <a:ln w="9525">
                      <a:noFill/>
                      <a:miter lim="800000"/>
                      <a:headEnd/>
                      <a:tailEnd/>
                    </a:ln>
                  </pic:spPr>
                </pic:pic>
              </a:graphicData>
            </a:graphic>
          </wp:inline>
        </w:drawing>
      </w:r>
    </w:p>
    <w:p w:rsidR="0054001F" w:rsidRDefault="0054001F" w:rsidP="004874A0">
      <w:pPr>
        <w:jc w:val="both"/>
        <w:rPr>
          <w:rFonts w:ascii="Arial Black" w:hAnsi="Arial Black"/>
          <w:b/>
          <w:color w:val="0F243E" w:themeColor="text2" w:themeShade="80"/>
          <w:sz w:val="22"/>
          <w:szCs w:val="22"/>
          <w:u w:val="single"/>
        </w:rPr>
      </w:pPr>
    </w:p>
    <w:p w:rsidR="0054001F" w:rsidRDefault="0054001F" w:rsidP="0054001F">
      <w:pPr>
        <w:jc w:val="both"/>
        <w:rPr>
          <w:rFonts w:ascii="Arial Black" w:hAnsi="Arial Black"/>
          <w:b/>
          <w:color w:val="0F243E" w:themeColor="text2" w:themeShade="80"/>
          <w:sz w:val="22"/>
          <w:szCs w:val="22"/>
          <w:u w:val="single"/>
        </w:rPr>
      </w:pPr>
      <w:r>
        <w:rPr>
          <w:rFonts w:ascii="Arial Black" w:hAnsi="Arial Black"/>
          <w:b/>
          <w:color w:val="0F243E" w:themeColor="text2" w:themeShade="80"/>
          <w:sz w:val="22"/>
          <w:szCs w:val="22"/>
          <w:u w:val="single"/>
        </w:rPr>
        <w:t>Excess Return Valuation</w:t>
      </w:r>
      <w:r w:rsidRPr="00640269">
        <w:rPr>
          <w:rFonts w:ascii="Arial Black" w:hAnsi="Arial Black"/>
          <w:b/>
          <w:color w:val="0F243E" w:themeColor="text2" w:themeShade="80"/>
          <w:sz w:val="22"/>
          <w:szCs w:val="22"/>
          <w:u w:val="single"/>
        </w:rPr>
        <w:t xml:space="preserve"> Model:</w:t>
      </w:r>
    </w:p>
    <w:p w:rsidR="0054001F" w:rsidRPr="00640269" w:rsidRDefault="0054001F" w:rsidP="004874A0">
      <w:pPr>
        <w:jc w:val="both"/>
        <w:rPr>
          <w:rFonts w:ascii="Arial Black" w:hAnsi="Arial Black"/>
          <w:b/>
          <w:color w:val="0F243E" w:themeColor="text2" w:themeShade="80"/>
          <w:sz w:val="22"/>
          <w:szCs w:val="22"/>
          <w:u w:val="single"/>
        </w:rPr>
      </w:pPr>
      <w:r w:rsidRPr="0054001F">
        <w:rPr>
          <w:noProof/>
          <w:szCs w:val="22"/>
        </w:rPr>
        <w:drawing>
          <wp:inline distT="0" distB="0" distL="0" distR="0">
            <wp:extent cx="6491918" cy="4210050"/>
            <wp:effectExtent l="19050" t="0" r="4132"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492240" cy="4210259"/>
                    </a:xfrm>
                    <a:prstGeom prst="rect">
                      <a:avLst/>
                    </a:prstGeom>
                    <a:noFill/>
                    <a:ln w="9525">
                      <a:noFill/>
                      <a:miter lim="800000"/>
                      <a:headEnd/>
                      <a:tailEnd/>
                    </a:ln>
                  </pic:spPr>
                </pic:pic>
              </a:graphicData>
            </a:graphic>
          </wp:inline>
        </w:drawing>
      </w:r>
    </w:p>
    <w:p w:rsidR="00640269" w:rsidRDefault="00640269" w:rsidP="004874A0">
      <w:pPr>
        <w:jc w:val="both"/>
        <w:rPr>
          <w:rFonts w:ascii="Arial Black" w:hAnsi="Arial Black"/>
          <w:b/>
          <w:color w:val="0F243E" w:themeColor="text2" w:themeShade="80"/>
          <w:sz w:val="22"/>
          <w:szCs w:val="22"/>
          <w:u w:val="single"/>
        </w:rPr>
      </w:pPr>
      <w:r>
        <w:rPr>
          <w:rFonts w:ascii="Arial Black" w:hAnsi="Arial Black"/>
          <w:b/>
          <w:color w:val="0F243E" w:themeColor="text2" w:themeShade="80"/>
          <w:sz w:val="22"/>
          <w:szCs w:val="22"/>
          <w:u w:val="single"/>
        </w:rPr>
        <w:t>Comparative Valuation Analysis:</w:t>
      </w:r>
    </w:p>
    <w:p w:rsidR="00713C63" w:rsidRPr="00713C63" w:rsidRDefault="00CE12C6" w:rsidP="004874A0">
      <w:pPr>
        <w:jc w:val="both"/>
        <w:rPr>
          <w:b/>
          <w:color w:val="0F243E" w:themeColor="text2" w:themeShade="80"/>
          <w:sz w:val="22"/>
          <w:szCs w:val="22"/>
          <w:u w:val="single"/>
        </w:rPr>
      </w:pPr>
      <w:r w:rsidRPr="00CE12C6">
        <w:rPr>
          <w:noProof/>
          <w:szCs w:val="22"/>
        </w:rPr>
        <w:drawing>
          <wp:inline distT="0" distB="0" distL="0" distR="0">
            <wp:extent cx="43053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305300" cy="1857375"/>
                    </a:xfrm>
                    <a:prstGeom prst="rect">
                      <a:avLst/>
                    </a:prstGeom>
                    <a:noFill/>
                    <a:ln w="9525">
                      <a:noFill/>
                      <a:miter lim="800000"/>
                      <a:headEnd/>
                      <a:tailEnd/>
                    </a:ln>
                  </pic:spPr>
                </pic:pic>
              </a:graphicData>
            </a:graphic>
          </wp:inline>
        </w:drawing>
      </w:r>
    </w:p>
    <w:p w:rsidR="00713C63" w:rsidRPr="00713C63" w:rsidRDefault="0054001F" w:rsidP="004874A0">
      <w:pPr>
        <w:jc w:val="both"/>
        <w:rPr>
          <w:rFonts w:ascii="Arial Black" w:hAnsi="Arial Black"/>
          <w:b/>
          <w:color w:val="0F243E" w:themeColor="text2" w:themeShade="80"/>
          <w:sz w:val="22"/>
          <w:szCs w:val="22"/>
        </w:rPr>
      </w:pPr>
      <w:r>
        <w:rPr>
          <w:rFonts w:ascii="Arial Black" w:hAnsi="Arial Black"/>
          <w:b/>
          <w:color w:val="0F243E" w:themeColor="text2" w:themeShade="80"/>
          <w:sz w:val="22"/>
          <w:szCs w:val="22"/>
          <w:u w:val="single"/>
        </w:rPr>
        <w:t>Cost of equity</w:t>
      </w:r>
      <w:r w:rsidR="00713C63">
        <w:rPr>
          <w:rFonts w:ascii="Arial Black" w:hAnsi="Arial Black"/>
          <w:b/>
          <w:color w:val="0F243E" w:themeColor="text2" w:themeShade="80"/>
          <w:sz w:val="22"/>
          <w:szCs w:val="22"/>
          <w:u w:val="single"/>
        </w:rPr>
        <w:t xml:space="preserve"> Calculation: </w:t>
      </w:r>
      <w:r w:rsidR="00713C63">
        <w:rPr>
          <w:rFonts w:ascii="Arial Black" w:hAnsi="Arial Black"/>
          <w:b/>
          <w:color w:val="0F243E" w:themeColor="text2" w:themeShade="80"/>
          <w:sz w:val="22"/>
          <w:szCs w:val="22"/>
        </w:rPr>
        <w:tab/>
      </w:r>
      <w:r w:rsidR="00713C63">
        <w:rPr>
          <w:rFonts w:ascii="Arial Black" w:hAnsi="Arial Black"/>
          <w:b/>
          <w:color w:val="0F243E" w:themeColor="text2" w:themeShade="80"/>
          <w:sz w:val="22"/>
          <w:szCs w:val="22"/>
        </w:rPr>
        <w:tab/>
      </w:r>
      <w:r w:rsidR="00713C63">
        <w:rPr>
          <w:rFonts w:ascii="Arial Black" w:hAnsi="Arial Black"/>
          <w:b/>
          <w:color w:val="0F243E" w:themeColor="text2" w:themeShade="80"/>
          <w:sz w:val="22"/>
          <w:szCs w:val="22"/>
        </w:rPr>
        <w:tab/>
      </w:r>
      <w:r w:rsidR="00713C63">
        <w:rPr>
          <w:rFonts w:ascii="Arial Black" w:hAnsi="Arial Black"/>
          <w:b/>
          <w:color w:val="0F243E" w:themeColor="text2" w:themeShade="80"/>
          <w:sz w:val="22"/>
          <w:szCs w:val="22"/>
        </w:rPr>
        <w:tab/>
      </w:r>
      <w:r w:rsidR="00713C63">
        <w:rPr>
          <w:rFonts w:ascii="Arial Black" w:hAnsi="Arial Black"/>
          <w:b/>
          <w:color w:val="0F243E" w:themeColor="text2" w:themeShade="80"/>
          <w:sz w:val="22"/>
          <w:szCs w:val="22"/>
          <w:u w:val="single"/>
        </w:rPr>
        <w:t>Total Return Calculation:</w:t>
      </w:r>
    </w:p>
    <w:p w:rsidR="00713C63" w:rsidRDefault="000A6113" w:rsidP="004874A0">
      <w:pPr>
        <w:jc w:val="both"/>
        <w:rPr>
          <w:rFonts w:ascii="Arial Black" w:hAnsi="Arial Black"/>
          <w:b/>
          <w:color w:val="0F243E" w:themeColor="text2" w:themeShade="80"/>
          <w:sz w:val="22"/>
          <w:szCs w:val="22"/>
        </w:rPr>
      </w:pPr>
      <w:r w:rsidRPr="000A6113">
        <w:rPr>
          <w:rFonts w:ascii="Arial Black" w:hAnsi="Arial Black"/>
          <w:b/>
          <w:color w:val="0F243E" w:themeColor="text2" w:themeShade="80"/>
          <w:sz w:val="22"/>
          <w:szCs w:val="22"/>
        </w:rPr>
        <w:t xml:space="preserve"> </w:t>
      </w:r>
      <w:r w:rsidR="0054001F" w:rsidRPr="0054001F">
        <w:rPr>
          <w:noProof/>
          <w:szCs w:val="22"/>
        </w:rPr>
        <w:drawing>
          <wp:inline distT="0" distB="0" distL="0" distR="0">
            <wp:extent cx="5562600" cy="193357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562600" cy="1933575"/>
                    </a:xfrm>
                    <a:prstGeom prst="rect">
                      <a:avLst/>
                    </a:prstGeom>
                    <a:noFill/>
                    <a:ln w="9525">
                      <a:noFill/>
                      <a:miter lim="800000"/>
                      <a:headEnd/>
                      <a:tailEnd/>
                    </a:ln>
                  </pic:spPr>
                </pic:pic>
              </a:graphicData>
            </a:graphic>
          </wp:inline>
        </w:drawing>
      </w:r>
    </w:p>
    <w:p w:rsidR="00725A89" w:rsidRPr="00713C63" w:rsidRDefault="00725A89" w:rsidP="004874A0">
      <w:pPr>
        <w:jc w:val="both"/>
        <w:rPr>
          <w:rFonts w:ascii="Arial Black" w:hAnsi="Arial Black"/>
          <w:b/>
          <w:color w:val="0F243E" w:themeColor="text2" w:themeShade="80"/>
          <w:sz w:val="22"/>
          <w:szCs w:val="22"/>
        </w:rPr>
      </w:pPr>
    </w:p>
    <w:p w:rsidR="00713C63" w:rsidRPr="00713C63" w:rsidRDefault="00A90287" w:rsidP="004874A0">
      <w:pPr>
        <w:ind w:firstLine="720"/>
        <w:jc w:val="both"/>
        <w:rPr>
          <w:rFonts w:ascii="Arial Black" w:hAnsi="Arial Black"/>
          <w:b/>
          <w:color w:val="0F243E" w:themeColor="text2" w:themeShade="80"/>
          <w:sz w:val="22"/>
          <w:szCs w:val="22"/>
          <w:u w:val="single"/>
        </w:rPr>
      </w:pPr>
      <w:r>
        <w:rPr>
          <w:rFonts w:ascii="Arial Black" w:hAnsi="Arial Black"/>
          <w:b/>
          <w:color w:val="0F243E" w:themeColor="text2" w:themeShade="80"/>
          <w:sz w:val="22"/>
          <w:szCs w:val="22"/>
          <w:u w:val="single"/>
        </w:rPr>
        <w:t>Valuation Assumptions:</w:t>
      </w:r>
    </w:p>
    <w:p w:rsidR="00A90287" w:rsidRDefault="0054001F" w:rsidP="00E920EB">
      <w:pPr>
        <w:ind w:firstLine="450"/>
        <w:jc w:val="both"/>
        <w:rPr>
          <w:rFonts w:ascii="Arial Black" w:hAnsi="Arial Black"/>
          <w:b/>
          <w:color w:val="0F243E" w:themeColor="text2" w:themeShade="80"/>
          <w:sz w:val="22"/>
          <w:szCs w:val="22"/>
          <w:u w:val="single"/>
        </w:rPr>
      </w:pPr>
      <w:r w:rsidRPr="0054001F">
        <w:rPr>
          <w:noProof/>
          <w:szCs w:val="22"/>
        </w:rPr>
        <w:drawing>
          <wp:inline distT="0" distB="0" distL="0" distR="0">
            <wp:extent cx="1885950" cy="1552575"/>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885950" cy="1552575"/>
                    </a:xfrm>
                    <a:prstGeom prst="rect">
                      <a:avLst/>
                    </a:prstGeom>
                    <a:noFill/>
                    <a:ln w="9525">
                      <a:noFill/>
                      <a:miter lim="800000"/>
                      <a:headEnd/>
                      <a:tailEnd/>
                    </a:ln>
                  </pic:spPr>
                </pic:pic>
              </a:graphicData>
            </a:graphic>
          </wp:inline>
        </w:drawing>
      </w:r>
      <w:r w:rsidR="00E920EB">
        <w:rPr>
          <w:rFonts w:ascii="Arial Black" w:hAnsi="Arial Black"/>
          <w:b/>
          <w:color w:val="0F243E" w:themeColor="text2" w:themeShade="80"/>
          <w:sz w:val="22"/>
          <w:szCs w:val="22"/>
          <w:u w:val="single"/>
        </w:rPr>
        <w:tab/>
      </w:r>
    </w:p>
    <w:p w:rsidR="00A90287" w:rsidRDefault="00A90287" w:rsidP="004874A0">
      <w:pPr>
        <w:jc w:val="both"/>
        <w:rPr>
          <w:rFonts w:ascii="Arial Black" w:hAnsi="Arial Black"/>
          <w:b/>
          <w:color w:val="0F243E" w:themeColor="text2" w:themeShade="80"/>
          <w:sz w:val="22"/>
          <w:szCs w:val="22"/>
          <w:u w:val="single"/>
        </w:rPr>
      </w:pPr>
    </w:p>
    <w:p w:rsidR="00640269" w:rsidRPr="00640269" w:rsidRDefault="00640269" w:rsidP="004874A0">
      <w:pPr>
        <w:jc w:val="both"/>
        <w:rPr>
          <w:b/>
          <w:color w:val="0F243E" w:themeColor="text2" w:themeShade="80"/>
          <w:sz w:val="22"/>
          <w:szCs w:val="22"/>
          <w:u w:val="single"/>
        </w:rPr>
      </w:pPr>
      <w:r w:rsidRPr="00640269">
        <w:rPr>
          <w:rFonts w:ascii="Arial Black" w:hAnsi="Arial Black"/>
          <w:b/>
          <w:color w:val="0F243E" w:themeColor="text2" w:themeShade="80"/>
          <w:sz w:val="22"/>
          <w:szCs w:val="22"/>
          <w:u w:val="single"/>
        </w:rPr>
        <w:t xml:space="preserve">Income Statement Projection:  </w:t>
      </w:r>
    </w:p>
    <w:p w:rsidR="00640269" w:rsidRDefault="00954ADC" w:rsidP="004874A0">
      <w:pPr>
        <w:jc w:val="both"/>
        <w:rPr>
          <w:rFonts w:ascii="Arial Black" w:hAnsi="Arial Black"/>
          <w:b/>
          <w:color w:val="0F243E" w:themeColor="text2" w:themeShade="80"/>
          <w:sz w:val="22"/>
          <w:szCs w:val="22"/>
        </w:rPr>
      </w:pPr>
      <w:r w:rsidRPr="00954ADC">
        <w:rPr>
          <w:noProof/>
          <w:szCs w:val="22"/>
        </w:rPr>
        <w:drawing>
          <wp:inline distT="0" distB="0" distL="0" distR="0">
            <wp:extent cx="4029075" cy="3867150"/>
            <wp:effectExtent l="19050" t="0" r="952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029075" cy="3867150"/>
                    </a:xfrm>
                    <a:prstGeom prst="rect">
                      <a:avLst/>
                    </a:prstGeom>
                    <a:noFill/>
                    <a:ln w="9525">
                      <a:noFill/>
                      <a:miter lim="800000"/>
                      <a:headEnd/>
                      <a:tailEnd/>
                    </a:ln>
                  </pic:spPr>
                </pic:pic>
              </a:graphicData>
            </a:graphic>
          </wp:inline>
        </w:drawing>
      </w:r>
    </w:p>
    <w:p w:rsidR="005C7F71" w:rsidRPr="005C7F71" w:rsidRDefault="00713C63" w:rsidP="004874A0">
      <w:pPr>
        <w:jc w:val="both"/>
        <w:rPr>
          <w:color w:val="0F243E" w:themeColor="text2" w:themeShade="80"/>
          <w:u w:val="single"/>
        </w:rPr>
      </w:pPr>
      <w:r>
        <w:rPr>
          <w:rFonts w:ascii="Arial Black" w:hAnsi="Arial Black"/>
          <w:b/>
          <w:color w:val="0F243E" w:themeColor="text2" w:themeShade="80"/>
          <w:sz w:val="22"/>
          <w:szCs w:val="22"/>
        </w:rPr>
        <w:br w:type="column"/>
      </w:r>
      <w:r w:rsidR="005C7F71">
        <w:rPr>
          <w:rFonts w:ascii="Arial Black" w:hAnsi="Arial Black"/>
          <w:b/>
          <w:color w:val="0F243E" w:themeColor="text2" w:themeShade="80"/>
          <w:sz w:val="22"/>
          <w:szCs w:val="22"/>
          <w:u w:val="single"/>
        </w:rPr>
        <w:t>Historical Financial Data:</w:t>
      </w:r>
    </w:p>
    <w:p w:rsidR="00713C63" w:rsidRDefault="00F763C4" w:rsidP="004874A0">
      <w:pPr>
        <w:jc w:val="both"/>
        <w:rPr>
          <w:rFonts w:ascii="Arial Black" w:hAnsi="Arial Black"/>
          <w:b/>
          <w:color w:val="0F243E" w:themeColor="text2" w:themeShade="80"/>
          <w:sz w:val="22"/>
          <w:szCs w:val="22"/>
        </w:rPr>
      </w:pPr>
      <w:r w:rsidRPr="00F763C4">
        <w:rPr>
          <w:noProof/>
          <w:szCs w:val="22"/>
        </w:rPr>
        <w:drawing>
          <wp:inline distT="0" distB="0" distL="0" distR="0">
            <wp:extent cx="6492240" cy="5880233"/>
            <wp:effectExtent l="19050" t="0" r="381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492240" cy="5880233"/>
                    </a:xfrm>
                    <a:prstGeom prst="rect">
                      <a:avLst/>
                    </a:prstGeom>
                    <a:noFill/>
                    <a:ln w="9525">
                      <a:noFill/>
                      <a:miter lim="800000"/>
                      <a:headEnd/>
                      <a:tailEnd/>
                    </a:ln>
                  </pic:spPr>
                </pic:pic>
              </a:graphicData>
            </a:graphic>
          </wp:inline>
        </w:drawing>
      </w:r>
    </w:p>
    <w:p w:rsidR="00F763C4" w:rsidRDefault="00F763C4" w:rsidP="004874A0">
      <w:pPr>
        <w:jc w:val="both"/>
        <w:rPr>
          <w:rFonts w:ascii="Arial Black" w:hAnsi="Arial Black"/>
          <w:b/>
          <w:color w:val="0F243E" w:themeColor="text2" w:themeShade="80"/>
          <w:sz w:val="22"/>
          <w:szCs w:val="22"/>
        </w:rPr>
      </w:pPr>
      <w:r w:rsidRPr="00F763C4">
        <w:rPr>
          <w:noProof/>
          <w:szCs w:val="22"/>
        </w:rPr>
        <w:drawing>
          <wp:inline distT="0" distB="0" distL="0" distR="0">
            <wp:extent cx="6492240" cy="7005003"/>
            <wp:effectExtent l="19050" t="0" r="381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492240" cy="7005003"/>
                    </a:xfrm>
                    <a:prstGeom prst="rect">
                      <a:avLst/>
                    </a:prstGeom>
                    <a:noFill/>
                    <a:ln w="9525">
                      <a:noFill/>
                      <a:miter lim="800000"/>
                      <a:headEnd/>
                      <a:tailEnd/>
                    </a:ln>
                  </pic:spPr>
                </pic:pic>
              </a:graphicData>
            </a:graphic>
          </wp:inline>
        </w:drawing>
      </w:r>
    </w:p>
    <w:p w:rsidR="0006115D" w:rsidRDefault="00F763C4" w:rsidP="004874A0">
      <w:pPr>
        <w:jc w:val="both"/>
        <w:rPr>
          <w:rFonts w:ascii="Arial Black" w:hAnsi="Arial Black"/>
          <w:b/>
          <w:color w:val="0F243E" w:themeColor="text2" w:themeShade="80"/>
          <w:sz w:val="22"/>
          <w:szCs w:val="22"/>
        </w:rPr>
      </w:pPr>
      <w:r w:rsidRPr="00F763C4">
        <w:rPr>
          <w:noProof/>
          <w:szCs w:val="22"/>
        </w:rPr>
        <w:drawing>
          <wp:inline distT="0" distB="0" distL="0" distR="0">
            <wp:extent cx="6492240" cy="5880233"/>
            <wp:effectExtent l="19050" t="0" r="381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492240" cy="5880233"/>
                    </a:xfrm>
                    <a:prstGeom prst="rect">
                      <a:avLst/>
                    </a:prstGeom>
                    <a:noFill/>
                    <a:ln w="9525">
                      <a:noFill/>
                      <a:miter lim="800000"/>
                      <a:headEnd/>
                      <a:tailEnd/>
                    </a:ln>
                  </pic:spPr>
                </pic:pic>
              </a:graphicData>
            </a:graphic>
          </wp:inline>
        </w:drawing>
      </w:r>
    </w:p>
    <w:p w:rsidR="0006115D" w:rsidRDefault="00F763C4" w:rsidP="004874A0">
      <w:pPr>
        <w:jc w:val="both"/>
        <w:rPr>
          <w:rFonts w:ascii="Arial Black" w:hAnsi="Arial Black"/>
          <w:b/>
          <w:color w:val="0F243E" w:themeColor="text2" w:themeShade="80"/>
          <w:sz w:val="22"/>
          <w:szCs w:val="22"/>
        </w:rPr>
      </w:pPr>
      <w:r w:rsidRPr="00F763C4">
        <w:rPr>
          <w:noProof/>
          <w:szCs w:val="22"/>
        </w:rPr>
        <w:drawing>
          <wp:inline distT="0" distB="0" distL="0" distR="0">
            <wp:extent cx="6492240" cy="5913314"/>
            <wp:effectExtent l="19050" t="0" r="381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492240" cy="5913314"/>
                    </a:xfrm>
                    <a:prstGeom prst="rect">
                      <a:avLst/>
                    </a:prstGeom>
                    <a:noFill/>
                    <a:ln w="9525">
                      <a:noFill/>
                      <a:miter lim="800000"/>
                      <a:headEnd/>
                      <a:tailEnd/>
                    </a:ln>
                  </pic:spPr>
                </pic:pic>
              </a:graphicData>
            </a:graphic>
          </wp:inline>
        </w:drawing>
      </w:r>
    </w:p>
    <w:p w:rsidR="00F763C4" w:rsidRDefault="00F763C4" w:rsidP="004874A0">
      <w:pPr>
        <w:jc w:val="both"/>
        <w:rPr>
          <w:rFonts w:ascii="Arial Black" w:hAnsi="Arial Black"/>
          <w:b/>
          <w:color w:val="0F243E" w:themeColor="text2" w:themeShade="80"/>
          <w:sz w:val="22"/>
          <w:szCs w:val="22"/>
          <w:u w:val="single"/>
        </w:rPr>
      </w:pPr>
    </w:p>
    <w:p w:rsidR="0006115D" w:rsidRDefault="0006115D" w:rsidP="004874A0">
      <w:pPr>
        <w:jc w:val="both"/>
        <w:rPr>
          <w:rFonts w:ascii="Arial Black" w:hAnsi="Arial Black"/>
          <w:color w:val="0F243E" w:themeColor="text2" w:themeShade="80"/>
          <w:sz w:val="22"/>
          <w:szCs w:val="22"/>
        </w:rPr>
      </w:pPr>
      <w:r>
        <w:rPr>
          <w:rFonts w:ascii="Arial Black" w:hAnsi="Arial Black"/>
          <w:b/>
          <w:color w:val="0F243E" w:themeColor="text2" w:themeShade="80"/>
          <w:sz w:val="22"/>
          <w:szCs w:val="22"/>
          <w:u w:val="single"/>
        </w:rPr>
        <w:t>Notes:</w:t>
      </w:r>
    </w:p>
    <w:p w:rsidR="0006115D" w:rsidRPr="0006115D" w:rsidRDefault="0006115D" w:rsidP="004874A0">
      <w:pPr>
        <w:pStyle w:val="NoSpacing"/>
        <w:jc w:val="both"/>
        <w:rPr>
          <w:rFonts w:ascii="Times New Roman" w:hAnsi="Times New Roman" w:cs="Times New Roman"/>
        </w:rPr>
      </w:pPr>
    </w:p>
    <w:sectPr w:rsidR="0006115D" w:rsidRPr="0006115D" w:rsidSect="00CC67B4">
      <w:headerReference w:type="default" r:id="rId21"/>
      <w:footerReference w:type="default" r:id="rId22"/>
      <w:pgSz w:w="12240" w:h="15840" w:code="1"/>
      <w:pgMar w:top="1152"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D9" w:rsidRDefault="00AB6AD9" w:rsidP="00713C63">
      <w:r>
        <w:separator/>
      </w:r>
    </w:p>
  </w:endnote>
  <w:endnote w:type="continuationSeparator" w:id="0">
    <w:p w:rsidR="00AB6AD9" w:rsidRDefault="00AB6AD9" w:rsidP="007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3B" w:rsidRPr="00B4660E" w:rsidRDefault="00424089">
    <w:pPr>
      <w:pStyle w:val="Footer"/>
      <w:rPr>
        <w:b/>
        <w:color w:val="1F497D" w:themeColor="text2"/>
      </w:rPr>
    </w:pPr>
    <w:r>
      <w:rPr>
        <w:b/>
        <w:noProof/>
        <w:color w:val="1F497D" w:themeColor="text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274320" cy="36576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0E3B" w:rsidRPr="00863E37" w:rsidRDefault="0067700C">
                          <w:pPr>
                            <w:pStyle w:val="Footer"/>
                            <w:jc w:val="right"/>
                            <w:rPr>
                              <w:b/>
                              <w:color w:val="1F497D" w:themeColor="text2"/>
                            </w:rPr>
                          </w:pPr>
                          <w:r w:rsidRPr="00863E37">
                            <w:rPr>
                              <w:b/>
                              <w:color w:val="1F497D" w:themeColor="text2"/>
                            </w:rPr>
                            <w:fldChar w:fldCharType="begin"/>
                          </w:r>
                          <w:r w:rsidR="00710E3B" w:rsidRPr="00863E37">
                            <w:rPr>
                              <w:b/>
                              <w:color w:val="1F497D" w:themeColor="text2"/>
                            </w:rPr>
                            <w:instrText xml:space="preserve"> PAGE  \* Arabic  \* MERGEFORMAT </w:instrText>
                          </w:r>
                          <w:r w:rsidRPr="00863E37">
                            <w:rPr>
                              <w:b/>
                              <w:color w:val="1F497D" w:themeColor="text2"/>
                            </w:rPr>
                            <w:fldChar w:fldCharType="separate"/>
                          </w:r>
                          <w:r w:rsidR="00AB6AD9">
                            <w:rPr>
                              <w:b/>
                              <w:noProof/>
                              <w:color w:val="1F497D" w:themeColor="text2"/>
                            </w:rPr>
                            <w:t>1</w:t>
                          </w:r>
                          <w:r w:rsidRPr="00863E37">
                            <w:rPr>
                              <w:b/>
                              <w:color w:val="1F497D" w:themeColor="text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9.6pt;margin-top:0;width:21.6pt;height:28.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Ya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" filled="f" stroked="f" strokeweight=".5pt">
              <v:textbox>
                <w:txbxContent>
                  <w:p w:rsidR="00710E3B" w:rsidRPr="00863E37" w:rsidRDefault="0067700C">
                    <w:pPr>
                      <w:pStyle w:val="Footer"/>
                      <w:jc w:val="right"/>
                      <w:rPr>
                        <w:b/>
                        <w:color w:val="1F497D" w:themeColor="text2"/>
                      </w:rPr>
                    </w:pPr>
                    <w:r w:rsidRPr="00863E37">
                      <w:rPr>
                        <w:b/>
                        <w:color w:val="1F497D" w:themeColor="text2"/>
                      </w:rPr>
                      <w:fldChar w:fldCharType="begin"/>
                    </w:r>
                    <w:r w:rsidR="00710E3B" w:rsidRPr="00863E37">
                      <w:rPr>
                        <w:b/>
                        <w:color w:val="1F497D" w:themeColor="text2"/>
                      </w:rPr>
                      <w:instrText xml:space="preserve"> PAGE  \* Arabic  \* MERGEFORMAT </w:instrText>
                    </w:r>
                    <w:r w:rsidRPr="00863E37">
                      <w:rPr>
                        <w:b/>
                        <w:color w:val="1F497D" w:themeColor="text2"/>
                      </w:rPr>
                      <w:fldChar w:fldCharType="separate"/>
                    </w:r>
                    <w:r w:rsidR="00AB6AD9">
                      <w:rPr>
                        <w:b/>
                        <w:noProof/>
                        <w:color w:val="1F497D" w:themeColor="text2"/>
                      </w:rPr>
                      <w:t>1</w:t>
                    </w:r>
                    <w:r w:rsidRPr="00863E37">
                      <w:rPr>
                        <w:b/>
                        <w:color w:val="1F497D" w:themeColor="text2"/>
                      </w:rPr>
                      <w:fldChar w:fldCharType="end"/>
                    </w:r>
                  </w:p>
                </w:txbxContent>
              </v:textbox>
              <w10:wrap anchorx="margin" anchory="margin"/>
            </v:shape>
          </w:pict>
        </mc:Fallback>
      </mc:AlternateContent>
    </w:r>
    <w:sdt>
      <w:sdtPr>
        <w:rPr>
          <w:b/>
          <w:color w:val="1F497D" w:themeColor="text2"/>
        </w:rPr>
        <w:alias w:val="Author"/>
        <w:id w:val="54214575"/>
        <w:placeholder>
          <w:docPart w:val="41743382E3A94A279A22E2CBD2154D1E"/>
        </w:placeholder>
        <w:dataBinding w:prefixMappings="xmlns:ns0='http://schemas.openxmlformats.org/package/2006/metadata/core-properties' xmlns:ns1='http://purl.org/dc/elements/1.1/'" w:xpath="/ns0:coreProperties[1]/ns1:creator[1]" w:storeItemID="{6C3C8BC8-F283-45AE-878A-BAB7291924A1}"/>
        <w:text/>
      </w:sdtPr>
      <w:sdtEndPr/>
      <w:sdtContent>
        <w:r w:rsidR="00727A13">
          <w:rPr>
            <w:b/>
            <w:color w:val="1F497D" w:themeColor="text2"/>
          </w:rPr>
          <w:t>Huong Doan</w:t>
        </w:r>
      </w:sdtContent>
    </w:sdt>
  </w:p>
  <w:p w:rsidR="00A71C67" w:rsidRPr="00B4660E" w:rsidRDefault="00424089">
    <w:pPr>
      <w:pStyle w:val="Footer"/>
      <w:rPr>
        <w:b/>
        <w:color w:val="1F497D" w:themeColor="text2"/>
      </w:rPr>
    </w:pPr>
    <w:r>
      <w:rPr>
        <w:b/>
        <w:noProof/>
        <w:color w:val="1F497D" w:themeColor="text2"/>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488430" cy="36195"/>
              <wp:effectExtent l="0" t="0" r="381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510.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" fillcolor="#4f81bd [3204]" stroked="f" strokeweight="2pt">
              <v:path arrowok="t"/>
              <w10:wrap type="square" anchorx="margin" anchory="margin"/>
            </v:rect>
          </w:pict>
        </mc:Fallback>
      </mc:AlternateContent>
    </w:r>
    <w:r w:rsidR="00CE12C6">
      <w:rPr>
        <w:b/>
        <w:color w:val="1F497D" w:themeColor="text2"/>
      </w:rPr>
      <w:t>November 26th</w:t>
    </w:r>
    <w:r w:rsidR="00A71C67">
      <w:rPr>
        <w:b/>
        <w:color w:val="1F497D" w:themeColor="text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D9" w:rsidRDefault="00AB6AD9" w:rsidP="00713C63">
      <w:r>
        <w:separator/>
      </w:r>
    </w:p>
  </w:footnote>
  <w:footnote w:type="continuationSeparator" w:id="0">
    <w:p w:rsidR="00AB6AD9" w:rsidRDefault="00AB6AD9" w:rsidP="0071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3B" w:rsidRDefault="009E721E">
    <w:pPr>
      <w:pStyle w:val="Header"/>
      <w:rPr>
        <w:rFonts w:ascii="Arial Black" w:hAnsi="Arial Black"/>
        <w:color w:val="1F497D" w:themeColor="text2"/>
      </w:rPr>
    </w:pPr>
    <w:r>
      <w:rPr>
        <w:rFonts w:ascii="Arial Black" w:hAnsi="Arial Black"/>
        <w:color w:val="1F497D" w:themeColor="text2"/>
      </w:rPr>
      <w:t>Southern Company</w:t>
    </w:r>
    <w:r w:rsidR="002B0AF2">
      <w:rPr>
        <w:rFonts w:ascii="Arial Black" w:hAnsi="Arial Black"/>
        <w:color w:val="1F497D" w:themeColor="text2"/>
      </w:rPr>
      <w:t xml:space="preserve"> </w:t>
    </w:r>
    <w:r w:rsidR="00710E3B">
      <w:rPr>
        <w:rFonts w:ascii="Arial Black" w:hAnsi="Arial Black"/>
        <w:color w:val="1F497D" w:themeColor="text2"/>
      </w:rPr>
      <w:t>(</w:t>
    </w:r>
    <w:r>
      <w:rPr>
        <w:rFonts w:ascii="Arial Black" w:hAnsi="Arial Black"/>
        <w:color w:val="1F497D" w:themeColor="text2"/>
      </w:rPr>
      <w:t>SO</w:t>
    </w:r>
    <w:r w:rsidR="00710E3B">
      <w:rPr>
        <w:rFonts w:ascii="Arial Black" w:hAnsi="Arial Black"/>
        <w:color w:val="1F497D" w:themeColor="text2"/>
      </w:rPr>
      <w:t>)</w:t>
    </w:r>
    <w:r w:rsidR="00710E3B">
      <w:rPr>
        <w:rFonts w:ascii="Arial Black" w:hAnsi="Arial Black"/>
        <w:color w:val="1F497D" w:themeColor="text2"/>
      </w:rPr>
      <w:tab/>
    </w:r>
    <w:r w:rsidR="00710E3B">
      <w:rPr>
        <w:rFonts w:ascii="Arial Black" w:hAnsi="Arial Black"/>
        <w:color w:val="1F497D" w:themeColor="text2"/>
      </w:rPr>
      <w:tab/>
    </w:r>
    <w:r w:rsidR="00710E3B">
      <w:rPr>
        <w:rFonts w:ascii="Arial Black" w:hAnsi="Arial Black"/>
        <w:noProof/>
        <w:color w:val="1F497D" w:themeColor="text2"/>
      </w:rPr>
      <w:drawing>
        <wp:inline distT="0" distB="0" distL="0" distR="0">
          <wp:extent cx="1271016" cy="3383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016" cy="338328"/>
                  </a:xfrm>
                  <a:prstGeom prst="rect">
                    <a:avLst/>
                  </a:prstGeom>
                  <a:noFill/>
                </pic:spPr>
              </pic:pic>
            </a:graphicData>
          </a:graphic>
        </wp:inline>
      </w:drawing>
    </w:r>
    <w:r w:rsidR="00710E3B">
      <w:rPr>
        <w:rFonts w:ascii="Arial Black" w:hAnsi="Arial Black"/>
        <w:color w:val="1F497D" w:themeColor="text2"/>
      </w:rPr>
      <w:tab/>
    </w:r>
  </w:p>
  <w:p w:rsidR="00710E3B" w:rsidRPr="00B4660E" w:rsidRDefault="00727A13" w:rsidP="00CC67B4">
    <w:pPr>
      <w:pStyle w:val="Header"/>
      <w:rPr>
        <w:b/>
        <w:color w:val="1F497D" w:themeColor="text2"/>
      </w:rPr>
    </w:pPr>
    <w:r>
      <w:rPr>
        <w:b/>
        <w:color w:val="1F497D" w:themeColor="text2"/>
      </w:rPr>
      <w:t xml:space="preserve">Sector:  </w:t>
    </w:r>
    <w:r w:rsidR="009E721E">
      <w:rPr>
        <w:b/>
        <w:color w:val="1F497D" w:themeColor="text2"/>
      </w:rPr>
      <w:t>Utilities</w:t>
    </w:r>
    <w:r w:rsidR="002B0AF2">
      <w:rPr>
        <w:b/>
        <w:color w:val="1F497D" w:themeColor="text2"/>
      </w:rPr>
      <w:t xml:space="preserve"> (Industry: </w:t>
    </w:r>
    <w:r w:rsidR="009E721E">
      <w:rPr>
        <w:b/>
        <w:color w:val="1F497D" w:themeColor="text2"/>
      </w:rPr>
      <w:t>Electric Utilities</w:t>
    </w:r>
    <w:r w:rsidR="002B0AF2">
      <w:rPr>
        <w:b/>
        <w:color w:val="1F497D" w:themeColor="text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7BD"/>
    <w:multiLevelType w:val="hybridMultilevel"/>
    <w:tmpl w:val="AE3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3E6A"/>
    <w:multiLevelType w:val="hybridMultilevel"/>
    <w:tmpl w:val="FAF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F15F8"/>
    <w:multiLevelType w:val="hybridMultilevel"/>
    <w:tmpl w:val="E19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6272D"/>
    <w:multiLevelType w:val="hybridMultilevel"/>
    <w:tmpl w:val="3C4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B4D91"/>
    <w:multiLevelType w:val="hybridMultilevel"/>
    <w:tmpl w:val="405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6508"/>
    <w:multiLevelType w:val="hybridMultilevel"/>
    <w:tmpl w:val="768C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B0"/>
    <w:rsid w:val="00004F64"/>
    <w:rsid w:val="00006B07"/>
    <w:rsid w:val="00015972"/>
    <w:rsid w:val="000241AF"/>
    <w:rsid w:val="00040EFE"/>
    <w:rsid w:val="0004114A"/>
    <w:rsid w:val="0005207E"/>
    <w:rsid w:val="0006115D"/>
    <w:rsid w:val="000823E9"/>
    <w:rsid w:val="000A6113"/>
    <w:rsid w:val="000B5A26"/>
    <w:rsid w:val="000C1A39"/>
    <w:rsid w:val="000C5480"/>
    <w:rsid w:val="000D7FC3"/>
    <w:rsid w:val="00106C06"/>
    <w:rsid w:val="00121D69"/>
    <w:rsid w:val="001268A5"/>
    <w:rsid w:val="00131060"/>
    <w:rsid w:val="00135A82"/>
    <w:rsid w:val="001430DF"/>
    <w:rsid w:val="00165C4B"/>
    <w:rsid w:val="001678EB"/>
    <w:rsid w:val="001719F6"/>
    <w:rsid w:val="001747AB"/>
    <w:rsid w:val="00176BE6"/>
    <w:rsid w:val="001A3A63"/>
    <w:rsid w:val="001B74A1"/>
    <w:rsid w:val="001C2F59"/>
    <w:rsid w:val="001F1539"/>
    <w:rsid w:val="001F6A6F"/>
    <w:rsid w:val="001F6EA4"/>
    <w:rsid w:val="00240190"/>
    <w:rsid w:val="002428FA"/>
    <w:rsid w:val="00265684"/>
    <w:rsid w:val="00276DF8"/>
    <w:rsid w:val="002879DE"/>
    <w:rsid w:val="002A1A82"/>
    <w:rsid w:val="002A5655"/>
    <w:rsid w:val="002B0AF2"/>
    <w:rsid w:val="002D7ACF"/>
    <w:rsid w:val="002E3835"/>
    <w:rsid w:val="002E64F3"/>
    <w:rsid w:val="002F0662"/>
    <w:rsid w:val="002F5EB8"/>
    <w:rsid w:val="00336A7C"/>
    <w:rsid w:val="00363E67"/>
    <w:rsid w:val="003664BB"/>
    <w:rsid w:val="00387D07"/>
    <w:rsid w:val="003C2C04"/>
    <w:rsid w:val="003F20AD"/>
    <w:rsid w:val="00424089"/>
    <w:rsid w:val="00456111"/>
    <w:rsid w:val="00472692"/>
    <w:rsid w:val="004874A0"/>
    <w:rsid w:val="00493422"/>
    <w:rsid w:val="004B3CCF"/>
    <w:rsid w:val="004D4A34"/>
    <w:rsid w:val="004D7DB1"/>
    <w:rsid w:val="004F6391"/>
    <w:rsid w:val="005077D5"/>
    <w:rsid w:val="0051118B"/>
    <w:rsid w:val="005253F5"/>
    <w:rsid w:val="00535D5E"/>
    <w:rsid w:val="0054001F"/>
    <w:rsid w:val="00587556"/>
    <w:rsid w:val="005925A2"/>
    <w:rsid w:val="005950CA"/>
    <w:rsid w:val="00595E25"/>
    <w:rsid w:val="005B2383"/>
    <w:rsid w:val="005C47B7"/>
    <w:rsid w:val="005C7F71"/>
    <w:rsid w:val="005E4CD1"/>
    <w:rsid w:val="005F5797"/>
    <w:rsid w:val="005F6D8C"/>
    <w:rsid w:val="006021A5"/>
    <w:rsid w:val="006062A7"/>
    <w:rsid w:val="00640269"/>
    <w:rsid w:val="00651BBB"/>
    <w:rsid w:val="00670A11"/>
    <w:rsid w:val="00673065"/>
    <w:rsid w:val="0067700C"/>
    <w:rsid w:val="00680972"/>
    <w:rsid w:val="00687198"/>
    <w:rsid w:val="006C78C2"/>
    <w:rsid w:val="006E348F"/>
    <w:rsid w:val="00710E3B"/>
    <w:rsid w:val="00713C63"/>
    <w:rsid w:val="00725A89"/>
    <w:rsid w:val="00727A13"/>
    <w:rsid w:val="00727DBB"/>
    <w:rsid w:val="00756E71"/>
    <w:rsid w:val="00780582"/>
    <w:rsid w:val="00797EA5"/>
    <w:rsid w:val="008271DD"/>
    <w:rsid w:val="00831644"/>
    <w:rsid w:val="00843193"/>
    <w:rsid w:val="00845F8A"/>
    <w:rsid w:val="00855768"/>
    <w:rsid w:val="00863E37"/>
    <w:rsid w:val="00877ED8"/>
    <w:rsid w:val="008811C7"/>
    <w:rsid w:val="00887FEA"/>
    <w:rsid w:val="00892958"/>
    <w:rsid w:val="008932FC"/>
    <w:rsid w:val="00893D7F"/>
    <w:rsid w:val="008B009D"/>
    <w:rsid w:val="008C66B0"/>
    <w:rsid w:val="008C77DE"/>
    <w:rsid w:val="008C77F0"/>
    <w:rsid w:val="008E4E1F"/>
    <w:rsid w:val="008E5978"/>
    <w:rsid w:val="008E5EE5"/>
    <w:rsid w:val="008E6CCC"/>
    <w:rsid w:val="008F0633"/>
    <w:rsid w:val="008F3E02"/>
    <w:rsid w:val="008F4B9E"/>
    <w:rsid w:val="00905C1F"/>
    <w:rsid w:val="009125A4"/>
    <w:rsid w:val="00921547"/>
    <w:rsid w:val="0092435F"/>
    <w:rsid w:val="00954ADC"/>
    <w:rsid w:val="00957F04"/>
    <w:rsid w:val="00966C31"/>
    <w:rsid w:val="00970A04"/>
    <w:rsid w:val="009750FA"/>
    <w:rsid w:val="009772B8"/>
    <w:rsid w:val="0098676A"/>
    <w:rsid w:val="00987359"/>
    <w:rsid w:val="009A5F06"/>
    <w:rsid w:val="009B4A50"/>
    <w:rsid w:val="009B58A2"/>
    <w:rsid w:val="009D68F5"/>
    <w:rsid w:val="009E1A7B"/>
    <w:rsid w:val="009E20F0"/>
    <w:rsid w:val="009E721E"/>
    <w:rsid w:val="009F0C84"/>
    <w:rsid w:val="009F40DC"/>
    <w:rsid w:val="009F5DB1"/>
    <w:rsid w:val="00A02C80"/>
    <w:rsid w:val="00A02CD7"/>
    <w:rsid w:val="00A20DE2"/>
    <w:rsid w:val="00A2524C"/>
    <w:rsid w:val="00A31C30"/>
    <w:rsid w:val="00A36FD5"/>
    <w:rsid w:val="00A71C67"/>
    <w:rsid w:val="00A90287"/>
    <w:rsid w:val="00A95D96"/>
    <w:rsid w:val="00AB6AD9"/>
    <w:rsid w:val="00AC3BB3"/>
    <w:rsid w:val="00AC4899"/>
    <w:rsid w:val="00AE133C"/>
    <w:rsid w:val="00AF05F0"/>
    <w:rsid w:val="00B2020C"/>
    <w:rsid w:val="00B22EAF"/>
    <w:rsid w:val="00B30D13"/>
    <w:rsid w:val="00B4660E"/>
    <w:rsid w:val="00B73947"/>
    <w:rsid w:val="00B76F17"/>
    <w:rsid w:val="00B80166"/>
    <w:rsid w:val="00B814E1"/>
    <w:rsid w:val="00BA5E80"/>
    <w:rsid w:val="00BA69EA"/>
    <w:rsid w:val="00BB7849"/>
    <w:rsid w:val="00BE7FA4"/>
    <w:rsid w:val="00BF2DE2"/>
    <w:rsid w:val="00C15E2C"/>
    <w:rsid w:val="00C3623C"/>
    <w:rsid w:val="00C37278"/>
    <w:rsid w:val="00C71301"/>
    <w:rsid w:val="00C7317F"/>
    <w:rsid w:val="00C902B0"/>
    <w:rsid w:val="00CA6280"/>
    <w:rsid w:val="00CC67B4"/>
    <w:rsid w:val="00CE12C6"/>
    <w:rsid w:val="00CE62DC"/>
    <w:rsid w:val="00CF18B0"/>
    <w:rsid w:val="00D10D7B"/>
    <w:rsid w:val="00D11CCB"/>
    <w:rsid w:val="00D4572A"/>
    <w:rsid w:val="00D475DC"/>
    <w:rsid w:val="00D5061C"/>
    <w:rsid w:val="00D50DEC"/>
    <w:rsid w:val="00D777E2"/>
    <w:rsid w:val="00D873D1"/>
    <w:rsid w:val="00DC0108"/>
    <w:rsid w:val="00DC7AB6"/>
    <w:rsid w:val="00DF71D1"/>
    <w:rsid w:val="00E001A8"/>
    <w:rsid w:val="00E0226A"/>
    <w:rsid w:val="00E26BFA"/>
    <w:rsid w:val="00E3167C"/>
    <w:rsid w:val="00E40650"/>
    <w:rsid w:val="00E43E1B"/>
    <w:rsid w:val="00E53AAC"/>
    <w:rsid w:val="00E54D60"/>
    <w:rsid w:val="00E63BB1"/>
    <w:rsid w:val="00E75560"/>
    <w:rsid w:val="00E86A2F"/>
    <w:rsid w:val="00E86EFA"/>
    <w:rsid w:val="00E920EB"/>
    <w:rsid w:val="00E9291A"/>
    <w:rsid w:val="00EC517F"/>
    <w:rsid w:val="00F23E1A"/>
    <w:rsid w:val="00F32546"/>
    <w:rsid w:val="00F763C4"/>
    <w:rsid w:val="00F7672E"/>
    <w:rsid w:val="00F856C4"/>
    <w:rsid w:val="00F96809"/>
    <w:rsid w:val="00FA7C59"/>
    <w:rsid w:val="00FD18C9"/>
    <w:rsid w:val="00FD4724"/>
    <w:rsid w:val="00F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9"/>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6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C66B0"/>
    <w:rPr>
      <w:rFonts w:ascii="Tahoma" w:hAnsi="Tahoma" w:cs="Tahoma"/>
      <w:sz w:val="16"/>
      <w:szCs w:val="16"/>
    </w:rPr>
  </w:style>
  <w:style w:type="paragraph" w:styleId="NoSpacing">
    <w:name w:val="No Spacing"/>
    <w:uiPriority w:val="1"/>
    <w:qFormat/>
    <w:rsid w:val="00493422"/>
    <w:pPr>
      <w:spacing w:after="0" w:line="240" w:lineRule="auto"/>
    </w:pPr>
  </w:style>
  <w:style w:type="paragraph" w:styleId="NormalWeb">
    <w:name w:val="Normal (Web)"/>
    <w:basedOn w:val="Normal"/>
    <w:uiPriority w:val="99"/>
    <w:rsid w:val="00493422"/>
    <w:pPr>
      <w:spacing w:before="60" w:after="60"/>
    </w:pPr>
  </w:style>
  <w:style w:type="paragraph" w:styleId="Header">
    <w:name w:val="header"/>
    <w:basedOn w:val="Normal"/>
    <w:link w:val="HeaderChar"/>
    <w:uiPriority w:val="99"/>
    <w:unhideWhenUsed/>
    <w:rsid w:val="00713C63"/>
    <w:pPr>
      <w:tabs>
        <w:tab w:val="center" w:pos="4680"/>
        <w:tab w:val="right" w:pos="9360"/>
      </w:tabs>
    </w:pPr>
  </w:style>
  <w:style w:type="character" w:customStyle="1" w:styleId="HeaderChar">
    <w:name w:val="Header Char"/>
    <w:basedOn w:val="DefaultParagraphFont"/>
    <w:link w:val="Header"/>
    <w:uiPriority w:val="99"/>
    <w:rsid w:val="00713C63"/>
    <w:rPr>
      <w:rFonts w:ascii="Times New Roman" w:eastAsia="PMingLiU" w:hAnsi="Times New Roman" w:cs="Times New Roman"/>
      <w:sz w:val="24"/>
      <w:szCs w:val="24"/>
    </w:rPr>
  </w:style>
  <w:style w:type="paragraph" w:styleId="Footer">
    <w:name w:val="footer"/>
    <w:basedOn w:val="Normal"/>
    <w:link w:val="FooterChar"/>
    <w:uiPriority w:val="99"/>
    <w:unhideWhenUsed/>
    <w:rsid w:val="00713C63"/>
    <w:pPr>
      <w:tabs>
        <w:tab w:val="center" w:pos="4680"/>
        <w:tab w:val="right" w:pos="9360"/>
      </w:tabs>
    </w:pPr>
  </w:style>
  <w:style w:type="character" w:customStyle="1" w:styleId="FooterChar">
    <w:name w:val="Footer Char"/>
    <w:basedOn w:val="DefaultParagraphFont"/>
    <w:link w:val="Footer"/>
    <w:uiPriority w:val="99"/>
    <w:rsid w:val="00713C63"/>
    <w:rPr>
      <w:rFonts w:ascii="Times New Roman" w:eastAsia="PMingLiU" w:hAnsi="Times New Roman" w:cs="Times New Roman"/>
      <w:sz w:val="24"/>
      <w:szCs w:val="24"/>
    </w:rPr>
  </w:style>
  <w:style w:type="paragraph" w:customStyle="1" w:styleId="538552DCBB0F4C4BB087ED922D6A6322">
    <w:name w:val="538552DCBB0F4C4BB087ED922D6A6322"/>
    <w:rsid w:val="00713C63"/>
    <w:rPr>
      <w:rFonts w:eastAsiaTheme="minorEastAsia"/>
      <w:lang w:eastAsia="ja-JP"/>
    </w:rPr>
  </w:style>
  <w:style w:type="character" w:styleId="CommentReference">
    <w:name w:val="annotation reference"/>
    <w:basedOn w:val="DefaultParagraphFont"/>
    <w:uiPriority w:val="99"/>
    <w:semiHidden/>
    <w:unhideWhenUsed/>
    <w:rsid w:val="00E63BB1"/>
    <w:rPr>
      <w:sz w:val="16"/>
      <w:szCs w:val="16"/>
    </w:rPr>
  </w:style>
  <w:style w:type="paragraph" w:styleId="CommentText">
    <w:name w:val="annotation text"/>
    <w:basedOn w:val="Normal"/>
    <w:link w:val="CommentTextChar"/>
    <w:uiPriority w:val="99"/>
    <w:semiHidden/>
    <w:unhideWhenUsed/>
    <w:rsid w:val="00E63BB1"/>
    <w:rPr>
      <w:sz w:val="20"/>
      <w:szCs w:val="20"/>
    </w:rPr>
  </w:style>
  <w:style w:type="character" w:customStyle="1" w:styleId="CommentTextChar">
    <w:name w:val="Comment Text Char"/>
    <w:basedOn w:val="DefaultParagraphFont"/>
    <w:link w:val="CommentText"/>
    <w:uiPriority w:val="99"/>
    <w:semiHidden/>
    <w:rsid w:val="00E63BB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BB1"/>
    <w:rPr>
      <w:b/>
      <w:bCs/>
    </w:rPr>
  </w:style>
  <w:style w:type="character" w:customStyle="1" w:styleId="CommentSubjectChar">
    <w:name w:val="Comment Subject Char"/>
    <w:basedOn w:val="CommentTextChar"/>
    <w:link w:val="CommentSubject"/>
    <w:uiPriority w:val="99"/>
    <w:semiHidden/>
    <w:rsid w:val="00E63BB1"/>
    <w:rPr>
      <w:rFonts w:ascii="Times New Roman" w:eastAsia="PMingLiU" w:hAnsi="Times New Roman" w:cs="Times New Roman"/>
      <w:b/>
      <w:bCs/>
      <w:sz w:val="20"/>
      <w:szCs w:val="20"/>
    </w:rPr>
  </w:style>
  <w:style w:type="table" w:styleId="TableGrid">
    <w:name w:val="Table Grid"/>
    <w:basedOn w:val="TableNormal"/>
    <w:uiPriority w:val="59"/>
    <w:rsid w:val="00D4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457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D457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AC48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9"/>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6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C66B0"/>
    <w:rPr>
      <w:rFonts w:ascii="Tahoma" w:hAnsi="Tahoma" w:cs="Tahoma"/>
      <w:sz w:val="16"/>
      <w:szCs w:val="16"/>
    </w:rPr>
  </w:style>
  <w:style w:type="paragraph" w:styleId="NoSpacing">
    <w:name w:val="No Spacing"/>
    <w:uiPriority w:val="1"/>
    <w:qFormat/>
    <w:rsid w:val="00493422"/>
    <w:pPr>
      <w:spacing w:after="0" w:line="240" w:lineRule="auto"/>
    </w:pPr>
  </w:style>
  <w:style w:type="paragraph" w:styleId="NormalWeb">
    <w:name w:val="Normal (Web)"/>
    <w:basedOn w:val="Normal"/>
    <w:uiPriority w:val="99"/>
    <w:rsid w:val="00493422"/>
    <w:pPr>
      <w:spacing w:before="60" w:after="60"/>
    </w:pPr>
  </w:style>
  <w:style w:type="paragraph" w:styleId="Header">
    <w:name w:val="header"/>
    <w:basedOn w:val="Normal"/>
    <w:link w:val="HeaderChar"/>
    <w:uiPriority w:val="99"/>
    <w:unhideWhenUsed/>
    <w:rsid w:val="00713C63"/>
    <w:pPr>
      <w:tabs>
        <w:tab w:val="center" w:pos="4680"/>
        <w:tab w:val="right" w:pos="9360"/>
      </w:tabs>
    </w:pPr>
  </w:style>
  <w:style w:type="character" w:customStyle="1" w:styleId="HeaderChar">
    <w:name w:val="Header Char"/>
    <w:basedOn w:val="DefaultParagraphFont"/>
    <w:link w:val="Header"/>
    <w:uiPriority w:val="99"/>
    <w:rsid w:val="00713C63"/>
    <w:rPr>
      <w:rFonts w:ascii="Times New Roman" w:eastAsia="PMingLiU" w:hAnsi="Times New Roman" w:cs="Times New Roman"/>
      <w:sz w:val="24"/>
      <w:szCs w:val="24"/>
    </w:rPr>
  </w:style>
  <w:style w:type="paragraph" w:styleId="Footer">
    <w:name w:val="footer"/>
    <w:basedOn w:val="Normal"/>
    <w:link w:val="FooterChar"/>
    <w:uiPriority w:val="99"/>
    <w:unhideWhenUsed/>
    <w:rsid w:val="00713C63"/>
    <w:pPr>
      <w:tabs>
        <w:tab w:val="center" w:pos="4680"/>
        <w:tab w:val="right" w:pos="9360"/>
      </w:tabs>
    </w:pPr>
  </w:style>
  <w:style w:type="character" w:customStyle="1" w:styleId="FooterChar">
    <w:name w:val="Footer Char"/>
    <w:basedOn w:val="DefaultParagraphFont"/>
    <w:link w:val="Footer"/>
    <w:uiPriority w:val="99"/>
    <w:rsid w:val="00713C63"/>
    <w:rPr>
      <w:rFonts w:ascii="Times New Roman" w:eastAsia="PMingLiU" w:hAnsi="Times New Roman" w:cs="Times New Roman"/>
      <w:sz w:val="24"/>
      <w:szCs w:val="24"/>
    </w:rPr>
  </w:style>
  <w:style w:type="paragraph" w:customStyle="1" w:styleId="538552DCBB0F4C4BB087ED922D6A6322">
    <w:name w:val="538552DCBB0F4C4BB087ED922D6A6322"/>
    <w:rsid w:val="00713C63"/>
    <w:rPr>
      <w:rFonts w:eastAsiaTheme="minorEastAsia"/>
      <w:lang w:eastAsia="ja-JP"/>
    </w:rPr>
  </w:style>
  <w:style w:type="character" w:styleId="CommentReference">
    <w:name w:val="annotation reference"/>
    <w:basedOn w:val="DefaultParagraphFont"/>
    <w:uiPriority w:val="99"/>
    <w:semiHidden/>
    <w:unhideWhenUsed/>
    <w:rsid w:val="00E63BB1"/>
    <w:rPr>
      <w:sz w:val="16"/>
      <w:szCs w:val="16"/>
    </w:rPr>
  </w:style>
  <w:style w:type="paragraph" w:styleId="CommentText">
    <w:name w:val="annotation text"/>
    <w:basedOn w:val="Normal"/>
    <w:link w:val="CommentTextChar"/>
    <w:uiPriority w:val="99"/>
    <w:semiHidden/>
    <w:unhideWhenUsed/>
    <w:rsid w:val="00E63BB1"/>
    <w:rPr>
      <w:sz w:val="20"/>
      <w:szCs w:val="20"/>
    </w:rPr>
  </w:style>
  <w:style w:type="character" w:customStyle="1" w:styleId="CommentTextChar">
    <w:name w:val="Comment Text Char"/>
    <w:basedOn w:val="DefaultParagraphFont"/>
    <w:link w:val="CommentText"/>
    <w:uiPriority w:val="99"/>
    <w:semiHidden/>
    <w:rsid w:val="00E63BB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BB1"/>
    <w:rPr>
      <w:b/>
      <w:bCs/>
    </w:rPr>
  </w:style>
  <w:style w:type="character" w:customStyle="1" w:styleId="CommentSubjectChar">
    <w:name w:val="Comment Subject Char"/>
    <w:basedOn w:val="CommentTextChar"/>
    <w:link w:val="CommentSubject"/>
    <w:uiPriority w:val="99"/>
    <w:semiHidden/>
    <w:rsid w:val="00E63BB1"/>
    <w:rPr>
      <w:rFonts w:ascii="Times New Roman" w:eastAsia="PMingLiU" w:hAnsi="Times New Roman" w:cs="Times New Roman"/>
      <w:b/>
      <w:bCs/>
      <w:sz w:val="20"/>
      <w:szCs w:val="20"/>
    </w:rPr>
  </w:style>
  <w:style w:type="table" w:styleId="TableGrid">
    <w:name w:val="Table Grid"/>
    <w:basedOn w:val="TableNormal"/>
    <w:uiPriority w:val="59"/>
    <w:rsid w:val="00D4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457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D4572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AC48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1534">
      <w:bodyDiv w:val="1"/>
      <w:marLeft w:val="0"/>
      <w:marRight w:val="0"/>
      <w:marTop w:val="0"/>
      <w:marBottom w:val="0"/>
      <w:divBdr>
        <w:top w:val="none" w:sz="0" w:space="0" w:color="auto"/>
        <w:left w:val="none" w:sz="0" w:space="0" w:color="auto"/>
        <w:bottom w:val="none" w:sz="0" w:space="0" w:color="auto"/>
        <w:right w:val="none" w:sz="0" w:space="0" w:color="auto"/>
      </w:divBdr>
    </w:div>
    <w:div w:id="1900361887">
      <w:bodyDiv w:val="1"/>
      <w:marLeft w:val="0"/>
      <w:marRight w:val="0"/>
      <w:marTop w:val="0"/>
      <w:marBottom w:val="0"/>
      <w:divBdr>
        <w:top w:val="none" w:sz="0" w:space="0" w:color="auto"/>
        <w:left w:val="none" w:sz="0" w:space="0" w:color="auto"/>
        <w:bottom w:val="none" w:sz="0" w:space="0" w:color="auto"/>
        <w:right w:val="none" w:sz="0" w:space="0" w:color="auto"/>
      </w:divBdr>
    </w:div>
    <w:div w:id="21265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743382E3A94A279A22E2CBD2154D1E"/>
        <w:category>
          <w:name w:val="General"/>
          <w:gallery w:val="placeholder"/>
        </w:category>
        <w:types>
          <w:type w:val="bbPlcHdr"/>
        </w:types>
        <w:behaviors>
          <w:behavior w:val="content"/>
        </w:behaviors>
        <w:guid w:val="{5F080F91-CD91-4278-9884-2E6E4F434DD2}"/>
      </w:docPartPr>
      <w:docPartBody>
        <w:p w:rsidR="00352B90" w:rsidRDefault="00840C2F" w:rsidP="00840C2F">
          <w:pPr>
            <w:pStyle w:val="41743382E3A94A279A22E2CBD2154D1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652E1"/>
    <w:rsid w:val="000C242A"/>
    <w:rsid w:val="00333FC0"/>
    <w:rsid w:val="00352B90"/>
    <w:rsid w:val="003A1899"/>
    <w:rsid w:val="003B57E3"/>
    <w:rsid w:val="00486ABB"/>
    <w:rsid w:val="004924F0"/>
    <w:rsid w:val="004C7615"/>
    <w:rsid w:val="00840C2F"/>
    <w:rsid w:val="008F1A1A"/>
    <w:rsid w:val="0094237E"/>
    <w:rsid w:val="00A913CD"/>
    <w:rsid w:val="00B275E9"/>
    <w:rsid w:val="00B6360C"/>
    <w:rsid w:val="00CA28E8"/>
    <w:rsid w:val="00D44EE4"/>
    <w:rsid w:val="00EF1AD6"/>
    <w:rsid w:val="00F6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86741EFC4FEA8B54538F8C1F3D98">
    <w:name w:val="E05486741EFC4FEA8B54538F8C1F3D98"/>
    <w:rsid w:val="00F652E1"/>
  </w:style>
  <w:style w:type="paragraph" w:customStyle="1" w:styleId="108C5120C24F41E9844B1AAD9CCA1D14">
    <w:name w:val="108C5120C24F41E9844B1AAD9CCA1D14"/>
    <w:rsid w:val="00F652E1"/>
  </w:style>
  <w:style w:type="paragraph" w:customStyle="1" w:styleId="F97AD2ABF22340438F996BFC124C4D2A">
    <w:name w:val="F97AD2ABF22340438F996BFC124C4D2A"/>
    <w:rsid w:val="00F652E1"/>
  </w:style>
  <w:style w:type="paragraph" w:customStyle="1" w:styleId="396C3BD843A442159A83F210A05E36B9">
    <w:name w:val="396C3BD843A442159A83F210A05E36B9"/>
    <w:rsid w:val="00F652E1"/>
  </w:style>
  <w:style w:type="paragraph" w:customStyle="1" w:styleId="2AC16F971D1F4683B154993CF0D0853B">
    <w:name w:val="2AC16F971D1F4683B154993CF0D0853B"/>
    <w:rsid w:val="00F652E1"/>
  </w:style>
  <w:style w:type="paragraph" w:customStyle="1" w:styleId="9589D76459C046FF82BB8FA80DA93107">
    <w:name w:val="9589D76459C046FF82BB8FA80DA93107"/>
    <w:rsid w:val="00F652E1"/>
  </w:style>
  <w:style w:type="paragraph" w:customStyle="1" w:styleId="DC9D34ACCF694A83B7D9163E68F259A6">
    <w:name w:val="DC9D34ACCF694A83B7D9163E68F259A6"/>
    <w:rsid w:val="00840C2F"/>
  </w:style>
  <w:style w:type="paragraph" w:customStyle="1" w:styleId="1F7A51D9877D42299ADD996360574668">
    <w:name w:val="1F7A51D9877D42299ADD996360574668"/>
    <w:rsid w:val="00840C2F"/>
  </w:style>
  <w:style w:type="paragraph" w:customStyle="1" w:styleId="1D077E5A47C341DCA67A68DCAEBC7CEF">
    <w:name w:val="1D077E5A47C341DCA67A68DCAEBC7CEF"/>
    <w:rsid w:val="00840C2F"/>
  </w:style>
  <w:style w:type="paragraph" w:customStyle="1" w:styleId="D42D6D374AEB4326B901D9B1ACEC8E81">
    <w:name w:val="D42D6D374AEB4326B901D9B1ACEC8E81"/>
    <w:rsid w:val="00840C2F"/>
  </w:style>
  <w:style w:type="paragraph" w:customStyle="1" w:styleId="71360B68DE7A44BC978B7BB84159AEE5">
    <w:name w:val="71360B68DE7A44BC978B7BB84159AEE5"/>
    <w:rsid w:val="00840C2F"/>
  </w:style>
  <w:style w:type="paragraph" w:customStyle="1" w:styleId="21BB51FBE5B843909F9A23BD50A155D8">
    <w:name w:val="21BB51FBE5B843909F9A23BD50A155D8"/>
    <w:rsid w:val="00840C2F"/>
  </w:style>
  <w:style w:type="paragraph" w:customStyle="1" w:styleId="7A000A60555448EAADFACD1AA6B3A641">
    <w:name w:val="7A000A60555448EAADFACD1AA6B3A641"/>
    <w:rsid w:val="00840C2F"/>
  </w:style>
  <w:style w:type="paragraph" w:customStyle="1" w:styleId="30EB122DDFC84F828956F2D680236D32">
    <w:name w:val="30EB122DDFC84F828956F2D680236D32"/>
    <w:rsid w:val="00840C2F"/>
  </w:style>
  <w:style w:type="paragraph" w:customStyle="1" w:styleId="D3F42BF6E7BF4CEFB6382175A46462BA">
    <w:name w:val="D3F42BF6E7BF4CEFB6382175A46462BA"/>
    <w:rsid w:val="00840C2F"/>
  </w:style>
  <w:style w:type="paragraph" w:customStyle="1" w:styleId="05BB82BD3B2E4C1ABDDFEB761BA64794">
    <w:name w:val="05BB82BD3B2E4C1ABDDFEB761BA64794"/>
    <w:rsid w:val="00840C2F"/>
  </w:style>
  <w:style w:type="paragraph" w:customStyle="1" w:styleId="41743382E3A94A279A22E2CBD2154D1E">
    <w:name w:val="41743382E3A94A279A22E2CBD2154D1E"/>
    <w:rsid w:val="00840C2F"/>
  </w:style>
  <w:style w:type="paragraph" w:customStyle="1" w:styleId="68EDCF0BA4A742BFB2A74F6D2E33D9C1">
    <w:name w:val="68EDCF0BA4A742BFB2A74F6D2E33D9C1"/>
    <w:rsid w:val="00840C2F"/>
  </w:style>
  <w:style w:type="paragraph" w:customStyle="1" w:styleId="0FBA5F0229914613B8CD3D0318F453C7">
    <w:name w:val="0FBA5F0229914613B8CD3D0318F453C7"/>
    <w:rsid w:val="00840C2F"/>
  </w:style>
  <w:style w:type="paragraph" w:customStyle="1" w:styleId="5BD478A59AF143F0AED5FE3BB22EF57E">
    <w:name w:val="5BD478A59AF143F0AED5FE3BB22EF57E"/>
    <w:rsid w:val="00840C2F"/>
  </w:style>
  <w:style w:type="paragraph" w:customStyle="1" w:styleId="D5D4F89BEDA24BDA897FC689054D49BB">
    <w:name w:val="D5D4F89BEDA24BDA897FC689054D49BB"/>
    <w:rsid w:val="00840C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7760F-FE19-4A43-8DCD-88AFD812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CSX Inc. (NYSE: CSX)</vt:lpstr>
    </vt:vector>
  </TitlesOfParts>
  <Company>Hewlett-Packard</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CSX Inc. (NYSE: CSX)</dc:title>
  <dc:creator>Huong Doan</dc:creator>
  <cp:lastModifiedBy>CHRIS</cp:lastModifiedBy>
  <cp:revision>2</cp:revision>
  <dcterms:created xsi:type="dcterms:W3CDTF">2012-12-14T12:51:00Z</dcterms:created>
  <dcterms:modified xsi:type="dcterms:W3CDTF">2012-12-14T12:51:00Z</dcterms:modified>
</cp:coreProperties>
</file>