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61"/>
        <w:tblW w:w="15195" w:type="dxa"/>
        <w:tblLook w:val="04A0" w:firstRow="1" w:lastRow="0" w:firstColumn="1" w:lastColumn="0" w:noHBand="0" w:noVBand="1"/>
      </w:tblPr>
      <w:tblGrid>
        <w:gridCol w:w="2687"/>
        <w:gridCol w:w="3307"/>
        <w:gridCol w:w="2105"/>
        <w:gridCol w:w="802"/>
        <w:gridCol w:w="3368"/>
        <w:gridCol w:w="2926"/>
      </w:tblGrid>
      <w:tr w:rsidR="007930CF" w:rsidRPr="007E2EC0" w:rsidTr="000037D7">
        <w:trPr>
          <w:trHeight w:val="263"/>
        </w:trPr>
        <w:tc>
          <w:tcPr>
            <w:tcW w:w="2687" w:type="dxa"/>
            <w:vMerge w:val="restart"/>
          </w:tcPr>
          <w:p w:rsidR="007930CF" w:rsidRPr="007E2EC0" w:rsidRDefault="00006680" w:rsidP="000037D7">
            <w:pPr>
              <w:jc w:val="center"/>
              <w:rPr>
                <w:rFonts w:ascii="Arial" w:hAnsi="Arial" w:cs="Arial"/>
                <w:highlight w:val="blue"/>
              </w:rPr>
            </w:pPr>
            <w:r w:rsidRPr="007E2EC0">
              <w:rPr>
                <w:rFonts w:ascii="Arial" w:hAnsi="Arial" w:cs="Arial"/>
                <w:noProof/>
                <w:lang w:val="en-ZW" w:eastAsia="en-ZW"/>
              </w:rPr>
              <w:drawing>
                <wp:inline distT="0" distB="0" distL="0" distR="0" wp14:anchorId="3AF5EB31" wp14:editId="074C9B22">
                  <wp:extent cx="1238250" cy="1238250"/>
                  <wp:effectExtent l="0" t="0" r="0" b="0"/>
                  <wp:docPr id="2" name="Picture 2" descr="http://news.cnet.com/i/bto/20091104/ibm-logo111_270x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cnet.com/i/bto/20091104/ibm-logo111_270x27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2508" w:type="dxa"/>
            <w:gridSpan w:val="5"/>
            <w:shd w:val="clear" w:color="auto" w:fill="002060"/>
          </w:tcPr>
          <w:p w:rsidR="007930CF" w:rsidRPr="007E2EC0" w:rsidRDefault="007930CF" w:rsidP="000037D7">
            <w:pPr>
              <w:jc w:val="center"/>
              <w:rPr>
                <w:rFonts w:ascii="Arial" w:hAnsi="Arial" w:cs="Arial"/>
                <w:b/>
              </w:rPr>
            </w:pPr>
            <w:r w:rsidRPr="007E2EC0">
              <w:rPr>
                <w:rFonts w:ascii="Arial" w:hAnsi="Arial" w:cs="Arial"/>
                <w:b/>
                <w:color w:val="FFFFFF" w:themeColor="background1"/>
              </w:rPr>
              <w:t>Key Statistics</w:t>
            </w:r>
          </w:p>
        </w:tc>
      </w:tr>
      <w:tr w:rsidR="00F22957" w:rsidRPr="007E2EC0" w:rsidTr="000037D7">
        <w:trPr>
          <w:trHeight w:val="1492"/>
        </w:trPr>
        <w:tc>
          <w:tcPr>
            <w:tcW w:w="2687" w:type="dxa"/>
            <w:vMerge/>
          </w:tcPr>
          <w:p w:rsidR="00F22957" w:rsidRPr="007E2EC0" w:rsidRDefault="00F22957" w:rsidP="000037D7">
            <w:pPr>
              <w:rPr>
                <w:rFonts w:ascii="Arial" w:hAnsi="Arial" w:cs="Arial"/>
                <w:highlight w:val="blue"/>
              </w:rPr>
            </w:pPr>
          </w:p>
        </w:tc>
        <w:tc>
          <w:tcPr>
            <w:tcW w:w="3307" w:type="dxa"/>
            <w:tcBorders>
              <w:right w:val="nil"/>
            </w:tcBorders>
            <w:shd w:val="clear" w:color="auto" w:fill="FFFFFF" w:themeFill="background1"/>
          </w:tcPr>
          <w:p w:rsidR="00F22957" w:rsidRPr="007E2EC0" w:rsidRDefault="00F22957" w:rsidP="000037D7">
            <w:pPr>
              <w:rPr>
                <w:rFonts w:ascii="Arial" w:hAnsi="Arial" w:cs="Arial"/>
                <w:b/>
                <w:color w:val="000000" w:themeColor="text1"/>
              </w:rPr>
            </w:pPr>
            <w:r w:rsidRPr="007E2EC0">
              <w:rPr>
                <w:rFonts w:ascii="Arial" w:hAnsi="Arial" w:cs="Arial"/>
                <w:b/>
                <w:color w:val="000000" w:themeColor="text1"/>
              </w:rPr>
              <w:t>Recommendation: BUY</w:t>
            </w:r>
          </w:p>
          <w:p w:rsidR="00F22957" w:rsidRPr="007E2EC0" w:rsidRDefault="00F22957" w:rsidP="000037D7">
            <w:pPr>
              <w:rPr>
                <w:rFonts w:ascii="Arial" w:hAnsi="Arial" w:cs="Arial"/>
                <w:b/>
                <w:color w:val="000000" w:themeColor="text1"/>
              </w:rPr>
            </w:pP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Market Cap</w:t>
            </w:r>
            <w:r w:rsidR="005A1AE0" w:rsidRPr="007E2EC0">
              <w:rPr>
                <w:rFonts w:ascii="Arial" w:hAnsi="Arial" w:cs="Arial"/>
                <w:color w:val="000000" w:themeColor="text1"/>
              </w:rPr>
              <w:t>: 235.2 Billion</w:t>
            </w:r>
            <w:r w:rsidR="00006680" w:rsidRPr="007E2EC0">
              <w:rPr>
                <w:rFonts w:ascii="Arial" w:hAnsi="Arial" w:cs="Arial"/>
                <w:color w:val="000000" w:themeColor="text1"/>
              </w:rPr>
              <w:t xml:space="preserve"> </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52 Week Range</w:t>
            </w:r>
            <w:r w:rsidR="005A1AE0" w:rsidRPr="007E2EC0">
              <w:rPr>
                <w:rFonts w:ascii="Arial" w:hAnsi="Arial" w:cs="Arial"/>
                <w:color w:val="000000" w:themeColor="text1"/>
              </w:rPr>
              <w:t xml:space="preserve">: </w:t>
            </w:r>
            <w:r w:rsidR="005A1AE0" w:rsidRPr="007E2EC0">
              <w:rPr>
                <w:rStyle w:val="grtext1"/>
                <w:rFonts w:ascii="Arial" w:hAnsi="Arial" w:cs="Arial"/>
              </w:rPr>
              <w:t>165.76-210.69</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Dividend</w:t>
            </w:r>
            <w:r w:rsidR="00083ECD" w:rsidRPr="007E2EC0">
              <w:rPr>
                <w:rFonts w:ascii="Arial" w:hAnsi="Arial" w:cs="Arial"/>
                <w:color w:val="000000" w:themeColor="text1"/>
              </w:rPr>
              <w:t>: 2.90</w:t>
            </w:r>
          </w:p>
        </w:tc>
        <w:tc>
          <w:tcPr>
            <w:tcW w:w="2907" w:type="dxa"/>
            <w:gridSpan w:val="2"/>
            <w:tcBorders>
              <w:left w:val="nil"/>
              <w:right w:val="nil"/>
            </w:tcBorders>
            <w:shd w:val="clear" w:color="auto" w:fill="FFFFFF" w:themeFill="background1"/>
          </w:tcPr>
          <w:p w:rsidR="00F22957" w:rsidRPr="007E2EC0" w:rsidRDefault="00F22957" w:rsidP="000037D7">
            <w:pPr>
              <w:rPr>
                <w:rFonts w:ascii="Arial" w:hAnsi="Arial" w:cs="Arial"/>
                <w:color w:val="000000" w:themeColor="text1"/>
              </w:rPr>
            </w:pPr>
          </w:p>
          <w:p w:rsidR="00F22957" w:rsidRPr="007E2EC0" w:rsidRDefault="00F22957" w:rsidP="000037D7">
            <w:pPr>
              <w:rPr>
                <w:rFonts w:ascii="Arial" w:hAnsi="Arial" w:cs="Arial"/>
                <w:color w:val="000000" w:themeColor="text1"/>
              </w:rPr>
            </w:pP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ROE</w:t>
            </w:r>
            <w:r w:rsidR="005A1AE0" w:rsidRPr="007E2EC0">
              <w:rPr>
                <w:rFonts w:ascii="Arial" w:hAnsi="Arial" w:cs="Arial"/>
                <w:color w:val="000000" w:themeColor="text1"/>
              </w:rPr>
              <w:t xml:space="preserve">: </w:t>
            </w:r>
            <w:r w:rsidR="005A1AE0" w:rsidRPr="007E2EC0">
              <w:rPr>
                <w:rFonts w:ascii="Arial" w:hAnsi="Arial" w:cs="Arial"/>
              </w:rPr>
              <w:t>74.37%</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ROIC</w:t>
            </w:r>
            <w:r w:rsidR="005A1AE0" w:rsidRPr="007E2EC0">
              <w:rPr>
                <w:rFonts w:ascii="Arial" w:hAnsi="Arial" w:cs="Arial"/>
                <w:color w:val="000000" w:themeColor="text1"/>
              </w:rPr>
              <w:t xml:space="preserve">: </w:t>
            </w:r>
            <w:r w:rsidR="00083ECD" w:rsidRPr="007E2EC0">
              <w:rPr>
                <w:rFonts w:ascii="Arial" w:hAnsi="Arial" w:cs="Arial"/>
                <w:color w:val="000000" w:themeColor="text1"/>
              </w:rPr>
              <w:t>30.77%</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Dividend Yield</w:t>
            </w:r>
            <w:r w:rsidR="00083ECD" w:rsidRPr="007E2EC0">
              <w:rPr>
                <w:rFonts w:ascii="Arial" w:hAnsi="Arial" w:cs="Arial"/>
                <w:color w:val="000000" w:themeColor="text1"/>
              </w:rPr>
              <w:t>: 1.55%</w:t>
            </w:r>
          </w:p>
        </w:tc>
        <w:tc>
          <w:tcPr>
            <w:tcW w:w="3368" w:type="dxa"/>
            <w:tcBorders>
              <w:left w:val="nil"/>
              <w:right w:val="nil"/>
            </w:tcBorders>
            <w:shd w:val="clear" w:color="auto" w:fill="FFFFFF" w:themeFill="background1"/>
          </w:tcPr>
          <w:p w:rsidR="00F22957" w:rsidRPr="007E2EC0" w:rsidRDefault="00F22957" w:rsidP="000037D7">
            <w:pPr>
              <w:rPr>
                <w:rFonts w:ascii="Arial" w:hAnsi="Arial" w:cs="Arial"/>
                <w:color w:val="000000" w:themeColor="text1"/>
              </w:rPr>
            </w:pPr>
          </w:p>
          <w:p w:rsidR="00F22957" w:rsidRPr="007E2EC0" w:rsidRDefault="00F22957" w:rsidP="000037D7">
            <w:pPr>
              <w:rPr>
                <w:rFonts w:ascii="Arial" w:hAnsi="Arial" w:cs="Arial"/>
                <w:color w:val="000000" w:themeColor="text1"/>
              </w:rPr>
            </w:pP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Gross Profit Margin</w:t>
            </w:r>
            <w:r w:rsidR="000704B7" w:rsidRPr="007E2EC0">
              <w:rPr>
                <w:rFonts w:ascii="Arial" w:hAnsi="Arial" w:cs="Arial"/>
                <w:color w:val="000000" w:themeColor="text1"/>
              </w:rPr>
              <w:t>: 47.40</w:t>
            </w:r>
            <w:r w:rsidR="00083ECD" w:rsidRPr="007E2EC0">
              <w:rPr>
                <w:rFonts w:ascii="Arial" w:hAnsi="Arial" w:cs="Arial"/>
                <w:color w:val="000000" w:themeColor="text1"/>
              </w:rPr>
              <w:t>%</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Operating Profit Margin</w:t>
            </w:r>
            <w:r w:rsidR="000704B7" w:rsidRPr="007E2EC0">
              <w:rPr>
                <w:rFonts w:ascii="Arial" w:hAnsi="Arial" w:cs="Arial"/>
                <w:color w:val="000000" w:themeColor="text1"/>
              </w:rPr>
              <w:t>: 19.35</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Debt/Equity Ratio</w:t>
            </w:r>
            <w:r w:rsidR="000704B7" w:rsidRPr="007E2EC0">
              <w:rPr>
                <w:rFonts w:ascii="Arial" w:hAnsi="Arial" w:cs="Arial"/>
                <w:color w:val="000000" w:themeColor="text1"/>
              </w:rPr>
              <w:t xml:space="preserve">: </w:t>
            </w:r>
            <w:r w:rsidR="00FF3CB5" w:rsidRPr="007E2EC0">
              <w:rPr>
                <w:rFonts w:ascii="Arial" w:hAnsi="Arial" w:cs="Arial"/>
                <w:color w:val="000000" w:themeColor="text1"/>
              </w:rPr>
              <w:t>1.14</w:t>
            </w:r>
          </w:p>
        </w:tc>
        <w:tc>
          <w:tcPr>
            <w:tcW w:w="2926" w:type="dxa"/>
            <w:tcBorders>
              <w:left w:val="nil"/>
            </w:tcBorders>
            <w:shd w:val="clear" w:color="auto" w:fill="FFFFFF" w:themeFill="background1"/>
          </w:tcPr>
          <w:p w:rsidR="00F22957" w:rsidRPr="007E2EC0" w:rsidRDefault="00F22957" w:rsidP="000037D7">
            <w:pPr>
              <w:rPr>
                <w:rFonts w:ascii="Arial" w:hAnsi="Arial" w:cs="Arial"/>
                <w:color w:val="000000" w:themeColor="text1"/>
              </w:rPr>
            </w:pPr>
          </w:p>
          <w:p w:rsidR="00F22957" w:rsidRPr="007E2EC0" w:rsidRDefault="00F22957" w:rsidP="000037D7">
            <w:pPr>
              <w:rPr>
                <w:rFonts w:ascii="Arial" w:hAnsi="Arial" w:cs="Arial"/>
                <w:color w:val="000000" w:themeColor="text1"/>
              </w:rPr>
            </w:pP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Price/Earnings</w:t>
            </w:r>
            <w:r w:rsidR="00083ECD" w:rsidRPr="007E2EC0">
              <w:rPr>
                <w:rFonts w:ascii="Arial" w:hAnsi="Arial" w:cs="Arial"/>
                <w:color w:val="000000" w:themeColor="text1"/>
              </w:rPr>
              <w:t>: 15.0</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Price/Book</w:t>
            </w:r>
            <w:r w:rsidR="00083ECD" w:rsidRPr="007E2EC0">
              <w:rPr>
                <w:rFonts w:ascii="Arial" w:hAnsi="Arial" w:cs="Arial"/>
                <w:color w:val="000000" w:themeColor="text1"/>
              </w:rPr>
              <w:t>: 11.5</w:t>
            </w:r>
          </w:p>
          <w:p w:rsidR="00F22957" w:rsidRPr="007E2EC0" w:rsidRDefault="00F22957" w:rsidP="000037D7">
            <w:pPr>
              <w:rPr>
                <w:rFonts w:ascii="Arial" w:hAnsi="Arial" w:cs="Arial"/>
                <w:color w:val="000000" w:themeColor="text1"/>
              </w:rPr>
            </w:pPr>
            <w:r w:rsidRPr="007E2EC0">
              <w:rPr>
                <w:rFonts w:ascii="Arial" w:hAnsi="Arial" w:cs="Arial"/>
                <w:color w:val="000000" w:themeColor="text1"/>
              </w:rPr>
              <w:t>FCF Yield</w:t>
            </w:r>
            <w:r w:rsidR="00083ECD" w:rsidRPr="007E2EC0">
              <w:rPr>
                <w:rFonts w:ascii="Arial" w:hAnsi="Arial" w:cs="Arial"/>
                <w:color w:val="000000" w:themeColor="text1"/>
              </w:rPr>
              <w:t xml:space="preserve">: </w:t>
            </w:r>
            <w:r w:rsidR="00285B64" w:rsidRPr="007E2EC0">
              <w:rPr>
                <w:rFonts w:ascii="Arial" w:hAnsi="Arial" w:cs="Arial"/>
                <w:color w:val="000000" w:themeColor="text1"/>
              </w:rPr>
              <w:t>6.92%</w:t>
            </w:r>
          </w:p>
        </w:tc>
      </w:tr>
      <w:tr w:rsidR="007930CF" w:rsidRPr="007E2EC0" w:rsidTr="000037D7">
        <w:trPr>
          <w:trHeight w:val="345"/>
        </w:trPr>
        <w:tc>
          <w:tcPr>
            <w:tcW w:w="15195" w:type="dxa"/>
            <w:gridSpan w:val="6"/>
            <w:tcBorders>
              <w:left w:val="nil"/>
              <w:right w:val="nil"/>
            </w:tcBorders>
          </w:tcPr>
          <w:p w:rsidR="007930CF" w:rsidRPr="007E2EC0" w:rsidRDefault="007930CF" w:rsidP="000037D7">
            <w:pPr>
              <w:rPr>
                <w:rFonts w:ascii="Arial" w:hAnsi="Arial" w:cs="Arial"/>
                <w:highlight w:val="blue"/>
              </w:rPr>
            </w:pPr>
          </w:p>
        </w:tc>
      </w:tr>
      <w:tr w:rsidR="007930CF" w:rsidRPr="007E2EC0" w:rsidTr="000037D7">
        <w:trPr>
          <w:trHeight w:val="261"/>
        </w:trPr>
        <w:tc>
          <w:tcPr>
            <w:tcW w:w="8099" w:type="dxa"/>
            <w:gridSpan w:val="3"/>
            <w:shd w:val="clear" w:color="auto" w:fill="002060"/>
          </w:tcPr>
          <w:p w:rsidR="007930CF" w:rsidRPr="007E2EC0" w:rsidRDefault="00BC4E10" w:rsidP="000037D7">
            <w:pPr>
              <w:jc w:val="center"/>
              <w:rPr>
                <w:rFonts w:ascii="Arial" w:hAnsi="Arial" w:cs="Arial"/>
                <w:b/>
                <w:color w:val="FFFFFF" w:themeColor="background1"/>
              </w:rPr>
            </w:pPr>
            <w:r w:rsidRPr="007E2EC0">
              <w:rPr>
                <w:rFonts w:ascii="Arial" w:hAnsi="Arial" w:cs="Arial"/>
                <w:b/>
                <w:color w:val="FFFFFF" w:themeColor="background1"/>
              </w:rPr>
              <w:t>Company Summary</w:t>
            </w:r>
          </w:p>
        </w:tc>
        <w:tc>
          <w:tcPr>
            <w:tcW w:w="7096" w:type="dxa"/>
            <w:gridSpan w:val="3"/>
            <w:shd w:val="clear" w:color="auto" w:fill="002060"/>
          </w:tcPr>
          <w:p w:rsidR="007930CF" w:rsidRPr="007E2EC0" w:rsidRDefault="00BC4E10" w:rsidP="000037D7">
            <w:pPr>
              <w:jc w:val="center"/>
              <w:rPr>
                <w:rFonts w:ascii="Arial" w:hAnsi="Arial" w:cs="Arial"/>
                <w:b/>
                <w:color w:val="FFFFFF" w:themeColor="background1"/>
              </w:rPr>
            </w:pPr>
            <w:r w:rsidRPr="007E2EC0">
              <w:rPr>
                <w:rFonts w:ascii="Arial" w:hAnsi="Arial" w:cs="Arial"/>
                <w:b/>
                <w:color w:val="FFFFFF" w:themeColor="background1"/>
              </w:rPr>
              <w:t>Industry Highlights</w:t>
            </w:r>
          </w:p>
        </w:tc>
      </w:tr>
      <w:tr w:rsidR="007930CF" w:rsidRPr="007E2EC0" w:rsidTr="000037D7">
        <w:trPr>
          <w:trHeight w:val="1942"/>
        </w:trPr>
        <w:tc>
          <w:tcPr>
            <w:tcW w:w="8099" w:type="dxa"/>
            <w:gridSpan w:val="3"/>
          </w:tcPr>
          <w:p w:rsidR="007930CF" w:rsidRPr="007E2EC0" w:rsidRDefault="007930CF" w:rsidP="000037D7">
            <w:pPr>
              <w:rPr>
                <w:rFonts w:ascii="Arial" w:hAnsi="Arial" w:cs="Arial"/>
                <w:highlight w:val="blue"/>
              </w:rPr>
            </w:pPr>
          </w:p>
          <w:p w:rsidR="00285B64" w:rsidRPr="007E2EC0" w:rsidRDefault="00285B64" w:rsidP="000037D7">
            <w:pPr>
              <w:rPr>
                <w:rFonts w:ascii="Arial" w:hAnsi="Arial" w:cs="Arial"/>
                <w:highlight w:val="blue"/>
              </w:rPr>
            </w:pPr>
            <w:r w:rsidRPr="007E2EC0">
              <w:rPr>
                <w:rFonts w:ascii="Arial" w:hAnsi="Arial" w:cs="Arial"/>
              </w:rPr>
              <w:t xml:space="preserve">The International Business Machine (IBM) is a global leader in providing IT Services and Products.  Their diversified </w:t>
            </w:r>
            <w:r w:rsidR="00470D2B" w:rsidRPr="007E2EC0">
              <w:rPr>
                <w:rFonts w:ascii="Arial" w:hAnsi="Arial" w:cs="Arial"/>
              </w:rPr>
              <w:t xml:space="preserve">business </w:t>
            </w:r>
            <w:r w:rsidRPr="007E2EC0">
              <w:rPr>
                <w:rFonts w:ascii="Arial" w:hAnsi="Arial" w:cs="Arial"/>
              </w:rPr>
              <w:t>operation</w:t>
            </w:r>
            <w:r w:rsidR="00392B88" w:rsidRPr="007E2EC0">
              <w:rPr>
                <w:rFonts w:ascii="Arial" w:hAnsi="Arial" w:cs="Arial"/>
              </w:rPr>
              <w:t>s</w:t>
            </w:r>
            <w:r w:rsidRPr="007E2EC0">
              <w:rPr>
                <w:rFonts w:ascii="Arial" w:hAnsi="Arial" w:cs="Arial"/>
              </w:rPr>
              <w:t xml:space="preserve"> and attention to customer needs has </w:t>
            </w:r>
            <w:r w:rsidR="00392B88" w:rsidRPr="007E2EC0">
              <w:rPr>
                <w:rFonts w:ascii="Arial" w:hAnsi="Arial" w:cs="Arial"/>
              </w:rPr>
              <w:t>allowed them to strive in</w:t>
            </w:r>
            <w:r w:rsidR="00470D2B" w:rsidRPr="007E2EC0">
              <w:rPr>
                <w:rFonts w:ascii="Arial" w:hAnsi="Arial" w:cs="Arial"/>
              </w:rPr>
              <w:t xml:space="preserve"> the</w:t>
            </w:r>
            <w:r w:rsidR="00392B88" w:rsidRPr="007E2EC0">
              <w:rPr>
                <w:rFonts w:ascii="Arial" w:hAnsi="Arial" w:cs="Arial"/>
              </w:rPr>
              <w:t xml:space="preserve"> ever changing market.</w:t>
            </w:r>
            <w:r w:rsidR="00470D2B" w:rsidRPr="007E2EC0">
              <w:rPr>
                <w:rFonts w:ascii="Arial" w:hAnsi="Arial" w:cs="Arial"/>
              </w:rPr>
              <w:t xml:space="preserve">  These somewhat varied</w:t>
            </w:r>
            <w:r w:rsidR="00F2110A" w:rsidRPr="007E2EC0">
              <w:rPr>
                <w:rFonts w:ascii="Arial" w:hAnsi="Arial" w:cs="Arial"/>
              </w:rPr>
              <w:t xml:space="preserve"> product segments include Global Technology Services, Global Business Services, Software, Systems and Technology and Global Financing.</w:t>
            </w:r>
            <w:r w:rsidR="00470D2B" w:rsidRPr="007E2EC0">
              <w:rPr>
                <w:rFonts w:ascii="Arial" w:hAnsi="Arial" w:cs="Arial"/>
              </w:rPr>
              <w:t xml:space="preserve">  </w:t>
            </w:r>
          </w:p>
        </w:tc>
        <w:tc>
          <w:tcPr>
            <w:tcW w:w="7096" w:type="dxa"/>
            <w:gridSpan w:val="3"/>
          </w:tcPr>
          <w:p w:rsidR="00C44A04" w:rsidRPr="007E2EC0" w:rsidRDefault="00C44A04" w:rsidP="000037D7">
            <w:pPr>
              <w:rPr>
                <w:rFonts w:ascii="Arial" w:hAnsi="Arial" w:cs="Arial"/>
              </w:rPr>
            </w:pPr>
            <w:r w:rsidRPr="007E2EC0">
              <w:rPr>
                <w:rFonts w:ascii="Arial" w:hAnsi="Arial" w:cs="Arial"/>
              </w:rPr>
              <w:t xml:space="preserve">IBM resides in the </w:t>
            </w:r>
            <w:r w:rsidR="00812D17" w:rsidRPr="007E2EC0">
              <w:rPr>
                <w:rFonts w:ascii="Arial" w:hAnsi="Arial" w:cs="Arial"/>
              </w:rPr>
              <w:t xml:space="preserve">IT Consulting and Other Services industry of the Technology sector.  For this year to date the Technology sector has been one of the highest yielding with a return of </w:t>
            </w:r>
            <w:r w:rsidR="00392B88" w:rsidRPr="007E2EC0">
              <w:rPr>
                <w:rFonts w:ascii="Arial" w:hAnsi="Arial" w:cs="Arial"/>
              </w:rPr>
              <w:t xml:space="preserve">22.52%.  </w:t>
            </w:r>
            <w:r w:rsidR="00470D2B" w:rsidRPr="007E2EC0">
              <w:rPr>
                <w:rFonts w:ascii="Arial" w:hAnsi="Arial" w:cs="Arial"/>
              </w:rPr>
              <w:t>A variety of innovative opportunities, like cloud computing, position</w:t>
            </w:r>
            <w:r w:rsidR="00392B88" w:rsidRPr="007E2EC0">
              <w:rPr>
                <w:rFonts w:ascii="Arial" w:hAnsi="Arial" w:cs="Arial"/>
              </w:rPr>
              <w:t xml:space="preserve"> the sector</w:t>
            </w:r>
            <w:r w:rsidR="00470D2B" w:rsidRPr="007E2EC0">
              <w:rPr>
                <w:rFonts w:ascii="Arial" w:hAnsi="Arial" w:cs="Arial"/>
              </w:rPr>
              <w:t xml:space="preserve"> well</w:t>
            </w:r>
            <w:r w:rsidR="00392B88" w:rsidRPr="007E2EC0">
              <w:rPr>
                <w:rFonts w:ascii="Arial" w:hAnsi="Arial" w:cs="Arial"/>
              </w:rPr>
              <w:t xml:space="preserve"> to continue to grow</w:t>
            </w:r>
            <w:r w:rsidR="000D5E8F" w:rsidRPr="007E2EC0">
              <w:rPr>
                <w:rFonts w:ascii="Arial" w:hAnsi="Arial" w:cs="Arial"/>
              </w:rPr>
              <w:t xml:space="preserve"> at this impressive rate</w:t>
            </w:r>
            <w:r w:rsidR="00392B88" w:rsidRPr="007E2EC0">
              <w:rPr>
                <w:rFonts w:ascii="Arial" w:hAnsi="Arial" w:cs="Arial"/>
              </w:rPr>
              <w:t xml:space="preserve">.  </w:t>
            </w:r>
            <w:r w:rsidR="00812D17" w:rsidRPr="007E2EC0">
              <w:rPr>
                <w:rFonts w:ascii="Arial" w:hAnsi="Arial" w:cs="Arial"/>
              </w:rPr>
              <w:t>However, for how wel</w:t>
            </w:r>
            <w:r w:rsidR="00392B88" w:rsidRPr="007E2EC0">
              <w:rPr>
                <w:rFonts w:ascii="Arial" w:hAnsi="Arial" w:cs="Arial"/>
              </w:rPr>
              <w:t>l this sector has performed, the IT Consulting industry is somewhat</w:t>
            </w:r>
            <w:r w:rsidR="0087516B" w:rsidRPr="007E2EC0">
              <w:rPr>
                <w:rFonts w:ascii="Arial" w:hAnsi="Arial" w:cs="Arial"/>
              </w:rPr>
              <w:t xml:space="preserve"> volatile.  </w:t>
            </w:r>
            <w:r w:rsidR="00470D2B" w:rsidRPr="007E2EC0">
              <w:rPr>
                <w:rFonts w:ascii="Arial" w:hAnsi="Arial" w:cs="Arial"/>
              </w:rPr>
              <w:t>Such r</w:t>
            </w:r>
            <w:r w:rsidR="0087516B" w:rsidRPr="007E2EC0">
              <w:rPr>
                <w:rFonts w:ascii="Arial" w:hAnsi="Arial" w:cs="Arial"/>
              </w:rPr>
              <w:t xml:space="preserve">ecent </w:t>
            </w:r>
            <w:r w:rsidR="0079276E" w:rsidRPr="007E2EC0">
              <w:rPr>
                <w:rFonts w:ascii="Arial" w:hAnsi="Arial" w:cs="Arial"/>
              </w:rPr>
              <w:t>concerns</w:t>
            </w:r>
            <w:r w:rsidR="00470D2B" w:rsidRPr="007E2EC0">
              <w:rPr>
                <w:rFonts w:ascii="Arial" w:hAnsi="Arial" w:cs="Arial"/>
              </w:rPr>
              <w:t xml:space="preserve"> like the issues in the </w:t>
            </w:r>
            <w:r w:rsidR="0079276E" w:rsidRPr="007E2EC0">
              <w:rPr>
                <w:rFonts w:ascii="Arial" w:hAnsi="Arial" w:cs="Arial"/>
              </w:rPr>
              <w:t>Euro</w:t>
            </w:r>
            <w:r w:rsidR="00470D2B" w:rsidRPr="007E2EC0">
              <w:rPr>
                <w:rFonts w:ascii="Arial" w:hAnsi="Arial" w:cs="Arial"/>
              </w:rPr>
              <w:t>zone</w:t>
            </w:r>
            <w:r w:rsidR="0079276E" w:rsidRPr="007E2EC0">
              <w:rPr>
                <w:rFonts w:ascii="Arial" w:hAnsi="Arial" w:cs="Arial"/>
              </w:rPr>
              <w:t xml:space="preserve">, have given rise to worries about </w:t>
            </w:r>
            <w:r w:rsidR="00470D2B" w:rsidRPr="007E2EC0">
              <w:rPr>
                <w:rFonts w:ascii="Arial" w:hAnsi="Arial" w:cs="Arial"/>
              </w:rPr>
              <w:t xml:space="preserve">foreign </w:t>
            </w:r>
            <w:r w:rsidR="0079276E" w:rsidRPr="007E2EC0">
              <w:rPr>
                <w:rFonts w:ascii="Arial" w:hAnsi="Arial" w:cs="Arial"/>
              </w:rPr>
              <w:t>companies</w:t>
            </w:r>
            <w:r w:rsidR="00470D2B" w:rsidRPr="007E2EC0">
              <w:rPr>
                <w:rFonts w:ascii="Arial" w:hAnsi="Arial" w:cs="Arial"/>
              </w:rPr>
              <w:t>’ chances of defaulting on their accounts payable</w:t>
            </w:r>
            <w:r w:rsidR="000D5E8F" w:rsidRPr="007E2EC0">
              <w:rPr>
                <w:rFonts w:ascii="Arial" w:hAnsi="Arial" w:cs="Arial"/>
              </w:rPr>
              <w:t>.</w:t>
            </w:r>
          </w:p>
        </w:tc>
      </w:tr>
      <w:tr w:rsidR="007930CF" w:rsidRPr="007E2EC0" w:rsidTr="000037D7">
        <w:trPr>
          <w:trHeight w:val="248"/>
        </w:trPr>
        <w:tc>
          <w:tcPr>
            <w:tcW w:w="15195" w:type="dxa"/>
            <w:gridSpan w:val="6"/>
            <w:tcBorders>
              <w:left w:val="nil"/>
              <w:right w:val="nil"/>
            </w:tcBorders>
          </w:tcPr>
          <w:p w:rsidR="007930CF" w:rsidRPr="007E2EC0" w:rsidRDefault="007930CF" w:rsidP="000037D7">
            <w:pPr>
              <w:rPr>
                <w:rFonts w:ascii="Arial" w:hAnsi="Arial" w:cs="Arial"/>
                <w:highlight w:val="blue"/>
              </w:rPr>
            </w:pPr>
          </w:p>
        </w:tc>
      </w:tr>
      <w:tr w:rsidR="007930CF" w:rsidRPr="007E2EC0" w:rsidTr="000037D7">
        <w:trPr>
          <w:trHeight w:val="289"/>
        </w:trPr>
        <w:tc>
          <w:tcPr>
            <w:tcW w:w="8901" w:type="dxa"/>
            <w:gridSpan w:val="4"/>
            <w:shd w:val="clear" w:color="auto" w:fill="002060"/>
          </w:tcPr>
          <w:p w:rsidR="007930CF" w:rsidRPr="007E2EC0" w:rsidRDefault="00942604" w:rsidP="000037D7">
            <w:pPr>
              <w:jc w:val="center"/>
              <w:rPr>
                <w:rFonts w:ascii="Arial" w:hAnsi="Arial" w:cs="Arial"/>
                <w:b/>
                <w:color w:val="FFFFFF" w:themeColor="background1"/>
              </w:rPr>
            </w:pPr>
            <w:r w:rsidRPr="007E2EC0">
              <w:rPr>
                <w:rFonts w:ascii="Arial" w:hAnsi="Arial" w:cs="Arial"/>
                <w:b/>
                <w:color w:val="FFFFFF" w:themeColor="background1"/>
              </w:rPr>
              <w:t>5</w:t>
            </w:r>
            <w:r w:rsidR="00BC4E10" w:rsidRPr="007E2EC0">
              <w:rPr>
                <w:rFonts w:ascii="Arial" w:hAnsi="Arial" w:cs="Arial"/>
                <w:b/>
                <w:color w:val="FFFFFF" w:themeColor="background1"/>
              </w:rPr>
              <w:t xml:space="preserve"> Year Stock Price vs. </w:t>
            </w:r>
            <w:r w:rsidRPr="007E2EC0">
              <w:rPr>
                <w:rFonts w:ascii="Arial" w:hAnsi="Arial" w:cs="Arial"/>
                <w:b/>
                <w:color w:val="FFFFFF" w:themeColor="background1"/>
              </w:rPr>
              <w:t>Accenture</w:t>
            </w:r>
            <w:r w:rsidR="00BC4E10" w:rsidRPr="007E2EC0">
              <w:rPr>
                <w:rFonts w:ascii="Arial" w:hAnsi="Arial" w:cs="Arial"/>
                <w:b/>
                <w:color w:val="FFFFFF" w:themeColor="background1"/>
              </w:rPr>
              <w:t xml:space="preserve"> and S&amp;P 500</w:t>
            </w:r>
          </w:p>
        </w:tc>
        <w:tc>
          <w:tcPr>
            <w:tcW w:w="6294" w:type="dxa"/>
            <w:gridSpan w:val="2"/>
            <w:shd w:val="clear" w:color="auto" w:fill="002060"/>
          </w:tcPr>
          <w:p w:rsidR="007930CF" w:rsidRPr="007E2EC0" w:rsidRDefault="00BC4E10" w:rsidP="000037D7">
            <w:pPr>
              <w:jc w:val="center"/>
              <w:rPr>
                <w:rFonts w:ascii="Arial" w:hAnsi="Arial" w:cs="Arial"/>
                <w:b/>
                <w:color w:val="FFFFFF" w:themeColor="background1"/>
              </w:rPr>
            </w:pPr>
            <w:r w:rsidRPr="007E2EC0">
              <w:rPr>
                <w:rFonts w:ascii="Arial" w:hAnsi="Arial" w:cs="Arial"/>
                <w:b/>
                <w:color w:val="FFFFFF" w:themeColor="background1"/>
              </w:rPr>
              <w:t>External Risks</w:t>
            </w:r>
          </w:p>
        </w:tc>
      </w:tr>
      <w:tr w:rsidR="007930CF" w:rsidRPr="007E2EC0" w:rsidTr="000037D7">
        <w:trPr>
          <w:trHeight w:val="2807"/>
        </w:trPr>
        <w:tc>
          <w:tcPr>
            <w:tcW w:w="8901" w:type="dxa"/>
            <w:gridSpan w:val="4"/>
          </w:tcPr>
          <w:p w:rsidR="00942604" w:rsidRPr="007E2EC0" w:rsidRDefault="00942604" w:rsidP="000037D7">
            <w:pPr>
              <w:rPr>
                <w:rFonts w:ascii="Arial" w:hAnsi="Arial" w:cs="Arial"/>
                <w:noProof/>
                <w:lang w:val="en-ZW" w:eastAsia="en-ZW"/>
              </w:rPr>
            </w:pPr>
            <w:r w:rsidRPr="007E2EC0">
              <w:rPr>
                <w:rFonts w:ascii="Arial" w:hAnsi="Arial" w:cs="Arial"/>
                <w:noProof/>
                <w:lang w:val="en-ZW" w:eastAsia="en-ZW"/>
              </w:rPr>
              <w:drawing>
                <wp:anchor distT="0" distB="0" distL="114300" distR="114300" simplePos="0" relativeHeight="251658240" behindDoc="0" locked="0" layoutInCell="1" allowOverlap="1" wp14:anchorId="20E82326" wp14:editId="04991A56">
                  <wp:simplePos x="0" y="0"/>
                  <wp:positionH relativeFrom="column">
                    <wp:posOffset>1905</wp:posOffset>
                  </wp:positionH>
                  <wp:positionV relativeFrom="paragraph">
                    <wp:posOffset>19050</wp:posOffset>
                  </wp:positionV>
                  <wp:extent cx="5543550" cy="171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346" t="40479" r="28846" b="12771"/>
                          <a:stretch/>
                        </pic:blipFill>
                        <pic:spPr bwMode="auto">
                          <a:xfrm>
                            <a:off x="0" y="0"/>
                            <a:ext cx="55435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0CF" w:rsidRPr="007E2EC0" w:rsidRDefault="007930CF" w:rsidP="000037D7">
            <w:pPr>
              <w:rPr>
                <w:rFonts w:ascii="Arial" w:hAnsi="Arial" w:cs="Arial"/>
                <w:highlight w:val="blue"/>
              </w:rPr>
            </w:pPr>
          </w:p>
        </w:tc>
        <w:tc>
          <w:tcPr>
            <w:tcW w:w="6294" w:type="dxa"/>
            <w:gridSpan w:val="2"/>
          </w:tcPr>
          <w:p w:rsidR="00BD4608" w:rsidRPr="007E2EC0" w:rsidRDefault="00BD4608" w:rsidP="000037D7">
            <w:pPr>
              <w:pStyle w:val="ListParagraph"/>
              <w:numPr>
                <w:ilvl w:val="0"/>
                <w:numId w:val="1"/>
              </w:numPr>
              <w:rPr>
                <w:rFonts w:ascii="Arial" w:hAnsi="Arial" w:cs="Arial"/>
              </w:rPr>
            </w:pPr>
            <w:r w:rsidRPr="007E2EC0">
              <w:rPr>
                <w:rFonts w:ascii="Arial" w:hAnsi="Arial" w:cs="Arial"/>
              </w:rPr>
              <w:t>Recent problems in the Eurozone could raise</w:t>
            </w:r>
            <w:r w:rsidR="00470D2B" w:rsidRPr="007E2EC0">
              <w:rPr>
                <w:rFonts w:ascii="Arial" w:hAnsi="Arial" w:cs="Arial"/>
              </w:rPr>
              <w:t xml:space="preserve"> IBM’s accounts receivable</w:t>
            </w:r>
            <w:r w:rsidRPr="007E2EC0">
              <w:rPr>
                <w:rFonts w:ascii="Arial" w:hAnsi="Arial" w:cs="Arial"/>
              </w:rPr>
              <w:t xml:space="preserve"> default risk.</w:t>
            </w:r>
          </w:p>
          <w:p w:rsidR="00BD4608" w:rsidRPr="007E2EC0" w:rsidRDefault="00BD4608" w:rsidP="000037D7">
            <w:pPr>
              <w:pStyle w:val="ListParagraph"/>
              <w:numPr>
                <w:ilvl w:val="0"/>
                <w:numId w:val="1"/>
              </w:numPr>
              <w:rPr>
                <w:rFonts w:ascii="Arial" w:hAnsi="Arial" w:cs="Arial"/>
              </w:rPr>
            </w:pPr>
            <w:r w:rsidRPr="007E2EC0">
              <w:rPr>
                <w:rFonts w:ascii="Arial" w:hAnsi="Arial" w:cs="Arial"/>
              </w:rPr>
              <w:t>Possible inability to avoid</w:t>
            </w:r>
            <w:r w:rsidR="00470D2B" w:rsidRPr="007E2EC0">
              <w:rPr>
                <w:rFonts w:ascii="Arial" w:hAnsi="Arial" w:cs="Arial"/>
              </w:rPr>
              <w:t xml:space="preserve"> the</w:t>
            </w:r>
            <w:r w:rsidRPr="007E2EC0">
              <w:rPr>
                <w:rFonts w:ascii="Arial" w:hAnsi="Arial" w:cs="Arial"/>
              </w:rPr>
              <w:t xml:space="preserve"> consequences of the sector’s volatility.</w:t>
            </w:r>
          </w:p>
          <w:p w:rsidR="00BD4608" w:rsidRPr="007E2EC0" w:rsidRDefault="00470D2B" w:rsidP="000037D7">
            <w:pPr>
              <w:pStyle w:val="ListParagraph"/>
              <w:numPr>
                <w:ilvl w:val="0"/>
                <w:numId w:val="1"/>
              </w:numPr>
              <w:rPr>
                <w:rFonts w:ascii="Arial" w:hAnsi="Arial" w:cs="Arial"/>
              </w:rPr>
            </w:pPr>
            <w:r w:rsidRPr="007E2EC0">
              <w:rPr>
                <w:rFonts w:ascii="Arial" w:hAnsi="Arial" w:cs="Arial"/>
              </w:rPr>
              <w:t>IBM’s c</w:t>
            </w:r>
            <w:r w:rsidR="00BD4608" w:rsidRPr="007E2EC0">
              <w:rPr>
                <w:rFonts w:ascii="Arial" w:hAnsi="Arial" w:cs="Arial"/>
              </w:rPr>
              <w:t>hoice to globally diversify immensely</w:t>
            </w:r>
            <w:r w:rsidR="00AF2DF3" w:rsidRPr="007E2EC0">
              <w:rPr>
                <w:rFonts w:ascii="Arial" w:hAnsi="Arial" w:cs="Arial"/>
              </w:rPr>
              <w:t xml:space="preserve"> could possibly result in poor or no returns on</w:t>
            </w:r>
            <w:r w:rsidRPr="007E2EC0">
              <w:rPr>
                <w:rFonts w:ascii="Arial" w:hAnsi="Arial" w:cs="Arial"/>
              </w:rPr>
              <w:t xml:space="preserve"> certain</w:t>
            </w:r>
            <w:r w:rsidR="00AF2DF3" w:rsidRPr="007E2EC0">
              <w:rPr>
                <w:rFonts w:ascii="Arial" w:hAnsi="Arial" w:cs="Arial"/>
              </w:rPr>
              <w:t xml:space="preserve"> investment</w:t>
            </w:r>
            <w:r w:rsidRPr="007E2EC0">
              <w:rPr>
                <w:rFonts w:ascii="Arial" w:hAnsi="Arial" w:cs="Arial"/>
              </w:rPr>
              <w:t>s</w:t>
            </w:r>
            <w:r w:rsidR="00AF2DF3" w:rsidRPr="007E2EC0">
              <w:rPr>
                <w:rFonts w:ascii="Arial" w:hAnsi="Arial" w:cs="Arial"/>
              </w:rPr>
              <w:t>.</w:t>
            </w:r>
          </w:p>
          <w:p w:rsidR="00606BF2" w:rsidRPr="007E2EC0" w:rsidRDefault="00606BF2" w:rsidP="000037D7">
            <w:pPr>
              <w:pStyle w:val="ListParagraph"/>
              <w:numPr>
                <w:ilvl w:val="0"/>
                <w:numId w:val="1"/>
              </w:numPr>
              <w:rPr>
                <w:rFonts w:ascii="Arial" w:hAnsi="Arial" w:cs="Arial"/>
              </w:rPr>
            </w:pPr>
            <w:r w:rsidRPr="007E2EC0">
              <w:rPr>
                <w:rFonts w:ascii="Arial" w:hAnsi="Arial" w:cs="Arial"/>
              </w:rPr>
              <w:t xml:space="preserve">The acquisition of over 120 companies since 2000 opens possibility for incapable management teams to affect </w:t>
            </w:r>
            <w:r w:rsidR="00470D2B" w:rsidRPr="007E2EC0">
              <w:rPr>
                <w:rFonts w:ascii="Arial" w:hAnsi="Arial" w:cs="Arial"/>
              </w:rPr>
              <w:t xml:space="preserve">IBM’s </w:t>
            </w:r>
            <w:r w:rsidRPr="007E2EC0">
              <w:rPr>
                <w:rFonts w:ascii="Arial" w:hAnsi="Arial" w:cs="Arial"/>
              </w:rPr>
              <w:t>operations.</w:t>
            </w:r>
          </w:p>
        </w:tc>
      </w:tr>
      <w:tr w:rsidR="007930CF" w:rsidRPr="007E2EC0" w:rsidTr="000037D7">
        <w:trPr>
          <w:trHeight w:val="337"/>
        </w:trPr>
        <w:tc>
          <w:tcPr>
            <w:tcW w:w="15195" w:type="dxa"/>
            <w:gridSpan w:val="6"/>
            <w:tcBorders>
              <w:left w:val="nil"/>
              <w:right w:val="nil"/>
            </w:tcBorders>
          </w:tcPr>
          <w:p w:rsidR="007930CF" w:rsidRPr="007E2EC0" w:rsidRDefault="007930CF" w:rsidP="000037D7">
            <w:pPr>
              <w:rPr>
                <w:rFonts w:ascii="Arial" w:hAnsi="Arial" w:cs="Arial"/>
                <w:highlight w:val="blue"/>
              </w:rPr>
            </w:pPr>
          </w:p>
        </w:tc>
      </w:tr>
      <w:tr w:rsidR="007930CF" w:rsidRPr="007E2EC0" w:rsidTr="000037D7">
        <w:trPr>
          <w:trHeight w:val="225"/>
        </w:trPr>
        <w:tc>
          <w:tcPr>
            <w:tcW w:w="8099" w:type="dxa"/>
            <w:gridSpan w:val="3"/>
            <w:shd w:val="clear" w:color="auto" w:fill="002060"/>
          </w:tcPr>
          <w:p w:rsidR="007930CF" w:rsidRPr="007E2EC0" w:rsidRDefault="00BC4E10" w:rsidP="000037D7">
            <w:pPr>
              <w:jc w:val="center"/>
              <w:rPr>
                <w:rFonts w:ascii="Arial" w:hAnsi="Arial" w:cs="Arial"/>
                <w:b/>
                <w:color w:val="FFFFFF" w:themeColor="background1"/>
              </w:rPr>
            </w:pPr>
            <w:r w:rsidRPr="007E2EC0">
              <w:rPr>
                <w:rFonts w:ascii="Arial" w:hAnsi="Arial" w:cs="Arial"/>
                <w:b/>
                <w:color w:val="FFFFFF" w:themeColor="background1"/>
              </w:rPr>
              <w:t>Pros</w:t>
            </w:r>
          </w:p>
        </w:tc>
        <w:tc>
          <w:tcPr>
            <w:tcW w:w="7096" w:type="dxa"/>
            <w:gridSpan w:val="3"/>
            <w:shd w:val="clear" w:color="auto" w:fill="002060"/>
          </w:tcPr>
          <w:p w:rsidR="007930CF" w:rsidRPr="007E2EC0" w:rsidRDefault="00BC4E10" w:rsidP="000037D7">
            <w:pPr>
              <w:jc w:val="center"/>
              <w:rPr>
                <w:rFonts w:ascii="Arial" w:hAnsi="Arial" w:cs="Arial"/>
                <w:b/>
                <w:color w:val="FFFFFF" w:themeColor="background1"/>
              </w:rPr>
            </w:pPr>
            <w:r w:rsidRPr="007E2EC0">
              <w:rPr>
                <w:rFonts w:ascii="Arial" w:hAnsi="Arial" w:cs="Arial"/>
                <w:b/>
                <w:color w:val="FFFFFF" w:themeColor="background1"/>
              </w:rPr>
              <w:t>Cons</w:t>
            </w:r>
          </w:p>
        </w:tc>
      </w:tr>
      <w:tr w:rsidR="007930CF" w:rsidRPr="007E2EC0" w:rsidTr="000037D7">
        <w:trPr>
          <w:trHeight w:val="2486"/>
        </w:trPr>
        <w:tc>
          <w:tcPr>
            <w:tcW w:w="8099" w:type="dxa"/>
            <w:gridSpan w:val="3"/>
          </w:tcPr>
          <w:p w:rsidR="00AF2DF3" w:rsidRPr="007E2EC0" w:rsidRDefault="00AF2DF3" w:rsidP="000037D7">
            <w:pPr>
              <w:pStyle w:val="ListParagraph"/>
              <w:numPr>
                <w:ilvl w:val="0"/>
                <w:numId w:val="3"/>
              </w:numPr>
              <w:rPr>
                <w:rFonts w:ascii="Arial" w:hAnsi="Arial" w:cs="Arial"/>
              </w:rPr>
            </w:pPr>
            <w:r w:rsidRPr="007E2EC0">
              <w:rPr>
                <w:rFonts w:ascii="Arial" w:hAnsi="Arial" w:cs="Arial"/>
              </w:rPr>
              <w:t>Strong management has allowed IBM to identify and promote strengths in software and customer relations.</w:t>
            </w:r>
          </w:p>
          <w:p w:rsidR="00AF2DF3" w:rsidRPr="007E2EC0" w:rsidRDefault="00AF2DF3" w:rsidP="000037D7">
            <w:pPr>
              <w:pStyle w:val="ListParagraph"/>
              <w:numPr>
                <w:ilvl w:val="0"/>
                <w:numId w:val="3"/>
              </w:numPr>
              <w:rPr>
                <w:rFonts w:ascii="Arial" w:hAnsi="Arial" w:cs="Arial"/>
              </w:rPr>
            </w:pPr>
            <w:r w:rsidRPr="007E2EC0">
              <w:rPr>
                <w:rFonts w:ascii="Arial" w:hAnsi="Arial" w:cs="Arial"/>
              </w:rPr>
              <w:t xml:space="preserve">Return on Invested Capital </w:t>
            </w:r>
            <w:r w:rsidR="000D5E8F" w:rsidRPr="007E2EC0">
              <w:rPr>
                <w:rFonts w:ascii="Arial" w:hAnsi="Arial" w:cs="Arial"/>
              </w:rPr>
              <w:t xml:space="preserve">has been </w:t>
            </w:r>
            <w:r w:rsidRPr="007E2EC0">
              <w:rPr>
                <w:rFonts w:ascii="Arial" w:hAnsi="Arial" w:cs="Arial"/>
              </w:rPr>
              <w:t>above 20% since 2006.</w:t>
            </w:r>
          </w:p>
          <w:p w:rsidR="00606BF2" w:rsidRPr="007E2EC0" w:rsidRDefault="00AF2DF3" w:rsidP="000037D7">
            <w:pPr>
              <w:pStyle w:val="ListParagraph"/>
              <w:numPr>
                <w:ilvl w:val="0"/>
                <w:numId w:val="3"/>
              </w:numPr>
              <w:rPr>
                <w:rFonts w:ascii="Arial" w:hAnsi="Arial" w:cs="Arial"/>
              </w:rPr>
            </w:pPr>
            <w:r w:rsidRPr="007E2EC0">
              <w:rPr>
                <w:rFonts w:ascii="Arial" w:hAnsi="Arial" w:cs="Arial"/>
              </w:rPr>
              <w:t>Yearly reductions in Common Shares Outstanding</w:t>
            </w:r>
            <w:r w:rsidR="00606BF2" w:rsidRPr="007E2EC0">
              <w:rPr>
                <w:rFonts w:ascii="Arial" w:hAnsi="Arial" w:cs="Arial"/>
              </w:rPr>
              <w:t xml:space="preserve"> has cut</w:t>
            </w:r>
            <w:r w:rsidR="000D5E8F" w:rsidRPr="007E2EC0">
              <w:rPr>
                <w:rFonts w:ascii="Arial" w:hAnsi="Arial" w:cs="Arial"/>
              </w:rPr>
              <w:t xml:space="preserve"> IBM’s</w:t>
            </w:r>
            <w:r w:rsidR="00606BF2" w:rsidRPr="007E2EC0">
              <w:rPr>
                <w:rFonts w:ascii="Arial" w:hAnsi="Arial" w:cs="Arial"/>
              </w:rPr>
              <w:t xml:space="preserve"> total in half over the</w:t>
            </w:r>
            <w:r w:rsidRPr="007E2EC0">
              <w:rPr>
                <w:rFonts w:ascii="Arial" w:hAnsi="Arial" w:cs="Arial"/>
              </w:rPr>
              <w:t xml:space="preserve"> past 15 years.</w:t>
            </w:r>
          </w:p>
          <w:p w:rsidR="00AF2DF3" w:rsidRPr="007E2EC0" w:rsidRDefault="00606BF2" w:rsidP="000037D7">
            <w:pPr>
              <w:pStyle w:val="ListParagraph"/>
              <w:numPr>
                <w:ilvl w:val="0"/>
                <w:numId w:val="3"/>
              </w:numPr>
              <w:rPr>
                <w:rFonts w:ascii="Arial" w:hAnsi="Arial" w:cs="Arial"/>
              </w:rPr>
            </w:pPr>
            <w:r w:rsidRPr="007E2EC0">
              <w:rPr>
                <w:rFonts w:ascii="Arial" w:hAnsi="Arial" w:cs="Arial"/>
              </w:rPr>
              <w:t>Strong growth in cloud computing revenue (tripled in 2011 from 2010).</w:t>
            </w:r>
          </w:p>
          <w:p w:rsidR="00606BF2" w:rsidRPr="007E2EC0" w:rsidRDefault="00343DFA" w:rsidP="000037D7">
            <w:pPr>
              <w:pStyle w:val="ListParagraph"/>
              <w:numPr>
                <w:ilvl w:val="0"/>
                <w:numId w:val="3"/>
              </w:numPr>
              <w:rPr>
                <w:rFonts w:ascii="Arial" w:hAnsi="Arial" w:cs="Arial"/>
              </w:rPr>
            </w:pPr>
            <w:r w:rsidRPr="007E2EC0">
              <w:rPr>
                <w:rFonts w:ascii="Arial" w:hAnsi="Arial" w:cs="Arial"/>
              </w:rPr>
              <w:t>Presence in emerging markets</w:t>
            </w:r>
            <w:r w:rsidR="00606BF2" w:rsidRPr="007E2EC0">
              <w:rPr>
                <w:rFonts w:ascii="Arial" w:hAnsi="Arial" w:cs="Arial"/>
              </w:rPr>
              <w:t>.</w:t>
            </w:r>
          </w:p>
          <w:p w:rsidR="00606BF2" w:rsidRPr="007E2EC0" w:rsidRDefault="00606BF2" w:rsidP="000037D7">
            <w:pPr>
              <w:pStyle w:val="ListParagraph"/>
              <w:numPr>
                <w:ilvl w:val="0"/>
                <w:numId w:val="3"/>
              </w:numPr>
              <w:rPr>
                <w:rFonts w:ascii="Arial" w:hAnsi="Arial" w:cs="Arial"/>
              </w:rPr>
            </w:pPr>
            <w:r w:rsidRPr="007E2EC0">
              <w:rPr>
                <w:rFonts w:ascii="Arial" w:hAnsi="Arial" w:cs="Arial"/>
              </w:rPr>
              <w:t>Yearly drop in COGS percentage of sales since 2003.</w:t>
            </w:r>
          </w:p>
        </w:tc>
        <w:tc>
          <w:tcPr>
            <w:tcW w:w="7096" w:type="dxa"/>
            <w:gridSpan w:val="3"/>
          </w:tcPr>
          <w:p w:rsidR="007930CF" w:rsidRPr="007E2EC0" w:rsidRDefault="007930CF" w:rsidP="000037D7">
            <w:pPr>
              <w:rPr>
                <w:rFonts w:ascii="Arial" w:hAnsi="Arial" w:cs="Arial"/>
              </w:rPr>
            </w:pPr>
          </w:p>
          <w:p w:rsidR="00606BF2" w:rsidRPr="007E2EC0" w:rsidRDefault="00606BF2" w:rsidP="000037D7">
            <w:pPr>
              <w:pStyle w:val="ListParagraph"/>
              <w:numPr>
                <w:ilvl w:val="0"/>
                <w:numId w:val="3"/>
              </w:numPr>
              <w:rPr>
                <w:rFonts w:ascii="Arial" w:hAnsi="Arial" w:cs="Arial"/>
              </w:rPr>
            </w:pPr>
            <w:r w:rsidRPr="007E2EC0">
              <w:rPr>
                <w:rFonts w:ascii="Arial" w:hAnsi="Arial" w:cs="Arial"/>
              </w:rPr>
              <w:t>S</w:t>
            </w:r>
            <w:r w:rsidR="00470D2B" w:rsidRPr="007E2EC0">
              <w:rPr>
                <w:rFonts w:ascii="Arial" w:hAnsi="Arial" w:cs="Arial"/>
              </w:rPr>
              <w:t>trong competition from companies like Microsoft and Amazon,</w:t>
            </w:r>
            <w:r w:rsidRPr="007E2EC0">
              <w:rPr>
                <w:rFonts w:ascii="Arial" w:hAnsi="Arial" w:cs="Arial"/>
              </w:rPr>
              <w:t xml:space="preserve"> in </w:t>
            </w:r>
            <w:r w:rsidR="00470D2B" w:rsidRPr="007E2EC0">
              <w:rPr>
                <w:rFonts w:ascii="Arial" w:hAnsi="Arial" w:cs="Arial"/>
              </w:rPr>
              <w:t xml:space="preserve">the </w:t>
            </w:r>
            <w:r w:rsidRPr="007E2EC0">
              <w:rPr>
                <w:rFonts w:ascii="Arial" w:hAnsi="Arial" w:cs="Arial"/>
              </w:rPr>
              <w:t>pursuit of controlling cloud computing market.</w:t>
            </w:r>
          </w:p>
          <w:p w:rsidR="00606BF2" w:rsidRPr="007E2EC0" w:rsidRDefault="00606BF2" w:rsidP="000037D7">
            <w:pPr>
              <w:pStyle w:val="ListParagraph"/>
              <w:numPr>
                <w:ilvl w:val="0"/>
                <w:numId w:val="1"/>
              </w:numPr>
              <w:rPr>
                <w:rFonts w:ascii="Arial" w:hAnsi="Arial" w:cs="Arial"/>
              </w:rPr>
            </w:pPr>
            <w:r w:rsidRPr="007E2EC0">
              <w:rPr>
                <w:rFonts w:ascii="Arial" w:hAnsi="Arial" w:cs="Arial"/>
              </w:rPr>
              <w:t xml:space="preserve"> IBM has only increased revenu</w:t>
            </w:r>
            <w:r w:rsidR="00470D2B" w:rsidRPr="007E2EC0">
              <w:rPr>
                <w:rFonts w:ascii="Arial" w:hAnsi="Arial" w:cs="Arial"/>
              </w:rPr>
              <w:t>e by $3 Billion (3%) since 2008, possibly hints at an inability to grow.</w:t>
            </w:r>
          </w:p>
          <w:p w:rsidR="00606BF2" w:rsidRPr="007E2EC0" w:rsidRDefault="00606BF2" w:rsidP="000037D7">
            <w:pPr>
              <w:pStyle w:val="ListParagraph"/>
              <w:numPr>
                <w:ilvl w:val="0"/>
                <w:numId w:val="3"/>
              </w:numPr>
              <w:rPr>
                <w:rFonts w:ascii="Arial" w:hAnsi="Arial" w:cs="Arial"/>
              </w:rPr>
            </w:pPr>
            <w:r w:rsidRPr="007E2EC0">
              <w:rPr>
                <w:rFonts w:ascii="Arial" w:hAnsi="Arial" w:cs="Arial"/>
              </w:rPr>
              <w:t xml:space="preserve">Large </w:t>
            </w:r>
            <w:r w:rsidR="00470D2B" w:rsidRPr="007E2EC0">
              <w:rPr>
                <w:rFonts w:ascii="Arial" w:hAnsi="Arial" w:cs="Arial"/>
              </w:rPr>
              <w:t>global e</w:t>
            </w:r>
            <w:r w:rsidRPr="007E2EC0">
              <w:rPr>
                <w:rFonts w:ascii="Arial" w:hAnsi="Arial" w:cs="Arial"/>
              </w:rPr>
              <w:t>xposure</w:t>
            </w:r>
            <w:r w:rsidR="00470D2B" w:rsidRPr="007E2EC0">
              <w:rPr>
                <w:rFonts w:ascii="Arial" w:hAnsi="Arial" w:cs="Arial"/>
              </w:rPr>
              <w:t xml:space="preserve">, could introduce IBM to unwanted political and currency risk. </w:t>
            </w:r>
          </w:p>
        </w:tc>
      </w:tr>
    </w:tbl>
    <w:p w:rsidR="000D3E92" w:rsidRDefault="000D3E92" w:rsidP="00226E65">
      <w:pPr>
        <w:cnfStyle w:val="101000000000" w:firstRow="1" w:lastRow="0" w:firstColumn="1" w:lastColumn="0" w:oddVBand="0" w:evenVBand="0" w:oddHBand="0" w:evenHBand="0" w:firstRowFirstColumn="0" w:firstRowLastColumn="0" w:lastRowFirstColumn="0" w:lastRowLastColumn="0"/>
        <w:rPr>
          <w:b/>
          <w:bCs/>
          <w:iCs/>
          <w:color w:val="FFFFFF"/>
        </w:rPr>
        <w:sectPr w:rsidR="000D3E92" w:rsidSect="000D3E92">
          <w:pgSz w:w="15840" w:h="12240" w:orient="landscape"/>
          <w:pgMar w:top="432" w:right="432" w:bottom="432" w:left="432" w:header="720" w:footer="720" w:gutter="0"/>
          <w:cols w:space="720"/>
          <w:docGrid w:linePitch="360"/>
        </w:sectPr>
      </w:pPr>
    </w:p>
    <w:tbl>
      <w:tblPr>
        <w:tblStyle w:val="TableClassic3"/>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0D3E92" w:rsidTr="007E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6" w:type="dxa"/>
            <w:tcBorders>
              <w:bottom w:val="none" w:sz="0" w:space="0" w:color="auto"/>
            </w:tcBorders>
          </w:tcPr>
          <w:p w:rsidR="000D3E92" w:rsidRPr="000D3E92" w:rsidRDefault="000D3E92" w:rsidP="00226E65">
            <w:pPr>
              <w:rPr>
                <w:i w:val="0"/>
                <w:sz w:val="24"/>
                <w:szCs w:val="24"/>
              </w:rPr>
            </w:pPr>
            <w:r w:rsidRPr="000D3E92">
              <w:rPr>
                <w:i w:val="0"/>
                <w:sz w:val="24"/>
                <w:szCs w:val="24"/>
              </w:rPr>
              <w:lastRenderedPageBreak/>
              <w:t>Who is IBM?</w:t>
            </w:r>
          </w:p>
        </w:tc>
      </w:tr>
      <w:tr w:rsidR="000D3E92" w:rsidTr="007E2EC0">
        <w:tc>
          <w:tcPr>
            <w:cnfStyle w:val="001000000000" w:firstRow="0" w:lastRow="0" w:firstColumn="1" w:lastColumn="0" w:oddVBand="0" w:evenVBand="0" w:oddHBand="0" w:evenHBand="0" w:firstRowFirstColumn="0" w:firstRowLastColumn="0" w:lastRowFirstColumn="0" w:lastRowLastColumn="0"/>
            <w:tcW w:w="9216" w:type="dxa"/>
            <w:shd w:val="clear" w:color="auto" w:fill="FFFFFF" w:themeFill="background1"/>
          </w:tcPr>
          <w:p w:rsidR="000D3E92" w:rsidRPr="00FF0DFD" w:rsidRDefault="000D3E92" w:rsidP="00226E65">
            <w:pPr>
              <w:rPr>
                <w:rFonts w:ascii="Arial" w:hAnsi="Arial" w:cs="Arial"/>
                <w:b w:val="0"/>
                <w:sz w:val="22"/>
                <w:szCs w:val="22"/>
              </w:rPr>
            </w:pPr>
          </w:p>
          <w:p w:rsidR="000D3E92" w:rsidRPr="00FF0DFD" w:rsidRDefault="000D3E92" w:rsidP="00226E65">
            <w:pPr>
              <w:rPr>
                <w:rFonts w:ascii="Arial" w:hAnsi="Arial" w:cs="Arial"/>
                <w:b w:val="0"/>
                <w:sz w:val="22"/>
                <w:szCs w:val="22"/>
              </w:rPr>
            </w:pPr>
            <w:r w:rsidRPr="00FF0DFD">
              <w:rPr>
                <w:rFonts w:ascii="Arial" w:hAnsi="Arial" w:cs="Arial"/>
                <w:b w:val="0"/>
                <w:sz w:val="22"/>
                <w:szCs w:val="22"/>
              </w:rPr>
              <w:t>The International Business Machines Corporation (IBM) is a global leader in providing Information Technology services and products.  From their origin in 1910</w:t>
            </w:r>
            <w:r>
              <w:rPr>
                <w:rFonts w:ascii="Arial" w:hAnsi="Arial" w:cs="Arial"/>
                <w:b w:val="0"/>
                <w:sz w:val="22"/>
                <w:szCs w:val="22"/>
              </w:rPr>
              <w:t>, they have</w:t>
            </w:r>
            <w:r w:rsidRPr="00FF0DFD">
              <w:rPr>
                <w:rFonts w:ascii="Arial" w:hAnsi="Arial" w:cs="Arial"/>
                <w:b w:val="0"/>
                <w:sz w:val="22"/>
                <w:szCs w:val="22"/>
              </w:rPr>
              <w:t xml:space="preserve"> learned to succeed in the constantly changing technological world</w:t>
            </w:r>
            <w:r>
              <w:rPr>
                <w:rFonts w:ascii="Arial" w:hAnsi="Arial" w:cs="Arial"/>
                <w:b w:val="0"/>
                <w:sz w:val="22"/>
                <w:szCs w:val="22"/>
              </w:rPr>
              <w:t xml:space="preserve"> by adapting their</w:t>
            </w:r>
            <w:r w:rsidRPr="00FF0DFD">
              <w:rPr>
                <w:rFonts w:ascii="Arial" w:hAnsi="Arial" w:cs="Arial"/>
                <w:b w:val="0"/>
                <w:sz w:val="22"/>
                <w:szCs w:val="22"/>
              </w:rPr>
              <w:t xml:space="preserve"> products to match the growing needs of the expanding industry.  This success has been maintained as a result of IBM’s focus on instilling particular values.  These values can be defined as a dedication to clients’ success, a passion for innovation and creating trust and responsibility in all relationships.  The end result of such values has been IBM’s ability to match their innovative products with the needs of customers to create successful business relationships that allow IBM to help their clients gain more value and efficiency from their operations.  </w:t>
            </w:r>
          </w:p>
          <w:p w:rsidR="000D3E92" w:rsidRPr="00FF0DFD" w:rsidRDefault="000D3E92" w:rsidP="00226E65">
            <w:pPr>
              <w:rPr>
                <w:rFonts w:ascii="Arial" w:hAnsi="Arial" w:cs="Arial"/>
                <w:b w:val="0"/>
                <w:sz w:val="22"/>
                <w:szCs w:val="22"/>
              </w:rPr>
            </w:pPr>
          </w:p>
          <w:p w:rsidR="000D3E92" w:rsidRPr="00FF0DFD" w:rsidRDefault="000D3E92" w:rsidP="00226E65">
            <w:pPr>
              <w:rPr>
                <w:rFonts w:ascii="Arial" w:hAnsi="Arial" w:cs="Arial"/>
                <w:b w:val="0"/>
                <w:sz w:val="22"/>
                <w:szCs w:val="22"/>
              </w:rPr>
            </w:pPr>
            <w:r w:rsidRPr="00FF0DFD">
              <w:rPr>
                <w:rFonts w:ascii="Arial" w:hAnsi="Arial" w:cs="Arial"/>
                <w:b w:val="0"/>
                <w:sz w:val="22"/>
                <w:szCs w:val="22"/>
              </w:rPr>
              <w:t>Through the success of IBM’s ability to provide customers with valuable products and solutions to business queries, they have expanded their operations into five main sectors: Global Technology Services (GTS), Global Business Services (GBS), Software, Systems and Technology, and Global Financing.  The Global Services, GTS and GBS, are concentrated on providing IBM’s renowned information technology and professional solutions to businesses with the goal of creating more efficient and valuable operations.  The Software segment allows customers to better integrate systems and improve business results through the use of IBM’s middleware and operating systems.  Additionally, Systems and Technology provides clients with extra computing power and storage by providing a variety of servers and storage systems.  Finally, Global Financing is primarily fixated on aiding consumers’ acquisition of IBM products.  As can be observed, IBM has grown into a technologically diversified corporation.</w:t>
            </w:r>
          </w:p>
          <w:p w:rsidR="000D3E92" w:rsidRPr="00FF0DFD" w:rsidRDefault="000D3E92" w:rsidP="00226E65">
            <w:pPr>
              <w:rPr>
                <w:rFonts w:ascii="Arial" w:hAnsi="Arial" w:cs="Arial"/>
                <w:b w:val="0"/>
                <w:sz w:val="22"/>
                <w:szCs w:val="22"/>
              </w:rPr>
            </w:pPr>
          </w:p>
          <w:p w:rsidR="000D3E92" w:rsidRPr="00FF0DFD" w:rsidRDefault="000D3E92" w:rsidP="00226E65">
            <w:pPr>
              <w:rPr>
                <w:rFonts w:ascii="Arial" w:hAnsi="Arial" w:cs="Arial"/>
                <w:b w:val="0"/>
                <w:sz w:val="22"/>
                <w:szCs w:val="22"/>
              </w:rPr>
            </w:pPr>
            <w:r w:rsidRPr="00FF0DFD">
              <w:rPr>
                <w:rFonts w:ascii="Arial" w:hAnsi="Arial" w:cs="Arial"/>
                <w:b w:val="0"/>
                <w:sz w:val="22"/>
                <w:szCs w:val="22"/>
              </w:rPr>
              <w:t>By taking a look at IBM’s operations today, it becomes clear that their focus on providing and creating innovative solutions for the customer is as st</w:t>
            </w:r>
            <w:r>
              <w:rPr>
                <w:rFonts w:ascii="Arial" w:hAnsi="Arial" w:cs="Arial"/>
                <w:b w:val="0"/>
                <w:sz w:val="22"/>
                <w:szCs w:val="22"/>
              </w:rPr>
              <w:t xml:space="preserve">rong as it has ever been.  Their current plan for the future can be </w:t>
            </w:r>
            <w:r w:rsidRPr="00FF0DFD">
              <w:rPr>
                <w:rFonts w:ascii="Arial" w:hAnsi="Arial" w:cs="Arial"/>
                <w:b w:val="0"/>
                <w:sz w:val="22"/>
                <w:szCs w:val="22"/>
              </w:rPr>
              <w:t xml:space="preserve">summed up nicely by the recent slogan, “Let’s Build a Smart Planet.”  </w:t>
            </w:r>
            <w:r>
              <w:rPr>
                <w:rFonts w:ascii="Arial" w:hAnsi="Arial" w:cs="Arial"/>
                <w:b w:val="0"/>
                <w:sz w:val="22"/>
                <w:szCs w:val="22"/>
              </w:rPr>
              <w:t xml:space="preserve">In other words, </w:t>
            </w:r>
            <w:r w:rsidRPr="00FF0DFD">
              <w:rPr>
                <w:rFonts w:ascii="Arial" w:hAnsi="Arial" w:cs="Arial"/>
                <w:b w:val="0"/>
                <w:sz w:val="22"/>
                <w:szCs w:val="22"/>
              </w:rPr>
              <w:t>IBM’s strategy for the time being is mostly consumed by the</w:t>
            </w:r>
            <w:r>
              <w:rPr>
                <w:rFonts w:ascii="Arial" w:hAnsi="Arial" w:cs="Arial"/>
                <w:b w:val="0"/>
                <w:sz w:val="22"/>
                <w:szCs w:val="22"/>
              </w:rPr>
              <w:t xml:space="preserve"> Smarter Planet initiative.  T</w:t>
            </w:r>
            <w:r w:rsidRPr="00FF0DFD">
              <w:rPr>
                <w:rFonts w:ascii="Arial" w:hAnsi="Arial" w:cs="Arial"/>
                <w:b w:val="0"/>
                <w:sz w:val="22"/>
                <w:szCs w:val="22"/>
              </w:rPr>
              <w:t xml:space="preserve">he Smarter Planet is a program </w:t>
            </w:r>
            <w:r w:rsidR="00361F04" w:rsidRPr="00FF0DFD">
              <w:rPr>
                <w:rFonts w:ascii="Arial" w:hAnsi="Arial" w:cs="Arial"/>
                <w:b w:val="0"/>
                <w:sz w:val="22"/>
                <w:szCs w:val="22"/>
              </w:rPr>
              <w:t>cantered</w:t>
            </w:r>
            <w:r w:rsidRPr="00FF0DFD">
              <w:rPr>
                <w:rFonts w:ascii="Arial" w:hAnsi="Arial" w:cs="Arial"/>
                <w:b w:val="0"/>
                <w:sz w:val="22"/>
                <w:szCs w:val="22"/>
              </w:rPr>
              <w:t xml:space="preserve"> on providing customers with the ability to not only address problems, but predict and avoid them, thus producing more profitable operations.  By expanding cloud computing and business analytics, while further customizing offerings to customer’s specific needs, IBM plans on reshaping the way their clients do business.  The consistent change and growth of IBM make them an exciting company to follow as they progress into the future.   </w:t>
            </w:r>
          </w:p>
          <w:p w:rsidR="000D3E92" w:rsidRPr="00FF0DFD" w:rsidRDefault="000D3E92" w:rsidP="00226E65">
            <w:pPr>
              <w:rPr>
                <w:rFonts w:ascii="Arial" w:hAnsi="Arial" w:cs="Arial"/>
                <w:b w:val="0"/>
                <w:sz w:val="22"/>
                <w:szCs w:val="22"/>
              </w:rPr>
            </w:pPr>
          </w:p>
        </w:tc>
      </w:tr>
    </w:tbl>
    <w:p w:rsidR="000D3E92" w:rsidRDefault="000D3E92" w:rsidP="000D3E92">
      <w:r>
        <w:t xml:space="preserve">  </w:t>
      </w:r>
    </w:p>
    <w:tbl>
      <w:tblPr>
        <w:tblStyle w:val="TableClassic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D3E92" w:rsidTr="00A07A6A">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856" w:type="dxa"/>
            <w:tcBorders>
              <w:bottom w:val="none" w:sz="0" w:space="0" w:color="auto"/>
            </w:tcBorders>
          </w:tcPr>
          <w:p w:rsidR="000D3E92" w:rsidRPr="000D3E92" w:rsidRDefault="000D3E92" w:rsidP="00226E65">
            <w:pPr>
              <w:rPr>
                <w:i w:val="0"/>
                <w:sz w:val="24"/>
                <w:szCs w:val="24"/>
              </w:rPr>
            </w:pPr>
            <w:r w:rsidRPr="000D3E92">
              <w:rPr>
                <w:i w:val="0"/>
                <w:sz w:val="24"/>
                <w:szCs w:val="24"/>
              </w:rPr>
              <w:t>Business Analysis</w:t>
            </w:r>
          </w:p>
        </w:tc>
      </w:tr>
      <w:tr w:rsidR="000D3E92" w:rsidTr="00A07A6A">
        <w:trPr>
          <w:trHeight w:val="3434"/>
        </w:trPr>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rsidR="000D3E92" w:rsidRPr="00391581" w:rsidRDefault="000D3E92" w:rsidP="00226E65">
            <w:pPr>
              <w:rPr>
                <w:rFonts w:ascii="Arial" w:hAnsi="Arial" w:cs="Arial"/>
                <w:b w:val="0"/>
                <w:sz w:val="22"/>
                <w:szCs w:val="22"/>
              </w:rPr>
            </w:pPr>
          </w:p>
          <w:p w:rsidR="000D3E92" w:rsidRPr="00391581" w:rsidRDefault="000D3E92" w:rsidP="00226E65">
            <w:pPr>
              <w:rPr>
                <w:rFonts w:ascii="Arial" w:hAnsi="Arial" w:cs="Arial"/>
                <w:b w:val="0"/>
                <w:sz w:val="22"/>
                <w:szCs w:val="22"/>
              </w:rPr>
            </w:pPr>
            <w:r w:rsidRPr="00391581">
              <w:rPr>
                <w:rFonts w:ascii="Arial" w:hAnsi="Arial" w:cs="Arial"/>
                <w:b w:val="0"/>
                <w:sz w:val="22"/>
                <w:szCs w:val="22"/>
              </w:rPr>
              <w:t>As an information technology product and service provider the International Business Machine Corporation’s success is highly leveraged on their ability to create solutions that will create value for their customers.  Thus</w:t>
            </w:r>
            <w:r>
              <w:rPr>
                <w:rFonts w:ascii="Arial" w:hAnsi="Arial" w:cs="Arial"/>
                <w:b w:val="0"/>
                <w:sz w:val="22"/>
                <w:szCs w:val="22"/>
              </w:rPr>
              <w:t xml:space="preserve">, as IBM has developed into a </w:t>
            </w:r>
            <w:r w:rsidRPr="00391581">
              <w:rPr>
                <w:rFonts w:ascii="Arial" w:hAnsi="Arial" w:cs="Arial"/>
                <w:b w:val="0"/>
                <w:sz w:val="22"/>
                <w:szCs w:val="22"/>
              </w:rPr>
              <w:t>global</w:t>
            </w:r>
            <w:r>
              <w:rPr>
                <w:rFonts w:ascii="Arial" w:hAnsi="Arial" w:cs="Arial"/>
                <w:b w:val="0"/>
                <w:sz w:val="22"/>
                <w:szCs w:val="22"/>
              </w:rPr>
              <w:t>ly</w:t>
            </w:r>
            <w:r w:rsidRPr="00391581">
              <w:rPr>
                <w:rFonts w:ascii="Arial" w:hAnsi="Arial" w:cs="Arial"/>
                <w:b w:val="0"/>
                <w:sz w:val="22"/>
                <w:szCs w:val="22"/>
              </w:rPr>
              <w:t xml:space="preserve"> succes</w:t>
            </w:r>
            <w:r>
              <w:rPr>
                <w:rFonts w:ascii="Arial" w:hAnsi="Arial" w:cs="Arial"/>
                <w:b w:val="0"/>
                <w:sz w:val="22"/>
                <w:szCs w:val="22"/>
              </w:rPr>
              <w:t>sful company they have created</w:t>
            </w:r>
            <w:r w:rsidRPr="00391581">
              <w:rPr>
                <w:rFonts w:ascii="Arial" w:hAnsi="Arial" w:cs="Arial"/>
                <w:b w:val="0"/>
                <w:sz w:val="22"/>
                <w:szCs w:val="22"/>
              </w:rPr>
              <w:t xml:space="preserve"> a competitive advantage through their customer centric focus.  </w:t>
            </w:r>
            <w:r>
              <w:rPr>
                <w:rFonts w:ascii="Arial" w:hAnsi="Arial" w:cs="Arial"/>
                <w:b w:val="0"/>
                <w:sz w:val="22"/>
                <w:szCs w:val="22"/>
              </w:rPr>
              <w:t>This customer based</w:t>
            </w:r>
            <w:r w:rsidRPr="00391581">
              <w:rPr>
                <w:rFonts w:ascii="Arial" w:hAnsi="Arial" w:cs="Arial"/>
                <w:b w:val="0"/>
                <w:sz w:val="22"/>
                <w:szCs w:val="22"/>
              </w:rPr>
              <w:t xml:space="preserve"> business model has resulted in IBM’s focus of providing unique solutions to clients designed around increasing revenue and efficiency, while minimizing the costs incurred.  In addition to concentrating business functions on the customer, the company is also heavily fixed on maximizing value for shareholders.  Through the process of setting goals for the future and expanding operations IBM has created opportunities for growth and risk described below.</w:t>
            </w:r>
          </w:p>
          <w:p w:rsidR="00311871" w:rsidRPr="00391581" w:rsidRDefault="00311871" w:rsidP="00226E65">
            <w:pPr>
              <w:rPr>
                <w:rFonts w:ascii="Arial" w:hAnsi="Arial" w:cs="Arial"/>
                <w:b w:val="0"/>
                <w:sz w:val="22"/>
                <w:szCs w:val="22"/>
              </w:rPr>
            </w:pPr>
          </w:p>
          <w:p w:rsidR="00A07A6A" w:rsidRDefault="00A07A6A" w:rsidP="00226E65">
            <w:pPr>
              <w:rPr>
                <w:rFonts w:ascii="Arial" w:hAnsi="Arial" w:cs="Arial"/>
                <w:b w:val="0"/>
                <w:i/>
                <w:sz w:val="22"/>
                <w:szCs w:val="22"/>
              </w:rPr>
            </w:pPr>
          </w:p>
          <w:p w:rsidR="00A07A6A" w:rsidRDefault="00A07A6A" w:rsidP="00226E65">
            <w:pPr>
              <w:rPr>
                <w:rFonts w:ascii="Arial" w:hAnsi="Arial" w:cs="Arial"/>
                <w:b w:val="0"/>
                <w:i/>
                <w:sz w:val="22"/>
                <w:szCs w:val="22"/>
              </w:rPr>
            </w:pPr>
          </w:p>
          <w:p w:rsidR="00A07A6A" w:rsidRDefault="00A07A6A" w:rsidP="00226E65">
            <w:pPr>
              <w:rPr>
                <w:rFonts w:ascii="Arial" w:hAnsi="Arial" w:cs="Arial"/>
                <w:b w:val="0"/>
                <w:i/>
                <w:sz w:val="22"/>
                <w:szCs w:val="22"/>
              </w:rPr>
            </w:pPr>
          </w:p>
          <w:p w:rsidR="00A07A6A" w:rsidRDefault="00A07A6A" w:rsidP="00226E65">
            <w:pPr>
              <w:rPr>
                <w:rFonts w:ascii="Arial" w:hAnsi="Arial" w:cs="Arial"/>
                <w:b w:val="0"/>
                <w:i/>
                <w:sz w:val="22"/>
                <w:szCs w:val="22"/>
              </w:rPr>
            </w:pPr>
          </w:p>
          <w:p w:rsidR="00A07A6A" w:rsidRDefault="00A07A6A" w:rsidP="00226E65">
            <w:pPr>
              <w:rPr>
                <w:rFonts w:ascii="Arial" w:hAnsi="Arial" w:cs="Arial"/>
                <w:b w:val="0"/>
                <w:i/>
                <w:sz w:val="22"/>
                <w:szCs w:val="22"/>
              </w:rPr>
            </w:pPr>
          </w:p>
          <w:p w:rsidR="000D3E92" w:rsidRPr="00391581" w:rsidRDefault="000D3E92" w:rsidP="00226E65">
            <w:pPr>
              <w:rPr>
                <w:rFonts w:ascii="Arial" w:hAnsi="Arial" w:cs="Arial"/>
                <w:b w:val="0"/>
                <w:i/>
                <w:sz w:val="22"/>
                <w:szCs w:val="22"/>
              </w:rPr>
            </w:pPr>
            <w:r w:rsidRPr="00391581">
              <w:rPr>
                <w:rFonts w:ascii="Arial" w:hAnsi="Arial" w:cs="Arial"/>
                <w:b w:val="0"/>
                <w:i/>
                <w:sz w:val="22"/>
                <w:szCs w:val="22"/>
              </w:rPr>
              <w:t>Growth Opportunities</w:t>
            </w:r>
          </w:p>
          <w:p w:rsidR="000D3E92" w:rsidRPr="00391581" w:rsidRDefault="000D3E92" w:rsidP="00226E65">
            <w:pPr>
              <w:ind w:firstLine="360"/>
              <w:rPr>
                <w:rFonts w:ascii="Arial" w:hAnsi="Arial" w:cs="Arial"/>
                <w:b w:val="0"/>
                <w:i/>
                <w:sz w:val="22"/>
                <w:szCs w:val="22"/>
              </w:rPr>
            </w:pPr>
          </w:p>
          <w:p w:rsidR="000D3E92" w:rsidRPr="00391581" w:rsidRDefault="000D3E92" w:rsidP="000D3E92">
            <w:pPr>
              <w:pStyle w:val="ListParagraph"/>
              <w:numPr>
                <w:ilvl w:val="0"/>
                <w:numId w:val="4"/>
              </w:numPr>
              <w:tabs>
                <w:tab w:val="left" w:pos="90"/>
              </w:tabs>
              <w:ind w:left="360"/>
              <w:rPr>
                <w:rFonts w:ascii="Arial" w:hAnsi="Arial" w:cs="Arial"/>
                <w:b w:val="0"/>
                <w:i/>
                <w:sz w:val="22"/>
                <w:szCs w:val="22"/>
              </w:rPr>
            </w:pPr>
            <w:r w:rsidRPr="00391581">
              <w:rPr>
                <w:rFonts w:ascii="Arial" w:hAnsi="Arial" w:cs="Arial"/>
                <w:b w:val="0"/>
                <w:noProof/>
                <w:sz w:val="22"/>
                <w:szCs w:val="22"/>
              </w:rPr>
              <w:drawing>
                <wp:anchor distT="0" distB="0" distL="114300" distR="114300" simplePos="0" relativeHeight="251661312" behindDoc="1" locked="0" layoutInCell="1" allowOverlap="1" wp14:anchorId="10BFFA33" wp14:editId="2FEE2E5A">
                  <wp:simplePos x="0" y="0"/>
                  <wp:positionH relativeFrom="column">
                    <wp:posOffset>3086100</wp:posOffset>
                  </wp:positionH>
                  <wp:positionV relativeFrom="paragraph">
                    <wp:posOffset>2624455</wp:posOffset>
                  </wp:positionV>
                  <wp:extent cx="2762250" cy="1381125"/>
                  <wp:effectExtent l="0" t="0" r="0" b="9525"/>
                  <wp:wrapTight wrapText="bothSides">
                    <wp:wrapPolygon edited="0">
                      <wp:start x="0" y="0"/>
                      <wp:lineTo x="0" y="21451"/>
                      <wp:lineTo x="21451" y="21451"/>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7153" t="47558" r="23958" b="17855"/>
                          <a:stretch/>
                        </pic:blipFill>
                        <pic:spPr bwMode="auto">
                          <a:xfrm>
                            <a:off x="0" y="0"/>
                            <a:ext cx="276225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581">
              <w:rPr>
                <w:rFonts w:ascii="Arial" w:hAnsi="Arial" w:cs="Arial"/>
                <w:b w:val="0"/>
                <w:sz w:val="22"/>
                <w:szCs w:val="22"/>
              </w:rPr>
              <w:t xml:space="preserve">Smarter Planet: It would appear that IBM has made Smarter Planet their leading growth initiative.  This effort is concentrated on allowing their customers to absorb the immense amount of data created each day, and use it in efficient ways to anticipate changes in their industry, thus resulting in a competitive advantage.  Smarter Planet is primarily led by two other growth platforms, Business Analytics and Cloud Computing.  Business Analytics allows one to collect, organize and use the “big data” to make informed decisions.  While, Cloud Computing operates with the goal </w:t>
            </w:r>
            <w:r>
              <w:rPr>
                <w:rFonts w:ascii="Arial" w:hAnsi="Arial" w:cs="Arial"/>
                <w:b w:val="0"/>
                <w:sz w:val="22"/>
                <w:szCs w:val="22"/>
              </w:rPr>
              <w:t xml:space="preserve">of </w:t>
            </w:r>
            <w:r w:rsidRPr="00391581">
              <w:rPr>
                <w:rFonts w:ascii="Arial" w:hAnsi="Arial" w:cs="Arial"/>
                <w:b w:val="0"/>
                <w:sz w:val="22"/>
                <w:szCs w:val="22"/>
              </w:rPr>
              <w:t>eliminating unnecessary costs of holding data in specific hardware and progra</w:t>
            </w:r>
            <w:r>
              <w:rPr>
                <w:rFonts w:ascii="Arial" w:hAnsi="Arial" w:cs="Arial"/>
                <w:b w:val="0"/>
                <w:sz w:val="22"/>
                <w:szCs w:val="22"/>
              </w:rPr>
              <w:t>ms; in turn,</w:t>
            </w:r>
            <w:r w:rsidRPr="00391581">
              <w:rPr>
                <w:rFonts w:ascii="Arial" w:hAnsi="Arial" w:cs="Arial"/>
                <w:b w:val="0"/>
                <w:sz w:val="22"/>
                <w:szCs w:val="22"/>
              </w:rPr>
              <w:t xml:space="preserve"> allowing solutions to be created in an easily accessible and efficient manner.  The positive result</w:t>
            </w:r>
            <w:r>
              <w:rPr>
                <w:rFonts w:ascii="Arial" w:hAnsi="Arial" w:cs="Arial"/>
                <w:b w:val="0"/>
                <w:sz w:val="22"/>
                <w:szCs w:val="22"/>
              </w:rPr>
              <w:t>s</w:t>
            </w:r>
            <w:r w:rsidRPr="00391581">
              <w:rPr>
                <w:rFonts w:ascii="Arial" w:hAnsi="Arial" w:cs="Arial"/>
                <w:b w:val="0"/>
                <w:sz w:val="22"/>
                <w:szCs w:val="22"/>
              </w:rPr>
              <w:t xml:space="preserve"> of Smarter Planet have already been seen; as</w:t>
            </w:r>
            <w:r>
              <w:rPr>
                <w:rFonts w:ascii="Arial" w:hAnsi="Arial" w:cs="Arial"/>
                <w:b w:val="0"/>
                <w:sz w:val="22"/>
                <w:szCs w:val="22"/>
              </w:rPr>
              <w:t xml:space="preserve"> its</w:t>
            </w:r>
            <w:r w:rsidRPr="00391581">
              <w:rPr>
                <w:rFonts w:ascii="Arial" w:hAnsi="Arial" w:cs="Arial"/>
                <w:b w:val="0"/>
                <w:sz w:val="22"/>
                <w:szCs w:val="22"/>
              </w:rPr>
              <w:t xml:space="preserve"> revenue grew almost 50% from 2010 to </w:t>
            </w:r>
            <w:r>
              <w:rPr>
                <w:rFonts w:ascii="Arial" w:hAnsi="Arial" w:cs="Arial"/>
                <w:b w:val="0"/>
                <w:sz w:val="22"/>
                <w:szCs w:val="22"/>
              </w:rPr>
              <w:t>2011; furthermore,</w:t>
            </w:r>
            <w:r w:rsidRPr="00391581">
              <w:rPr>
                <w:rFonts w:ascii="Arial" w:hAnsi="Arial" w:cs="Arial"/>
                <w:b w:val="0"/>
                <w:sz w:val="22"/>
                <w:szCs w:val="22"/>
              </w:rPr>
              <w:t xml:space="preserve"> the revenues of Cloud Computing more than tripled and Business Analytics’</w:t>
            </w:r>
            <w:r>
              <w:rPr>
                <w:rFonts w:ascii="Arial" w:hAnsi="Arial" w:cs="Arial"/>
                <w:b w:val="0"/>
                <w:sz w:val="22"/>
                <w:szCs w:val="22"/>
              </w:rPr>
              <w:t xml:space="preserve"> increased by 16%.  And beyond the revenue gains</w:t>
            </w:r>
            <w:r w:rsidRPr="00391581">
              <w:rPr>
                <w:rFonts w:ascii="Arial" w:hAnsi="Arial" w:cs="Arial"/>
                <w:b w:val="0"/>
                <w:sz w:val="22"/>
                <w:szCs w:val="22"/>
              </w:rPr>
              <w:t xml:space="preserve">, successful applications of the program have also </w:t>
            </w:r>
            <w:r>
              <w:rPr>
                <w:rFonts w:ascii="Arial" w:hAnsi="Arial" w:cs="Arial"/>
                <w:b w:val="0"/>
                <w:sz w:val="22"/>
                <w:szCs w:val="22"/>
              </w:rPr>
              <w:t>occurred.  F</w:t>
            </w:r>
            <w:r w:rsidRPr="00391581">
              <w:rPr>
                <w:rFonts w:ascii="Arial" w:hAnsi="Arial" w:cs="Arial"/>
                <w:b w:val="0"/>
                <w:sz w:val="22"/>
                <w:szCs w:val="22"/>
              </w:rPr>
              <w:t>or example, police forces have been able to lower crime rates by using data to track patterns and predict when and where problems will occur.  The overall valuable nature of the Smarter Planet program should</w:t>
            </w:r>
            <w:r>
              <w:rPr>
                <w:rFonts w:ascii="Arial" w:hAnsi="Arial" w:cs="Arial"/>
                <w:b w:val="0"/>
                <w:sz w:val="22"/>
                <w:szCs w:val="22"/>
              </w:rPr>
              <w:t xml:space="preserve"> create a global demand for IBM’s solutions and </w:t>
            </w:r>
            <w:r w:rsidRPr="00391581">
              <w:rPr>
                <w:rFonts w:ascii="Arial" w:hAnsi="Arial" w:cs="Arial"/>
                <w:b w:val="0"/>
                <w:sz w:val="22"/>
                <w:szCs w:val="22"/>
              </w:rPr>
              <w:t xml:space="preserve">enable </w:t>
            </w:r>
            <w:r>
              <w:rPr>
                <w:rFonts w:ascii="Arial" w:hAnsi="Arial" w:cs="Arial"/>
                <w:b w:val="0"/>
                <w:sz w:val="22"/>
                <w:szCs w:val="22"/>
              </w:rPr>
              <w:t>the</w:t>
            </w:r>
            <w:r w:rsidRPr="00391581">
              <w:rPr>
                <w:rFonts w:ascii="Arial" w:hAnsi="Arial" w:cs="Arial"/>
                <w:b w:val="0"/>
                <w:sz w:val="22"/>
                <w:szCs w:val="22"/>
              </w:rPr>
              <w:t xml:space="preserve"> outlook</w:t>
            </w:r>
            <w:r>
              <w:rPr>
                <w:rFonts w:ascii="Arial" w:hAnsi="Arial" w:cs="Arial"/>
                <w:b w:val="0"/>
                <w:sz w:val="22"/>
                <w:szCs w:val="22"/>
              </w:rPr>
              <w:t xml:space="preserve"> to be positive</w:t>
            </w:r>
            <w:r w:rsidRPr="00391581">
              <w:rPr>
                <w:rFonts w:ascii="Arial" w:hAnsi="Arial" w:cs="Arial"/>
                <w:b w:val="0"/>
                <w:sz w:val="22"/>
                <w:szCs w:val="22"/>
              </w:rPr>
              <w:t>.</w:t>
            </w:r>
            <w:r w:rsidRPr="00391581">
              <w:rPr>
                <w:rFonts w:ascii="Arial" w:hAnsi="Arial" w:cs="Arial"/>
                <w:b w:val="0"/>
                <w:noProof/>
                <w:sz w:val="22"/>
                <w:szCs w:val="22"/>
              </w:rPr>
              <w:t xml:space="preserve"> </w:t>
            </w:r>
          </w:p>
          <w:p w:rsidR="000D3E92" w:rsidRPr="00391581" w:rsidRDefault="000D3E92" w:rsidP="00226E65">
            <w:pPr>
              <w:pStyle w:val="ListParagraph"/>
              <w:rPr>
                <w:rFonts w:ascii="Arial" w:hAnsi="Arial" w:cs="Arial"/>
                <w:b w:val="0"/>
                <w:i/>
                <w:sz w:val="22"/>
                <w:szCs w:val="22"/>
              </w:rPr>
            </w:pPr>
            <w:r w:rsidRPr="00391581">
              <w:rPr>
                <w:rFonts w:ascii="Arial" w:hAnsi="Arial" w:cs="Arial"/>
                <w:b w:val="0"/>
                <w:sz w:val="22"/>
                <w:szCs w:val="22"/>
              </w:rPr>
              <w:t xml:space="preserve"> </w:t>
            </w:r>
          </w:p>
          <w:p w:rsidR="000D3E92" w:rsidRPr="00391581" w:rsidRDefault="000D3E92" w:rsidP="000D3E92">
            <w:pPr>
              <w:pStyle w:val="ListParagraph"/>
              <w:numPr>
                <w:ilvl w:val="0"/>
                <w:numId w:val="4"/>
              </w:numPr>
              <w:tabs>
                <w:tab w:val="left" w:pos="360"/>
              </w:tabs>
              <w:ind w:left="360"/>
              <w:rPr>
                <w:rFonts w:ascii="Arial" w:hAnsi="Arial" w:cs="Arial"/>
                <w:b w:val="0"/>
                <w:i/>
                <w:sz w:val="22"/>
                <w:szCs w:val="22"/>
              </w:rPr>
            </w:pPr>
            <w:r w:rsidRPr="00391581">
              <w:rPr>
                <w:rFonts w:ascii="Arial" w:hAnsi="Arial" w:cs="Arial"/>
                <w:b w:val="0"/>
                <w:sz w:val="22"/>
                <w:szCs w:val="22"/>
              </w:rPr>
              <w:t xml:space="preserve">Global Expansion: In IBM’s efforts to expand, the company has grown its global outlook.  By recognizing that emerging markets are projected to account for more than 60 </w:t>
            </w:r>
            <w:r w:rsidR="00361F04" w:rsidRPr="00391581">
              <w:rPr>
                <w:rFonts w:ascii="Arial" w:hAnsi="Arial" w:cs="Arial"/>
                <w:b w:val="0"/>
                <w:sz w:val="22"/>
                <w:szCs w:val="22"/>
              </w:rPr>
              <w:t>per cent</w:t>
            </w:r>
            <w:r w:rsidRPr="00391581">
              <w:rPr>
                <w:rFonts w:ascii="Arial" w:hAnsi="Arial" w:cs="Arial"/>
                <w:b w:val="0"/>
                <w:sz w:val="22"/>
                <w:szCs w:val="22"/>
              </w:rPr>
              <w:t xml:space="preserve"> of the global GDP growth in the upcoming four years, </w:t>
            </w:r>
            <w:r>
              <w:rPr>
                <w:rFonts w:ascii="Arial" w:hAnsi="Arial" w:cs="Arial"/>
                <w:b w:val="0"/>
                <w:sz w:val="22"/>
                <w:szCs w:val="22"/>
              </w:rPr>
              <w:t xml:space="preserve">IBM </w:t>
            </w:r>
            <w:r w:rsidRPr="00391581">
              <w:rPr>
                <w:rFonts w:ascii="Arial" w:hAnsi="Arial" w:cs="Arial"/>
                <w:b w:val="0"/>
                <w:sz w:val="22"/>
                <w:szCs w:val="22"/>
              </w:rPr>
              <w:t>has decided to invest heavily in these markets.  This growth program has resulted in IBM growing its presence in over 170 different countries.  Furthermore, this action has allowed IBM to focus its outlook beyond the traditional international countries like Brazil, Russia, India or China (BRIC).  Instead, IBM has found itself in</w:t>
            </w:r>
            <w:r>
              <w:rPr>
                <w:rFonts w:ascii="Arial" w:hAnsi="Arial" w:cs="Arial"/>
                <w:b w:val="0"/>
                <w:sz w:val="22"/>
                <w:szCs w:val="22"/>
              </w:rPr>
              <w:t xml:space="preserve"> growth markets, such as</w:t>
            </w:r>
            <w:r w:rsidRPr="00391581">
              <w:rPr>
                <w:rFonts w:ascii="Arial" w:hAnsi="Arial" w:cs="Arial"/>
                <w:b w:val="0"/>
                <w:sz w:val="22"/>
                <w:szCs w:val="22"/>
              </w:rPr>
              <w:t xml:space="preserve"> various locations across the African continent</w:t>
            </w:r>
            <w:r>
              <w:rPr>
                <w:rFonts w:ascii="Arial" w:hAnsi="Arial" w:cs="Arial"/>
                <w:b w:val="0"/>
                <w:sz w:val="22"/>
                <w:szCs w:val="22"/>
              </w:rPr>
              <w:t>,</w:t>
            </w:r>
            <w:r w:rsidRPr="00391581">
              <w:rPr>
                <w:rFonts w:ascii="Arial" w:hAnsi="Arial" w:cs="Arial"/>
                <w:b w:val="0"/>
                <w:sz w:val="22"/>
                <w:szCs w:val="22"/>
              </w:rPr>
              <w:t xml:space="preserve"> to develop talent and bring innovative tools to </w:t>
            </w:r>
            <w:r>
              <w:rPr>
                <w:rFonts w:ascii="Arial" w:hAnsi="Arial" w:cs="Arial"/>
                <w:b w:val="0"/>
                <w:sz w:val="22"/>
                <w:szCs w:val="22"/>
              </w:rPr>
              <w:t>make these international locations more successful</w:t>
            </w:r>
            <w:r w:rsidRPr="00391581">
              <w:rPr>
                <w:rFonts w:ascii="Arial" w:hAnsi="Arial" w:cs="Arial"/>
                <w:b w:val="0"/>
                <w:sz w:val="22"/>
                <w:szCs w:val="22"/>
              </w:rPr>
              <w:t xml:space="preserve">.  In total between 2010 and 2011 IBM recognized an 11 </w:t>
            </w:r>
            <w:r w:rsidR="00361F04" w:rsidRPr="00391581">
              <w:rPr>
                <w:rFonts w:ascii="Arial" w:hAnsi="Arial" w:cs="Arial"/>
                <w:b w:val="0"/>
                <w:sz w:val="22"/>
                <w:szCs w:val="22"/>
              </w:rPr>
              <w:t>per cent</w:t>
            </w:r>
            <w:r w:rsidRPr="00391581">
              <w:rPr>
                <w:rFonts w:ascii="Arial" w:hAnsi="Arial" w:cs="Arial"/>
                <w:b w:val="0"/>
                <w:sz w:val="22"/>
                <w:szCs w:val="22"/>
              </w:rPr>
              <w:t xml:space="preserve"> increase in revenue for the growth markets</w:t>
            </w:r>
            <w:r>
              <w:rPr>
                <w:rFonts w:ascii="Arial" w:hAnsi="Arial" w:cs="Arial"/>
                <w:b w:val="0"/>
                <w:sz w:val="22"/>
                <w:szCs w:val="22"/>
              </w:rPr>
              <w:t xml:space="preserve">, accounting for </w:t>
            </w:r>
            <w:r w:rsidRPr="00391581">
              <w:rPr>
                <w:rFonts w:ascii="Arial" w:hAnsi="Arial" w:cs="Arial"/>
                <w:b w:val="0"/>
                <w:sz w:val="22"/>
                <w:szCs w:val="22"/>
              </w:rPr>
              <w:t xml:space="preserve">22 </w:t>
            </w:r>
            <w:r w:rsidR="00361F04" w:rsidRPr="00391581">
              <w:rPr>
                <w:rFonts w:ascii="Arial" w:hAnsi="Arial" w:cs="Arial"/>
                <w:b w:val="0"/>
                <w:sz w:val="22"/>
                <w:szCs w:val="22"/>
              </w:rPr>
              <w:t>per cent</w:t>
            </w:r>
            <w:r w:rsidRPr="00391581">
              <w:rPr>
                <w:rFonts w:ascii="Arial" w:hAnsi="Arial" w:cs="Arial"/>
                <w:b w:val="0"/>
                <w:sz w:val="22"/>
                <w:szCs w:val="22"/>
              </w:rPr>
              <w:t xml:space="preserve"> of total global revenue.  Clearly, there is room to grow</w:t>
            </w:r>
            <w:r>
              <w:rPr>
                <w:rFonts w:ascii="Arial" w:hAnsi="Arial" w:cs="Arial"/>
                <w:b w:val="0"/>
                <w:sz w:val="22"/>
                <w:szCs w:val="22"/>
              </w:rPr>
              <w:t xml:space="preserve"> and IBM plans to capitalize on this opportunity by increasing growth markets revenue to 30% of the total global earnings</w:t>
            </w:r>
            <w:r w:rsidRPr="00391581">
              <w:rPr>
                <w:rFonts w:ascii="Arial" w:hAnsi="Arial" w:cs="Arial"/>
                <w:b w:val="0"/>
                <w:sz w:val="22"/>
                <w:szCs w:val="22"/>
              </w:rPr>
              <w:t>.</w:t>
            </w:r>
            <w:r w:rsidRPr="00391581">
              <w:rPr>
                <w:rFonts w:ascii="Arial" w:hAnsi="Arial" w:cs="Arial"/>
                <w:b w:val="0"/>
                <w:sz w:val="22"/>
                <w:szCs w:val="22"/>
              </w:rPr>
              <w:br/>
            </w:r>
          </w:p>
          <w:p w:rsidR="000D3E92" w:rsidRPr="00391581" w:rsidRDefault="000D3E92" w:rsidP="000D3E92">
            <w:pPr>
              <w:pStyle w:val="ListParagraph"/>
              <w:numPr>
                <w:ilvl w:val="0"/>
                <w:numId w:val="4"/>
              </w:numPr>
              <w:ind w:left="360"/>
              <w:rPr>
                <w:rFonts w:ascii="Arial" w:hAnsi="Arial" w:cs="Arial"/>
                <w:b w:val="0"/>
                <w:i/>
                <w:sz w:val="22"/>
                <w:szCs w:val="22"/>
              </w:rPr>
            </w:pPr>
            <w:r w:rsidRPr="00391581">
              <w:rPr>
                <w:rFonts w:ascii="Arial" w:hAnsi="Arial" w:cs="Arial"/>
                <w:b w:val="0"/>
                <w:noProof/>
                <w:sz w:val="22"/>
                <w:szCs w:val="22"/>
              </w:rPr>
              <w:drawing>
                <wp:anchor distT="0" distB="0" distL="114300" distR="114300" simplePos="0" relativeHeight="251662336" behindDoc="1" locked="0" layoutInCell="1" allowOverlap="1" wp14:anchorId="5F74F288" wp14:editId="24894252">
                  <wp:simplePos x="0" y="0"/>
                  <wp:positionH relativeFrom="column">
                    <wp:posOffset>-809625</wp:posOffset>
                  </wp:positionH>
                  <wp:positionV relativeFrom="paragraph">
                    <wp:posOffset>480695</wp:posOffset>
                  </wp:positionV>
                  <wp:extent cx="3117215" cy="1200150"/>
                  <wp:effectExtent l="0" t="0" r="6985" b="0"/>
                  <wp:wrapTight wrapText="bothSides">
                    <wp:wrapPolygon edited="0">
                      <wp:start x="0" y="0"/>
                      <wp:lineTo x="0" y="21257"/>
                      <wp:lineTo x="21516" y="21257"/>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6458" t="27176" r="22049" b="44413"/>
                          <a:stretch/>
                        </pic:blipFill>
                        <pic:spPr bwMode="auto">
                          <a:xfrm>
                            <a:off x="0" y="0"/>
                            <a:ext cx="311721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581">
              <w:rPr>
                <w:rFonts w:ascii="Arial" w:hAnsi="Arial" w:cs="Arial"/>
                <w:b w:val="0"/>
                <w:sz w:val="22"/>
                <w:szCs w:val="22"/>
              </w:rPr>
              <w:t>Business Segment Alterations: Through IBM’s efforts of growing their operations by creating new opportunities, they also restructured their business segments.  For a company like IBM who is heavily exposed to the changing needs of the technological</w:t>
            </w:r>
            <w:r>
              <w:rPr>
                <w:rFonts w:ascii="Arial" w:hAnsi="Arial" w:cs="Arial"/>
                <w:b w:val="0"/>
                <w:sz w:val="22"/>
                <w:szCs w:val="22"/>
              </w:rPr>
              <w:t xml:space="preserve"> community</w:t>
            </w:r>
            <w:r w:rsidRPr="00391581">
              <w:rPr>
                <w:rFonts w:ascii="Arial" w:hAnsi="Arial" w:cs="Arial"/>
                <w:b w:val="0"/>
                <w:sz w:val="22"/>
                <w:szCs w:val="22"/>
              </w:rPr>
              <w:t>, they need to alter their business operations to continue their</w:t>
            </w:r>
            <w:r>
              <w:rPr>
                <w:rFonts w:ascii="Arial" w:hAnsi="Arial" w:cs="Arial"/>
                <w:b w:val="0"/>
                <w:sz w:val="22"/>
                <w:szCs w:val="22"/>
              </w:rPr>
              <w:t xml:space="preserve"> </w:t>
            </w:r>
            <w:r w:rsidRPr="00391581">
              <w:rPr>
                <w:rFonts w:ascii="Arial" w:hAnsi="Arial" w:cs="Arial"/>
                <w:b w:val="0"/>
                <w:sz w:val="22"/>
                <w:szCs w:val="22"/>
              </w:rPr>
              <w:t>highly customer based focus.  IBM has had a successful track record of tackling such problems through the divestment of certain businesses</w:t>
            </w:r>
            <w:r>
              <w:rPr>
                <w:rFonts w:ascii="Arial" w:hAnsi="Arial" w:cs="Arial"/>
                <w:b w:val="0"/>
                <w:sz w:val="22"/>
                <w:szCs w:val="22"/>
              </w:rPr>
              <w:t>.  F</w:t>
            </w:r>
            <w:r w:rsidRPr="00391581">
              <w:rPr>
                <w:rFonts w:ascii="Arial" w:hAnsi="Arial" w:cs="Arial"/>
                <w:b w:val="0"/>
                <w:sz w:val="22"/>
                <w:szCs w:val="22"/>
              </w:rPr>
              <w:t>or example</w:t>
            </w:r>
            <w:r>
              <w:rPr>
                <w:rFonts w:ascii="Arial" w:hAnsi="Arial" w:cs="Arial"/>
                <w:b w:val="0"/>
                <w:sz w:val="22"/>
                <w:szCs w:val="22"/>
              </w:rPr>
              <w:t>,</w:t>
            </w:r>
            <w:r w:rsidRPr="00391581">
              <w:rPr>
                <w:rFonts w:ascii="Arial" w:hAnsi="Arial" w:cs="Arial"/>
                <w:b w:val="0"/>
                <w:sz w:val="22"/>
                <w:szCs w:val="22"/>
              </w:rPr>
              <w:t xml:space="preserve"> in 2005 the company sold of its PC division in light of more valuable opportunities.  This restructuring process has found IBM currently expanding their more profitable and value gaining businesses.  Such expansions include IBM’s goal to make 50 </w:t>
            </w:r>
            <w:r w:rsidR="00361F04" w:rsidRPr="00391581">
              <w:rPr>
                <w:rFonts w:ascii="Arial" w:hAnsi="Arial" w:cs="Arial"/>
                <w:b w:val="0"/>
                <w:sz w:val="22"/>
                <w:szCs w:val="22"/>
              </w:rPr>
              <w:t>per cent</w:t>
            </w:r>
            <w:r w:rsidRPr="00391581">
              <w:rPr>
                <w:rFonts w:ascii="Arial" w:hAnsi="Arial" w:cs="Arial"/>
                <w:b w:val="0"/>
                <w:sz w:val="22"/>
                <w:szCs w:val="22"/>
              </w:rPr>
              <w:t xml:space="preserve"> of their profit come from their high gross margin sector software.  </w:t>
            </w:r>
            <w:r>
              <w:rPr>
                <w:rFonts w:ascii="Arial" w:hAnsi="Arial" w:cs="Arial"/>
                <w:b w:val="0"/>
                <w:sz w:val="22"/>
                <w:szCs w:val="22"/>
              </w:rPr>
              <w:t xml:space="preserve">In 2011 alone, IBM </w:t>
            </w:r>
            <w:r>
              <w:rPr>
                <w:rFonts w:ascii="Arial" w:hAnsi="Arial" w:cs="Arial"/>
                <w:b w:val="0"/>
                <w:sz w:val="22"/>
                <w:szCs w:val="22"/>
              </w:rPr>
              <w:lastRenderedPageBreak/>
              <w:t>saw its software sector earn $25 billion in revenue at an 88.5% gross margin. Expansion</w:t>
            </w:r>
            <w:r w:rsidRPr="00391581">
              <w:rPr>
                <w:rFonts w:ascii="Arial" w:hAnsi="Arial" w:cs="Arial"/>
                <w:b w:val="0"/>
                <w:sz w:val="22"/>
                <w:szCs w:val="22"/>
              </w:rPr>
              <w:t xml:space="preserve"> choice</w:t>
            </w:r>
            <w:r>
              <w:rPr>
                <w:rFonts w:ascii="Arial" w:hAnsi="Arial" w:cs="Arial"/>
                <w:b w:val="0"/>
                <w:sz w:val="22"/>
                <w:szCs w:val="22"/>
              </w:rPr>
              <w:t>s like these show</w:t>
            </w:r>
            <w:r w:rsidRPr="00391581">
              <w:rPr>
                <w:rFonts w:ascii="Arial" w:hAnsi="Arial" w:cs="Arial"/>
                <w:b w:val="0"/>
                <w:sz w:val="22"/>
                <w:szCs w:val="22"/>
              </w:rPr>
              <w:t xml:space="preserve"> IBM’s ability to recognize where their strengths lie and plan for the future. </w:t>
            </w:r>
          </w:p>
          <w:p w:rsidR="000D3E92" w:rsidRPr="00391581" w:rsidRDefault="000D3E92" w:rsidP="00226E65">
            <w:pPr>
              <w:rPr>
                <w:rFonts w:ascii="Arial" w:hAnsi="Arial" w:cs="Arial"/>
                <w:b w:val="0"/>
                <w:i/>
                <w:sz w:val="22"/>
                <w:szCs w:val="22"/>
              </w:rPr>
            </w:pPr>
            <w:r w:rsidRPr="00391581">
              <w:rPr>
                <w:rFonts w:ascii="Arial" w:hAnsi="Arial" w:cs="Arial"/>
                <w:b w:val="0"/>
                <w:noProof/>
                <w:sz w:val="22"/>
                <w:szCs w:val="22"/>
              </w:rPr>
              <w:drawing>
                <wp:anchor distT="0" distB="0" distL="114300" distR="114300" simplePos="0" relativeHeight="251660288" behindDoc="1" locked="0" layoutInCell="1" allowOverlap="1" wp14:anchorId="40C20161" wp14:editId="6DBBCBEA">
                  <wp:simplePos x="0" y="0"/>
                  <wp:positionH relativeFrom="column">
                    <wp:posOffset>3924300</wp:posOffset>
                  </wp:positionH>
                  <wp:positionV relativeFrom="paragraph">
                    <wp:posOffset>-902970</wp:posOffset>
                  </wp:positionV>
                  <wp:extent cx="2209800" cy="2456815"/>
                  <wp:effectExtent l="0" t="0" r="0" b="635"/>
                  <wp:wrapTight wrapText="bothSides">
                    <wp:wrapPolygon edited="0">
                      <wp:start x="0" y="0"/>
                      <wp:lineTo x="0" y="21438"/>
                      <wp:lineTo x="21414" y="21438"/>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E92" w:rsidRPr="00391581" w:rsidRDefault="000D3E92" w:rsidP="00226E65">
            <w:pPr>
              <w:rPr>
                <w:rFonts w:ascii="Arial" w:hAnsi="Arial" w:cs="Arial"/>
                <w:b w:val="0"/>
                <w:sz w:val="22"/>
                <w:szCs w:val="22"/>
              </w:rPr>
            </w:pPr>
            <w:r w:rsidRPr="00391581">
              <w:rPr>
                <w:rFonts w:ascii="Arial" w:hAnsi="Arial" w:cs="Arial"/>
                <w:b w:val="0"/>
                <w:sz w:val="22"/>
                <w:szCs w:val="22"/>
              </w:rPr>
              <w:t>With such growth opportunities at hand</w:t>
            </w:r>
            <w:r>
              <w:rPr>
                <w:rFonts w:ascii="Arial" w:hAnsi="Arial" w:cs="Arial"/>
                <w:b w:val="0"/>
                <w:sz w:val="22"/>
                <w:szCs w:val="22"/>
              </w:rPr>
              <w:t xml:space="preserve"> IBM has been able to produce</w:t>
            </w:r>
            <w:r w:rsidRPr="00391581">
              <w:rPr>
                <w:rFonts w:ascii="Arial" w:hAnsi="Arial" w:cs="Arial"/>
                <w:b w:val="0"/>
                <w:sz w:val="22"/>
                <w:szCs w:val="22"/>
              </w:rPr>
              <w:t xml:space="preserve"> an EPS</w:t>
            </w:r>
            <w:r>
              <w:rPr>
                <w:rFonts w:ascii="Arial" w:hAnsi="Arial" w:cs="Arial"/>
                <w:b w:val="0"/>
                <w:sz w:val="22"/>
                <w:szCs w:val="22"/>
              </w:rPr>
              <w:t xml:space="preserve"> prediction</w:t>
            </w:r>
            <w:r w:rsidRPr="00391581">
              <w:rPr>
                <w:rFonts w:ascii="Arial" w:hAnsi="Arial" w:cs="Arial"/>
                <w:b w:val="0"/>
                <w:sz w:val="22"/>
                <w:szCs w:val="22"/>
              </w:rPr>
              <w:t xml:space="preserve"> of $14.29</w:t>
            </w:r>
            <w:r>
              <w:rPr>
                <w:rFonts w:ascii="Arial" w:hAnsi="Arial" w:cs="Arial"/>
                <w:b w:val="0"/>
                <w:sz w:val="22"/>
                <w:szCs w:val="22"/>
              </w:rPr>
              <w:t xml:space="preserve"> for 2012</w:t>
            </w:r>
            <w:r w:rsidRPr="00391581">
              <w:rPr>
                <w:rFonts w:ascii="Arial" w:hAnsi="Arial" w:cs="Arial"/>
                <w:b w:val="0"/>
                <w:sz w:val="22"/>
                <w:szCs w:val="22"/>
              </w:rPr>
              <w:t xml:space="preserve">, </w:t>
            </w:r>
            <w:r>
              <w:rPr>
                <w:rFonts w:ascii="Arial" w:hAnsi="Arial" w:cs="Arial"/>
                <w:b w:val="0"/>
                <w:sz w:val="22"/>
                <w:szCs w:val="22"/>
              </w:rPr>
              <w:t xml:space="preserve">and </w:t>
            </w:r>
            <w:r w:rsidRPr="00391581">
              <w:rPr>
                <w:rFonts w:ascii="Arial" w:hAnsi="Arial" w:cs="Arial"/>
                <w:b w:val="0"/>
                <w:sz w:val="22"/>
                <w:szCs w:val="22"/>
              </w:rPr>
              <w:t xml:space="preserve">set a financial road map with the goal of creating earnings per share of $20 by 2015 (See Graph on Right).  </w:t>
            </w:r>
          </w:p>
          <w:p w:rsidR="000D3E92" w:rsidRPr="00391581" w:rsidRDefault="000D3E92" w:rsidP="00226E65">
            <w:pPr>
              <w:rPr>
                <w:rFonts w:ascii="Arial" w:hAnsi="Arial" w:cs="Arial"/>
                <w:b w:val="0"/>
                <w:i/>
                <w:sz w:val="22"/>
                <w:szCs w:val="22"/>
              </w:rPr>
            </w:pPr>
          </w:p>
          <w:p w:rsidR="000D3E92" w:rsidRPr="00391581" w:rsidRDefault="000D3E92" w:rsidP="00226E65">
            <w:pPr>
              <w:rPr>
                <w:rFonts w:ascii="Arial" w:hAnsi="Arial" w:cs="Arial"/>
                <w:b w:val="0"/>
                <w:i/>
                <w:sz w:val="22"/>
                <w:szCs w:val="22"/>
              </w:rPr>
            </w:pPr>
            <w:r w:rsidRPr="00391581">
              <w:rPr>
                <w:rFonts w:ascii="Arial" w:hAnsi="Arial" w:cs="Arial"/>
                <w:b w:val="0"/>
                <w:i/>
                <w:sz w:val="22"/>
                <w:szCs w:val="22"/>
              </w:rPr>
              <w:t>Risks</w:t>
            </w:r>
          </w:p>
          <w:p w:rsidR="000D3E92" w:rsidRPr="00391581" w:rsidRDefault="000D3E92" w:rsidP="00226E65">
            <w:pPr>
              <w:rPr>
                <w:rFonts w:ascii="Arial" w:hAnsi="Arial" w:cs="Arial"/>
                <w:b w:val="0"/>
                <w:i/>
                <w:sz w:val="22"/>
                <w:szCs w:val="22"/>
              </w:rPr>
            </w:pPr>
          </w:p>
          <w:p w:rsidR="000D3E92" w:rsidRPr="00391581" w:rsidRDefault="000D3E92" w:rsidP="000D3E92">
            <w:pPr>
              <w:pStyle w:val="ListParagraph"/>
              <w:numPr>
                <w:ilvl w:val="0"/>
                <w:numId w:val="5"/>
              </w:numPr>
              <w:ind w:left="360"/>
              <w:rPr>
                <w:rFonts w:ascii="Arial" w:hAnsi="Arial" w:cs="Arial"/>
                <w:b w:val="0"/>
                <w:i/>
                <w:sz w:val="22"/>
                <w:szCs w:val="22"/>
              </w:rPr>
            </w:pPr>
            <w:r w:rsidRPr="00391581">
              <w:rPr>
                <w:rFonts w:ascii="Arial" w:hAnsi="Arial" w:cs="Arial"/>
                <w:b w:val="0"/>
                <w:sz w:val="22"/>
                <w:szCs w:val="22"/>
              </w:rPr>
              <w:t>Global Exposure: IBM’s growth initiative to expand globally</w:t>
            </w:r>
            <w:r>
              <w:rPr>
                <w:rFonts w:ascii="Arial" w:hAnsi="Arial" w:cs="Arial"/>
                <w:b w:val="0"/>
                <w:sz w:val="22"/>
                <w:szCs w:val="22"/>
              </w:rPr>
              <w:t xml:space="preserve"> </w:t>
            </w:r>
            <w:r w:rsidRPr="00391581">
              <w:rPr>
                <w:rFonts w:ascii="Arial" w:hAnsi="Arial" w:cs="Arial"/>
                <w:b w:val="0"/>
                <w:sz w:val="22"/>
                <w:szCs w:val="22"/>
              </w:rPr>
              <w:t>may increase their risk exposure.  By globally growing</w:t>
            </w:r>
            <w:r>
              <w:rPr>
                <w:rFonts w:ascii="Arial" w:hAnsi="Arial" w:cs="Arial"/>
                <w:b w:val="0"/>
                <w:sz w:val="22"/>
                <w:szCs w:val="22"/>
              </w:rPr>
              <w:t>,</w:t>
            </w:r>
            <w:r w:rsidRPr="00391581">
              <w:rPr>
                <w:rFonts w:ascii="Arial" w:hAnsi="Arial" w:cs="Arial"/>
                <w:b w:val="0"/>
                <w:sz w:val="22"/>
                <w:szCs w:val="22"/>
              </w:rPr>
              <w:t xml:space="preserve"> IBM has naturally expanded into the Eurozone.  The recent economic turmoil of Europe raises questions about the stability of IBM’s revenue recognition from such partnerships.  For instance, the highly annuity based aspect of IBM’s</w:t>
            </w:r>
            <w:r>
              <w:rPr>
                <w:rFonts w:ascii="Arial" w:hAnsi="Arial" w:cs="Arial"/>
                <w:b w:val="0"/>
                <w:sz w:val="22"/>
                <w:szCs w:val="22"/>
              </w:rPr>
              <w:t xml:space="preserve"> software </w:t>
            </w:r>
            <w:r w:rsidRPr="00391581">
              <w:rPr>
                <w:rFonts w:ascii="Arial" w:hAnsi="Arial" w:cs="Arial"/>
                <w:b w:val="0"/>
                <w:sz w:val="22"/>
                <w:szCs w:val="22"/>
              </w:rPr>
              <w:t>segment will be exposed to higher default risk caused by the economic problems.  Additionally, one may assume that overall demand for their products may decline as foreign companies’ budgets shrink.  And finally, as was seen in a $1 billion decline in the third quarter of 2012, global investment exposes IBM to currency risk.  In total, the unstable nature of some economic environments raises issues about</w:t>
            </w:r>
            <w:r>
              <w:rPr>
                <w:rFonts w:ascii="Arial" w:hAnsi="Arial" w:cs="Arial"/>
                <w:b w:val="0"/>
                <w:sz w:val="22"/>
                <w:szCs w:val="22"/>
              </w:rPr>
              <w:t xml:space="preserve"> the</w:t>
            </w:r>
            <w:r w:rsidRPr="00391581">
              <w:rPr>
                <w:rFonts w:ascii="Arial" w:hAnsi="Arial" w:cs="Arial"/>
                <w:b w:val="0"/>
                <w:sz w:val="22"/>
                <w:szCs w:val="22"/>
              </w:rPr>
              <w:t xml:space="preserve"> short-term global growth of IBM.</w:t>
            </w:r>
          </w:p>
          <w:p w:rsidR="000D3E92" w:rsidRPr="00391581" w:rsidRDefault="000D3E92" w:rsidP="00226E65">
            <w:pPr>
              <w:pStyle w:val="ListParagraph"/>
              <w:ind w:left="360"/>
              <w:rPr>
                <w:rFonts w:ascii="Arial" w:hAnsi="Arial" w:cs="Arial"/>
                <w:b w:val="0"/>
                <w:i/>
                <w:sz w:val="22"/>
                <w:szCs w:val="22"/>
              </w:rPr>
            </w:pPr>
          </w:p>
          <w:p w:rsidR="000D3E92" w:rsidRPr="00391581" w:rsidRDefault="000D3E92" w:rsidP="000D3E92">
            <w:pPr>
              <w:pStyle w:val="ListParagraph"/>
              <w:numPr>
                <w:ilvl w:val="0"/>
                <w:numId w:val="5"/>
              </w:numPr>
              <w:ind w:left="360"/>
              <w:rPr>
                <w:rFonts w:ascii="Arial" w:hAnsi="Arial" w:cs="Arial"/>
                <w:b w:val="0"/>
                <w:i/>
                <w:sz w:val="22"/>
                <w:szCs w:val="22"/>
              </w:rPr>
            </w:pPr>
            <w:r w:rsidRPr="00391581">
              <w:rPr>
                <w:rFonts w:ascii="Arial" w:hAnsi="Arial" w:cs="Arial"/>
                <w:b w:val="0"/>
                <w:sz w:val="22"/>
                <w:szCs w:val="22"/>
              </w:rPr>
              <w:t>Cloud Security: With the Smarter Planet initiative</w:t>
            </w:r>
            <w:r>
              <w:rPr>
                <w:rFonts w:ascii="Arial" w:hAnsi="Arial" w:cs="Arial"/>
                <w:b w:val="0"/>
                <w:sz w:val="22"/>
                <w:szCs w:val="22"/>
              </w:rPr>
              <w:t xml:space="preserve"> set</w:t>
            </w:r>
            <w:r w:rsidRPr="00391581">
              <w:rPr>
                <w:rFonts w:ascii="Arial" w:hAnsi="Arial" w:cs="Arial"/>
                <w:b w:val="0"/>
                <w:sz w:val="22"/>
                <w:szCs w:val="22"/>
              </w:rPr>
              <w:t xml:space="preserve"> to grow IBM’s value by helping companies become more efficient, there are some risks to be addressed.  Primarily, one needs to look at the security risk of the ever growing cloud computing market.  As more and more data is produced and added to the cloud, IBM will expose themselves to more risk of data corruption, leaks or infiltration.  Consequently, IBM will need to expand their expenses to increase the security of this function to lower their liability.</w:t>
            </w:r>
          </w:p>
          <w:p w:rsidR="000D3E92" w:rsidRPr="00391581" w:rsidRDefault="000D3E92" w:rsidP="00226E65">
            <w:pPr>
              <w:rPr>
                <w:rFonts w:ascii="Arial" w:hAnsi="Arial" w:cs="Arial"/>
                <w:b w:val="0"/>
                <w:i/>
                <w:sz w:val="22"/>
                <w:szCs w:val="22"/>
              </w:rPr>
            </w:pPr>
            <w:r w:rsidRPr="00391581">
              <w:rPr>
                <w:rFonts w:ascii="Arial" w:hAnsi="Arial" w:cs="Arial"/>
                <w:b w:val="0"/>
                <w:sz w:val="22"/>
                <w:szCs w:val="22"/>
              </w:rPr>
              <w:t xml:space="preserve"> </w:t>
            </w:r>
          </w:p>
          <w:p w:rsidR="000D3E92" w:rsidRPr="00391581" w:rsidRDefault="000D3E92" w:rsidP="000D3E92">
            <w:pPr>
              <w:pStyle w:val="ListParagraph"/>
              <w:numPr>
                <w:ilvl w:val="0"/>
                <w:numId w:val="5"/>
              </w:numPr>
              <w:ind w:left="360"/>
              <w:rPr>
                <w:rFonts w:ascii="Arial" w:hAnsi="Arial" w:cs="Arial"/>
                <w:b w:val="0"/>
                <w:sz w:val="22"/>
                <w:szCs w:val="22"/>
              </w:rPr>
            </w:pPr>
            <w:r w:rsidRPr="00391581">
              <w:rPr>
                <w:rFonts w:ascii="Arial" w:hAnsi="Arial" w:cs="Arial"/>
                <w:b w:val="0"/>
                <w:sz w:val="22"/>
                <w:szCs w:val="22"/>
              </w:rPr>
              <w:t>Acquisition Problems: A growth initiative of IBM not described in depth above is their immense growth through acquisition approach.  Since, 2000 IBM has acquired over 1</w:t>
            </w:r>
            <w:r>
              <w:rPr>
                <w:rFonts w:ascii="Arial" w:hAnsi="Arial" w:cs="Arial"/>
                <w:b w:val="0"/>
                <w:sz w:val="22"/>
                <w:szCs w:val="22"/>
              </w:rPr>
              <w:t>20 companies, thus increasing exposure</w:t>
            </w:r>
            <w:r w:rsidRPr="00391581">
              <w:rPr>
                <w:rFonts w:ascii="Arial" w:hAnsi="Arial" w:cs="Arial"/>
                <w:b w:val="0"/>
                <w:sz w:val="22"/>
                <w:szCs w:val="22"/>
              </w:rPr>
              <w:t xml:space="preserve"> to risks of integrating external operations into the </w:t>
            </w:r>
            <w:r>
              <w:rPr>
                <w:rFonts w:ascii="Arial" w:hAnsi="Arial" w:cs="Arial"/>
                <w:b w:val="0"/>
                <w:sz w:val="22"/>
                <w:szCs w:val="22"/>
              </w:rPr>
              <w:t>IBM team.  In 2011,</w:t>
            </w:r>
            <w:r w:rsidRPr="00391581">
              <w:rPr>
                <w:rFonts w:ascii="Arial" w:hAnsi="Arial" w:cs="Arial"/>
                <w:b w:val="0"/>
                <w:sz w:val="22"/>
                <w:szCs w:val="22"/>
              </w:rPr>
              <w:t xml:space="preserve"> the company acquired five companies for almost $2 billion.  With each acquisition, IBM increases their exposure to the risk that the companies will fail to meet operational goals or ability to align with the customer centric and innovative </w:t>
            </w:r>
            <w:r w:rsidR="00361F04" w:rsidRPr="00391581">
              <w:rPr>
                <w:rFonts w:ascii="Arial" w:hAnsi="Arial" w:cs="Arial"/>
                <w:b w:val="0"/>
                <w:sz w:val="22"/>
                <w:szCs w:val="22"/>
              </w:rPr>
              <w:t>mind set</w:t>
            </w:r>
            <w:r w:rsidRPr="00391581">
              <w:rPr>
                <w:rFonts w:ascii="Arial" w:hAnsi="Arial" w:cs="Arial"/>
                <w:b w:val="0"/>
                <w:sz w:val="22"/>
                <w:szCs w:val="22"/>
              </w:rPr>
              <w:t xml:space="preserve"> of IBM.</w:t>
            </w:r>
          </w:p>
          <w:p w:rsidR="000D3E92" w:rsidRPr="00203352" w:rsidRDefault="000D3E92" w:rsidP="00226E65">
            <w:pPr>
              <w:rPr>
                <w:rFonts w:ascii="Arial" w:hAnsi="Arial" w:cs="Arial"/>
                <w:sz w:val="22"/>
                <w:szCs w:val="22"/>
              </w:rPr>
            </w:pPr>
          </w:p>
        </w:tc>
      </w:tr>
    </w:tbl>
    <w:p w:rsidR="000D3E92" w:rsidRDefault="000D3E92" w:rsidP="000D3E92"/>
    <w:tbl>
      <w:tblPr>
        <w:tblStyle w:val="TableClassic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D3E92" w:rsidTr="00C6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bottom w:val="none" w:sz="0" w:space="0" w:color="auto"/>
            </w:tcBorders>
          </w:tcPr>
          <w:p w:rsidR="000D3E92" w:rsidRPr="000D3E92" w:rsidRDefault="000D3E92" w:rsidP="00226E65">
            <w:pPr>
              <w:rPr>
                <w:i w:val="0"/>
                <w:sz w:val="24"/>
                <w:szCs w:val="24"/>
              </w:rPr>
            </w:pPr>
            <w:r w:rsidRPr="000D3E92">
              <w:rPr>
                <w:i w:val="0"/>
                <w:sz w:val="24"/>
                <w:szCs w:val="24"/>
              </w:rPr>
              <w:t>Industry Analysis</w:t>
            </w:r>
          </w:p>
        </w:tc>
      </w:tr>
      <w:tr w:rsidR="000D3E92" w:rsidTr="00C64E89">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rsidR="000D3E92" w:rsidRPr="00391581" w:rsidRDefault="000D3E92" w:rsidP="00226E65">
            <w:pPr>
              <w:rPr>
                <w:rFonts w:ascii="Arial" w:hAnsi="Arial" w:cs="Arial"/>
                <w:b w:val="0"/>
                <w:sz w:val="22"/>
                <w:szCs w:val="22"/>
              </w:rPr>
            </w:pPr>
          </w:p>
          <w:p w:rsidR="000D3E92" w:rsidRPr="00391581" w:rsidRDefault="000D3E92" w:rsidP="00226E65">
            <w:pPr>
              <w:rPr>
                <w:rFonts w:ascii="Arial" w:hAnsi="Arial" w:cs="Arial"/>
                <w:b w:val="0"/>
                <w:sz w:val="22"/>
                <w:szCs w:val="22"/>
              </w:rPr>
            </w:pPr>
            <w:r w:rsidRPr="00391581">
              <w:rPr>
                <w:rFonts w:ascii="Arial" w:hAnsi="Arial" w:cs="Arial"/>
                <w:b w:val="0"/>
                <w:sz w:val="22"/>
                <w:szCs w:val="22"/>
              </w:rPr>
              <w:t xml:space="preserve">The outlook for IBM’s IT consulting industry, subsidiary of the technology sector, appears to be neutral to slightly positive.  For the year to date, the technology sector as a whole has made up for 19 </w:t>
            </w:r>
            <w:r w:rsidR="00361F04" w:rsidRPr="00391581">
              <w:rPr>
                <w:rFonts w:ascii="Arial" w:hAnsi="Arial" w:cs="Arial"/>
                <w:b w:val="0"/>
                <w:sz w:val="22"/>
                <w:szCs w:val="22"/>
              </w:rPr>
              <w:t>per cent</w:t>
            </w:r>
            <w:r w:rsidRPr="00391581">
              <w:rPr>
                <w:rFonts w:ascii="Arial" w:hAnsi="Arial" w:cs="Arial"/>
                <w:b w:val="0"/>
                <w:sz w:val="22"/>
                <w:szCs w:val="22"/>
              </w:rPr>
              <w:t xml:space="preserve"> of the S&amp;P 500 and</w:t>
            </w:r>
            <w:r>
              <w:rPr>
                <w:rFonts w:ascii="Arial" w:hAnsi="Arial" w:cs="Arial"/>
                <w:b w:val="0"/>
                <w:sz w:val="22"/>
                <w:szCs w:val="22"/>
              </w:rPr>
              <w:t xml:space="preserve"> grown 7.7 </w:t>
            </w:r>
            <w:r w:rsidR="00361F04">
              <w:rPr>
                <w:rFonts w:ascii="Arial" w:hAnsi="Arial" w:cs="Arial"/>
                <w:b w:val="0"/>
                <w:sz w:val="22"/>
                <w:szCs w:val="22"/>
              </w:rPr>
              <w:t>per cent</w:t>
            </w:r>
            <w:r>
              <w:rPr>
                <w:rFonts w:ascii="Arial" w:hAnsi="Arial" w:cs="Arial"/>
                <w:b w:val="0"/>
                <w:sz w:val="22"/>
                <w:szCs w:val="22"/>
              </w:rPr>
              <w:t>.  With this</w:t>
            </w:r>
            <w:r w:rsidRPr="00391581">
              <w:rPr>
                <w:rFonts w:ascii="Arial" w:hAnsi="Arial" w:cs="Arial"/>
                <w:b w:val="0"/>
                <w:sz w:val="22"/>
                <w:szCs w:val="22"/>
              </w:rPr>
              <w:t xml:space="preserve"> slightly positive outlook there is room for growth; however these opportunities are also associated with an assortment of risks and negative aspe</w:t>
            </w:r>
            <w:r>
              <w:rPr>
                <w:rFonts w:ascii="Arial" w:hAnsi="Arial" w:cs="Arial"/>
                <w:b w:val="0"/>
                <w:sz w:val="22"/>
                <w:szCs w:val="22"/>
              </w:rPr>
              <w:t>cts to the industry.  Primarily</w:t>
            </w:r>
            <w:r w:rsidRPr="00391581">
              <w:rPr>
                <w:rFonts w:ascii="Arial" w:hAnsi="Arial" w:cs="Arial"/>
                <w:b w:val="0"/>
                <w:sz w:val="22"/>
                <w:szCs w:val="22"/>
              </w:rPr>
              <w:t>, the ability for IT consulting companies to be successful hinges on the status of the domestic and global economies.  The uncertain outlook</w:t>
            </w:r>
            <w:r>
              <w:rPr>
                <w:rFonts w:ascii="Arial" w:hAnsi="Arial" w:cs="Arial"/>
                <w:b w:val="0"/>
                <w:sz w:val="22"/>
                <w:szCs w:val="22"/>
              </w:rPr>
              <w:t xml:space="preserve"> of</w:t>
            </w:r>
            <w:r w:rsidRPr="00391581">
              <w:rPr>
                <w:rFonts w:ascii="Arial" w:hAnsi="Arial" w:cs="Arial"/>
                <w:b w:val="0"/>
                <w:sz w:val="22"/>
                <w:szCs w:val="22"/>
              </w:rPr>
              <w:t xml:space="preserve"> the European economy has not boded well for IT spending, as it is anticipated that overall spending will only increase by 3.8% annually.  Yet with this low growth outlook for spending, it appears there are </w:t>
            </w:r>
            <w:r w:rsidRPr="00391581">
              <w:rPr>
                <w:rFonts w:ascii="Arial" w:hAnsi="Arial" w:cs="Arial"/>
                <w:b w:val="0"/>
                <w:sz w:val="22"/>
                <w:szCs w:val="22"/>
              </w:rPr>
              <w:lastRenderedPageBreak/>
              <w:t xml:space="preserve">steps </w:t>
            </w:r>
            <w:r>
              <w:rPr>
                <w:rFonts w:ascii="Arial" w:hAnsi="Arial" w:cs="Arial"/>
                <w:b w:val="0"/>
                <w:sz w:val="22"/>
                <w:szCs w:val="22"/>
              </w:rPr>
              <w:t>companies can take</w:t>
            </w:r>
            <w:r w:rsidRPr="00391581">
              <w:rPr>
                <w:rFonts w:ascii="Arial" w:hAnsi="Arial" w:cs="Arial"/>
                <w:b w:val="0"/>
                <w:sz w:val="22"/>
                <w:szCs w:val="22"/>
              </w:rPr>
              <w:t xml:space="preserve"> to possibly hedge against this risk.</w:t>
            </w:r>
          </w:p>
          <w:p w:rsidR="000D3E92" w:rsidRPr="00391581" w:rsidRDefault="000D3E92" w:rsidP="00226E65">
            <w:pPr>
              <w:rPr>
                <w:rFonts w:ascii="Arial" w:hAnsi="Arial" w:cs="Arial"/>
                <w:b w:val="0"/>
                <w:sz w:val="22"/>
                <w:szCs w:val="22"/>
              </w:rPr>
            </w:pPr>
          </w:p>
          <w:p w:rsidR="000D3E92" w:rsidRPr="00391581" w:rsidRDefault="000D3E92" w:rsidP="00226E65">
            <w:pPr>
              <w:rPr>
                <w:rFonts w:ascii="Arial" w:hAnsi="Arial" w:cs="Arial"/>
                <w:b w:val="0"/>
                <w:sz w:val="22"/>
                <w:szCs w:val="22"/>
              </w:rPr>
            </w:pPr>
            <w:r w:rsidRPr="00391581">
              <w:rPr>
                <w:rFonts w:ascii="Arial" w:hAnsi="Arial" w:cs="Arial"/>
                <w:b w:val="0"/>
                <w:sz w:val="22"/>
                <w:szCs w:val="22"/>
              </w:rPr>
              <w:t>With the projections for minimal spending, companies in the IT consulting industry are pursuing a variety of actions to extend their growth potential.  One such action is acquiring or partnering with other companies.  With the volatile nature of the market, valuable smaller companies may be for sale.  Yet as was discussed before the process of growing through acquisitions does pose some threats.  In addition to acquisitions, there appears to be a trend in creating shorter IT contracts in order to decrease costs and increase the short-term return on investment.  Finally, in the pursuit of growth</w:t>
            </w:r>
            <w:r>
              <w:rPr>
                <w:rFonts w:ascii="Arial" w:hAnsi="Arial" w:cs="Arial"/>
                <w:b w:val="0"/>
                <w:sz w:val="22"/>
                <w:szCs w:val="22"/>
              </w:rPr>
              <w:t>,</w:t>
            </w:r>
            <w:r w:rsidRPr="00391581">
              <w:rPr>
                <w:rFonts w:ascii="Arial" w:hAnsi="Arial" w:cs="Arial"/>
                <w:b w:val="0"/>
                <w:sz w:val="22"/>
                <w:szCs w:val="22"/>
              </w:rPr>
              <w:t xml:space="preserve"> companies are similarly to IBM pursuing expansion into developing economies.  The opportunities presented by growth markets do present opportunities to make international companies more efficient, but do present risk.  By increasing exposure to developing countries, IT consulting companie</w:t>
            </w:r>
            <w:r>
              <w:rPr>
                <w:rFonts w:ascii="Arial" w:hAnsi="Arial" w:cs="Arial"/>
                <w:b w:val="0"/>
                <w:sz w:val="22"/>
                <w:szCs w:val="22"/>
              </w:rPr>
              <w:t xml:space="preserve">s will need to spend more time evaluating </w:t>
            </w:r>
            <w:r w:rsidRPr="00391581">
              <w:rPr>
                <w:rFonts w:ascii="Arial" w:hAnsi="Arial" w:cs="Arial"/>
                <w:b w:val="0"/>
                <w:sz w:val="22"/>
                <w:szCs w:val="22"/>
              </w:rPr>
              <w:t>political, currency and other risks often associated with foreign investment.  As one can notice, IT companies need to be cautious in their pursuit of creating extra value.</w:t>
            </w:r>
          </w:p>
          <w:p w:rsidR="000D3E92" w:rsidRPr="00391581" w:rsidRDefault="000D3E92" w:rsidP="00226E65">
            <w:pPr>
              <w:rPr>
                <w:rFonts w:ascii="Arial" w:hAnsi="Arial" w:cs="Arial"/>
                <w:b w:val="0"/>
                <w:sz w:val="22"/>
                <w:szCs w:val="22"/>
              </w:rPr>
            </w:pPr>
          </w:p>
        </w:tc>
      </w:tr>
    </w:tbl>
    <w:p w:rsidR="000D3E92" w:rsidRDefault="000D3E92" w:rsidP="000D3E92"/>
    <w:tbl>
      <w:tblPr>
        <w:tblStyle w:val="TableClassic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D3E92" w:rsidTr="00C6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bottom w:val="none" w:sz="0" w:space="0" w:color="auto"/>
            </w:tcBorders>
          </w:tcPr>
          <w:p w:rsidR="000D3E92" w:rsidRPr="000D3E92" w:rsidRDefault="000D3E92" w:rsidP="00226E65">
            <w:pPr>
              <w:rPr>
                <w:i w:val="0"/>
                <w:sz w:val="24"/>
                <w:szCs w:val="24"/>
              </w:rPr>
            </w:pPr>
            <w:r w:rsidRPr="000D3E92">
              <w:rPr>
                <w:i w:val="0"/>
                <w:sz w:val="24"/>
                <w:szCs w:val="24"/>
              </w:rPr>
              <w:t>Valuation</w:t>
            </w:r>
          </w:p>
        </w:tc>
      </w:tr>
      <w:tr w:rsidR="000D3E92" w:rsidTr="00C64E89">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rsidR="000D3E92" w:rsidRPr="00391581" w:rsidRDefault="000D3E92" w:rsidP="00226E65">
            <w:pPr>
              <w:rPr>
                <w:rFonts w:ascii="Arial" w:hAnsi="Arial" w:cs="Arial"/>
                <w:b w:val="0"/>
                <w:sz w:val="22"/>
                <w:szCs w:val="22"/>
              </w:rPr>
            </w:pPr>
          </w:p>
          <w:p w:rsidR="000D3E92" w:rsidRPr="00391581" w:rsidRDefault="000D3E92" w:rsidP="00226E65">
            <w:pPr>
              <w:rPr>
                <w:rFonts w:ascii="Arial" w:hAnsi="Arial" w:cs="Arial"/>
                <w:b w:val="0"/>
                <w:sz w:val="22"/>
                <w:szCs w:val="22"/>
              </w:rPr>
            </w:pPr>
            <w:r w:rsidRPr="00391581">
              <w:rPr>
                <w:rFonts w:ascii="Arial" w:hAnsi="Arial" w:cs="Arial"/>
                <w:b w:val="0"/>
                <w:sz w:val="22"/>
                <w:szCs w:val="22"/>
              </w:rPr>
              <w:t xml:space="preserve">Based on our valuation of IBM’s growth prospects, risks and </w:t>
            </w:r>
            <w:r>
              <w:rPr>
                <w:rFonts w:ascii="Arial" w:hAnsi="Arial" w:cs="Arial"/>
                <w:b w:val="0"/>
                <w:sz w:val="22"/>
                <w:szCs w:val="22"/>
              </w:rPr>
              <w:t xml:space="preserve">the </w:t>
            </w:r>
            <w:r w:rsidRPr="00391581">
              <w:rPr>
                <w:rFonts w:ascii="Arial" w:hAnsi="Arial" w:cs="Arial"/>
                <w:b w:val="0"/>
                <w:sz w:val="22"/>
                <w:szCs w:val="22"/>
              </w:rPr>
              <w:t>current standing of the industry</w:t>
            </w:r>
            <w:r>
              <w:rPr>
                <w:rFonts w:ascii="Arial" w:hAnsi="Arial" w:cs="Arial"/>
                <w:b w:val="0"/>
                <w:sz w:val="22"/>
                <w:szCs w:val="22"/>
              </w:rPr>
              <w:t>,</w:t>
            </w:r>
            <w:r w:rsidRPr="00391581">
              <w:rPr>
                <w:rFonts w:ascii="Arial" w:hAnsi="Arial" w:cs="Arial"/>
                <w:b w:val="0"/>
                <w:sz w:val="22"/>
                <w:szCs w:val="22"/>
              </w:rPr>
              <w:t xml:space="preserve"> the company appears to undervalue.  A discounted cash flow model shows that IBM has an intrinsic value of $322.81</w:t>
            </w:r>
            <w:r>
              <w:rPr>
                <w:rFonts w:ascii="Arial" w:hAnsi="Arial" w:cs="Arial"/>
                <w:b w:val="0"/>
                <w:sz w:val="22"/>
                <w:szCs w:val="22"/>
              </w:rPr>
              <w:t xml:space="preserve"> (See Appendix for Calculation Details)</w:t>
            </w:r>
            <w:r w:rsidRPr="00391581">
              <w:rPr>
                <w:rFonts w:ascii="Arial" w:hAnsi="Arial" w:cs="Arial"/>
                <w:b w:val="0"/>
                <w:sz w:val="22"/>
                <w:szCs w:val="22"/>
              </w:rPr>
              <w:t xml:space="preserve">.   </w:t>
            </w:r>
          </w:p>
          <w:p w:rsidR="000D3E92" w:rsidRPr="00391581" w:rsidRDefault="000D3E92" w:rsidP="00226E65">
            <w:pPr>
              <w:rPr>
                <w:rFonts w:ascii="Arial" w:hAnsi="Arial" w:cs="Arial"/>
                <w:b w:val="0"/>
                <w:sz w:val="22"/>
                <w:szCs w:val="22"/>
              </w:rPr>
            </w:pPr>
          </w:p>
          <w:p w:rsidR="000D3E92" w:rsidRPr="00D8028E" w:rsidRDefault="000D3E92" w:rsidP="000D3E92">
            <w:pPr>
              <w:pStyle w:val="ListParagraph"/>
              <w:numPr>
                <w:ilvl w:val="0"/>
                <w:numId w:val="6"/>
              </w:numPr>
              <w:rPr>
                <w:rFonts w:ascii="Arial" w:hAnsi="Arial" w:cs="Arial"/>
                <w:b w:val="0"/>
                <w:sz w:val="22"/>
                <w:szCs w:val="22"/>
              </w:rPr>
            </w:pPr>
            <w:r w:rsidRPr="00D8028E">
              <w:rPr>
                <w:rFonts w:ascii="Arial" w:hAnsi="Arial" w:cs="Arial"/>
                <w:b w:val="0"/>
                <w:sz w:val="22"/>
                <w:szCs w:val="22"/>
              </w:rPr>
              <w:t>This high valuation can be backed by the overall strength of the company and investment.  Aside from the immense growth opportunities being explored by IBM, the company presents an investor with a free cash flow (entry) yield of 7.5%.</w:t>
            </w:r>
          </w:p>
          <w:p w:rsidR="000D3E92" w:rsidRPr="00D8028E" w:rsidRDefault="000D3E92" w:rsidP="00226E65">
            <w:pPr>
              <w:rPr>
                <w:rFonts w:ascii="Arial" w:hAnsi="Arial" w:cs="Arial"/>
                <w:b w:val="0"/>
                <w:sz w:val="22"/>
                <w:szCs w:val="22"/>
              </w:rPr>
            </w:pPr>
          </w:p>
          <w:p w:rsidR="000D3E92" w:rsidRPr="00D8028E" w:rsidRDefault="000D3E92" w:rsidP="000D3E92">
            <w:pPr>
              <w:pStyle w:val="ListParagraph"/>
              <w:numPr>
                <w:ilvl w:val="0"/>
                <w:numId w:val="6"/>
              </w:numPr>
              <w:rPr>
                <w:rFonts w:ascii="Arial" w:hAnsi="Arial" w:cs="Arial"/>
                <w:b w:val="0"/>
                <w:sz w:val="22"/>
                <w:szCs w:val="22"/>
              </w:rPr>
            </w:pPr>
            <w:r w:rsidRPr="00D8028E">
              <w:rPr>
                <w:rFonts w:ascii="Arial" w:hAnsi="Arial" w:cs="Arial"/>
                <w:b w:val="0"/>
                <w:sz w:val="22"/>
                <w:szCs w:val="22"/>
              </w:rPr>
              <w:t>The growth of IBM’s free cash flow was equated to roughly equal 6%</w:t>
            </w:r>
            <w:r>
              <w:rPr>
                <w:rFonts w:ascii="Arial" w:hAnsi="Arial" w:cs="Arial"/>
                <w:b w:val="0"/>
                <w:sz w:val="22"/>
                <w:szCs w:val="22"/>
              </w:rPr>
              <w:t xml:space="preserve"> (See Appendix)</w:t>
            </w:r>
            <w:r w:rsidRPr="00D8028E">
              <w:rPr>
                <w:rFonts w:ascii="Arial" w:hAnsi="Arial" w:cs="Arial"/>
                <w:b w:val="0"/>
                <w:sz w:val="22"/>
                <w:szCs w:val="22"/>
              </w:rPr>
              <w:t>.  This growth was determined with the help of a variety of financial factors.  Such measures were the</w:t>
            </w:r>
            <w:r>
              <w:rPr>
                <w:rFonts w:ascii="Arial" w:hAnsi="Arial" w:cs="Arial"/>
                <w:b w:val="0"/>
                <w:sz w:val="22"/>
                <w:szCs w:val="22"/>
              </w:rPr>
              <w:t xml:space="preserve"> 2011</w:t>
            </w:r>
            <w:r w:rsidRPr="00D8028E">
              <w:rPr>
                <w:rFonts w:ascii="Arial" w:hAnsi="Arial" w:cs="Arial"/>
                <w:b w:val="0"/>
                <w:sz w:val="22"/>
                <w:szCs w:val="22"/>
              </w:rPr>
              <w:t xml:space="preserve"> return on equity (73%)</w:t>
            </w:r>
            <w:r>
              <w:rPr>
                <w:rFonts w:ascii="Arial" w:hAnsi="Arial" w:cs="Arial"/>
                <w:b w:val="0"/>
                <w:sz w:val="22"/>
                <w:szCs w:val="22"/>
              </w:rPr>
              <w:t xml:space="preserve"> of</w:t>
            </w:r>
            <w:r w:rsidRPr="00D8028E">
              <w:rPr>
                <w:rFonts w:ascii="Arial" w:hAnsi="Arial" w:cs="Arial"/>
                <w:b w:val="0"/>
                <w:sz w:val="22"/>
                <w:szCs w:val="22"/>
              </w:rPr>
              <w:t xml:space="preserve"> the amount of money IBM retained after accounting for financing activities</w:t>
            </w:r>
            <w:r>
              <w:rPr>
                <w:rFonts w:ascii="Arial" w:hAnsi="Arial" w:cs="Arial"/>
                <w:b w:val="0"/>
                <w:sz w:val="22"/>
                <w:szCs w:val="22"/>
              </w:rPr>
              <w:t>,</w:t>
            </w:r>
            <w:r w:rsidRPr="00D8028E">
              <w:rPr>
                <w:rFonts w:ascii="Arial" w:hAnsi="Arial" w:cs="Arial"/>
                <w:b w:val="0"/>
                <w:sz w:val="22"/>
                <w:szCs w:val="22"/>
              </w:rPr>
              <w:t xml:space="preserve"> like stock repurchase and dividends paid (plowback ratio).  Another measure recognized was the return on equity of the capital expenditures invested back into the company after depreciation.</w:t>
            </w:r>
          </w:p>
          <w:p w:rsidR="000D3E92" w:rsidRPr="00D8028E" w:rsidRDefault="000D3E92" w:rsidP="00226E65">
            <w:pPr>
              <w:rPr>
                <w:rFonts w:ascii="Arial" w:hAnsi="Arial" w:cs="Arial"/>
                <w:b w:val="0"/>
                <w:sz w:val="22"/>
                <w:szCs w:val="22"/>
              </w:rPr>
            </w:pPr>
          </w:p>
          <w:p w:rsidR="000D3E92" w:rsidRPr="00D8028E" w:rsidRDefault="000D3E92" w:rsidP="000D3E92">
            <w:pPr>
              <w:pStyle w:val="ListParagraph"/>
              <w:numPr>
                <w:ilvl w:val="0"/>
                <w:numId w:val="6"/>
              </w:numPr>
              <w:rPr>
                <w:rFonts w:ascii="Arial" w:hAnsi="Arial" w:cs="Arial"/>
                <w:b w:val="0"/>
                <w:sz w:val="22"/>
                <w:szCs w:val="22"/>
              </w:rPr>
            </w:pPr>
            <w:r w:rsidRPr="00D8028E">
              <w:rPr>
                <w:rFonts w:ascii="Arial" w:hAnsi="Arial" w:cs="Arial"/>
                <w:b w:val="0"/>
                <w:sz w:val="22"/>
                <w:szCs w:val="22"/>
              </w:rPr>
              <w:t>IBM’s weighted average cost of capital (discount rate) was calculated to equal 9.4%.  This measure was calculated using a cost of equity determined by the use of the CAPM model where the risk free rate was adjusted due to the low nature of interest rates today.</w:t>
            </w:r>
          </w:p>
          <w:p w:rsidR="000D3E92" w:rsidRPr="00D8028E" w:rsidRDefault="000D3E92" w:rsidP="00226E65">
            <w:pPr>
              <w:rPr>
                <w:rFonts w:ascii="Arial" w:hAnsi="Arial" w:cs="Arial"/>
                <w:b w:val="0"/>
                <w:sz w:val="22"/>
                <w:szCs w:val="22"/>
              </w:rPr>
            </w:pPr>
          </w:p>
          <w:p w:rsidR="000D3E92" w:rsidRDefault="000D3E92" w:rsidP="000D3E92">
            <w:pPr>
              <w:pStyle w:val="ListParagraph"/>
              <w:numPr>
                <w:ilvl w:val="0"/>
                <w:numId w:val="6"/>
              </w:numPr>
              <w:rPr>
                <w:rFonts w:ascii="Arial" w:hAnsi="Arial" w:cs="Arial"/>
                <w:b w:val="0"/>
                <w:sz w:val="22"/>
                <w:szCs w:val="22"/>
              </w:rPr>
            </w:pPr>
            <w:r w:rsidRPr="00D8028E">
              <w:rPr>
                <w:rFonts w:ascii="Arial" w:hAnsi="Arial" w:cs="Arial"/>
                <w:b w:val="0"/>
                <w:sz w:val="22"/>
                <w:szCs w:val="22"/>
              </w:rPr>
              <w:t>The terminal value of IBM was determined to equal 5%, as a result of the consistently strong performance of the company.</w:t>
            </w:r>
          </w:p>
          <w:p w:rsidR="00311871" w:rsidRPr="00311871" w:rsidRDefault="00311871" w:rsidP="00311871">
            <w:pPr>
              <w:pStyle w:val="ListParagraph"/>
              <w:rPr>
                <w:rFonts w:ascii="Arial" w:hAnsi="Arial" w:cs="Arial"/>
              </w:rPr>
            </w:pPr>
          </w:p>
          <w:p w:rsidR="00311871" w:rsidRPr="00D8028E" w:rsidRDefault="00311871" w:rsidP="00311871">
            <w:pPr>
              <w:pStyle w:val="ListParagraph"/>
              <w:rPr>
                <w:rFonts w:ascii="Arial" w:hAnsi="Arial" w:cs="Arial"/>
                <w:b w:val="0"/>
                <w:sz w:val="22"/>
                <w:szCs w:val="22"/>
              </w:rPr>
            </w:pPr>
          </w:p>
        </w:tc>
      </w:tr>
    </w:tbl>
    <w:p w:rsidR="000D3E92" w:rsidRDefault="000D3E92" w:rsidP="000D3E92"/>
    <w:p w:rsidR="000D3E92" w:rsidRDefault="000D3E92" w:rsidP="000D3E92"/>
    <w:p w:rsidR="00A07A6A" w:rsidRDefault="00A07A6A" w:rsidP="000D3E92"/>
    <w:p w:rsidR="00A07A6A" w:rsidRDefault="00A07A6A" w:rsidP="000D3E92"/>
    <w:p w:rsidR="00A07A6A" w:rsidRDefault="00A07A6A" w:rsidP="000D3E92">
      <w:bookmarkStart w:id="0" w:name="_GoBack"/>
      <w:bookmarkEnd w:id="0"/>
    </w:p>
    <w:tbl>
      <w:tblPr>
        <w:tblStyle w:val="TableClassic3"/>
        <w:tblW w:w="0" w:type="auto"/>
        <w:tblLook w:val="04A0" w:firstRow="1" w:lastRow="0" w:firstColumn="1" w:lastColumn="0" w:noHBand="0" w:noVBand="1"/>
      </w:tblPr>
      <w:tblGrid>
        <w:gridCol w:w="9499"/>
      </w:tblGrid>
      <w:tr w:rsidR="000D3E92" w:rsidTr="00226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bottom w:val="nil"/>
            </w:tcBorders>
          </w:tcPr>
          <w:p w:rsidR="000D3E92" w:rsidRPr="00C64E89" w:rsidRDefault="000D3E92" w:rsidP="00226E65">
            <w:pPr>
              <w:rPr>
                <w:i w:val="0"/>
                <w:sz w:val="24"/>
                <w:szCs w:val="24"/>
              </w:rPr>
            </w:pPr>
            <w:r w:rsidRPr="00C64E89">
              <w:rPr>
                <w:i w:val="0"/>
                <w:sz w:val="24"/>
                <w:szCs w:val="24"/>
              </w:rPr>
              <w:lastRenderedPageBreak/>
              <w:t>Appendix</w:t>
            </w:r>
          </w:p>
        </w:tc>
      </w:tr>
      <w:tr w:rsidR="000D3E92" w:rsidTr="00226E65">
        <w:tc>
          <w:tcPr>
            <w:cnfStyle w:val="001000000000" w:firstRow="0" w:lastRow="0" w:firstColumn="1" w:lastColumn="0" w:oddVBand="0" w:evenVBand="0" w:oddHBand="0" w:evenHBand="0" w:firstRowFirstColumn="0" w:firstRowLastColumn="0" w:lastRowFirstColumn="0" w:lastRowLastColumn="0"/>
            <w:tcW w:w="8856" w:type="dxa"/>
            <w:tcBorders>
              <w:top w:val="nil"/>
              <w:left w:val="nil"/>
              <w:bottom w:val="nil"/>
              <w:right w:val="nil"/>
            </w:tcBorders>
            <w:shd w:val="clear" w:color="auto" w:fill="auto"/>
          </w:tcPr>
          <w:p w:rsidR="000D3E92" w:rsidRPr="00391581" w:rsidRDefault="000D3E92" w:rsidP="00226E65">
            <w:pPr>
              <w:rPr>
                <w:rFonts w:ascii="Arial" w:hAnsi="Arial" w:cs="Arial"/>
                <w:b w:val="0"/>
                <w:sz w:val="22"/>
                <w:szCs w:val="22"/>
              </w:rPr>
            </w:pPr>
          </w:p>
          <w:p w:rsidR="000D3E92" w:rsidRPr="00391581" w:rsidRDefault="000D3E92" w:rsidP="00226E65">
            <w:pPr>
              <w:rPr>
                <w:rFonts w:ascii="Arial" w:hAnsi="Arial" w:cs="Arial"/>
                <w:b w:val="0"/>
                <w:sz w:val="22"/>
                <w:szCs w:val="22"/>
              </w:rPr>
            </w:pPr>
            <w:r w:rsidRPr="00391581">
              <w:rPr>
                <w:rFonts w:ascii="Arial" w:hAnsi="Arial" w:cs="Arial"/>
                <w:b w:val="0"/>
                <w:sz w:val="22"/>
                <w:szCs w:val="22"/>
              </w:rPr>
              <w:t>Growth Rate:</w:t>
            </w:r>
          </w:p>
          <w:p w:rsidR="000D3E92" w:rsidRPr="00391581" w:rsidRDefault="000D3E92" w:rsidP="00226E65">
            <w:pPr>
              <w:rPr>
                <w:rFonts w:ascii="Arial" w:hAnsi="Arial" w:cs="Arial"/>
                <w:b w:val="0"/>
                <w:sz w:val="22"/>
                <w:szCs w:val="22"/>
              </w:rPr>
            </w:pPr>
            <w:r w:rsidRPr="00391581">
              <w:rPr>
                <w:rFonts w:ascii="Arial" w:hAnsi="Arial" w:cs="Arial"/>
                <w:b w:val="0"/>
                <w:noProof/>
                <w:sz w:val="22"/>
                <w:szCs w:val="22"/>
              </w:rPr>
              <w:drawing>
                <wp:inline distT="0" distB="0" distL="0" distR="0" wp14:anchorId="0E163F68" wp14:editId="068B20F2">
                  <wp:extent cx="2657475" cy="14763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625" t="16058" r="42187" b="66957"/>
                          <a:stretch/>
                        </pic:blipFill>
                        <pic:spPr bwMode="auto">
                          <a:xfrm>
                            <a:off x="0" y="0"/>
                            <a:ext cx="2674035" cy="1485574"/>
                          </a:xfrm>
                          <a:prstGeom prst="rect">
                            <a:avLst/>
                          </a:prstGeom>
                          <a:ln>
                            <a:noFill/>
                          </a:ln>
                          <a:extLst>
                            <a:ext uri="{53640926-AAD7-44D8-BBD7-CCE9431645EC}">
                              <a14:shadowObscured xmlns:a14="http://schemas.microsoft.com/office/drawing/2010/main"/>
                            </a:ext>
                          </a:extLst>
                        </pic:spPr>
                      </pic:pic>
                    </a:graphicData>
                  </a:graphic>
                </wp:inline>
              </w:drawing>
            </w:r>
          </w:p>
          <w:p w:rsidR="000D3E92" w:rsidRPr="00391581" w:rsidRDefault="000D3E92" w:rsidP="00226E65">
            <w:pPr>
              <w:rPr>
                <w:rFonts w:ascii="Arial" w:hAnsi="Arial" w:cs="Arial"/>
                <w:b w:val="0"/>
                <w:sz w:val="22"/>
                <w:szCs w:val="22"/>
              </w:rPr>
            </w:pPr>
            <w:r w:rsidRPr="00391581">
              <w:rPr>
                <w:rFonts w:ascii="Arial" w:hAnsi="Arial" w:cs="Arial"/>
                <w:b w:val="0"/>
                <w:noProof/>
                <w:sz w:val="22"/>
                <w:szCs w:val="22"/>
              </w:rPr>
              <w:drawing>
                <wp:inline distT="0" distB="0" distL="0" distR="0" wp14:anchorId="227BA52E" wp14:editId="7C7C9133">
                  <wp:extent cx="5894715"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278" t="16058" r="24132" b="67575"/>
                          <a:stretch/>
                        </pic:blipFill>
                        <pic:spPr bwMode="auto">
                          <a:xfrm>
                            <a:off x="0" y="0"/>
                            <a:ext cx="5911903" cy="1528444"/>
                          </a:xfrm>
                          <a:prstGeom prst="rect">
                            <a:avLst/>
                          </a:prstGeom>
                          <a:ln>
                            <a:noFill/>
                          </a:ln>
                          <a:extLst>
                            <a:ext uri="{53640926-AAD7-44D8-BBD7-CCE9431645EC}">
                              <a14:shadowObscured xmlns:a14="http://schemas.microsoft.com/office/drawing/2010/main"/>
                            </a:ext>
                          </a:extLst>
                        </pic:spPr>
                      </pic:pic>
                    </a:graphicData>
                  </a:graphic>
                </wp:inline>
              </w:drawing>
            </w:r>
          </w:p>
          <w:p w:rsidR="000D3E92" w:rsidRPr="00391581" w:rsidRDefault="000D3E92" w:rsidP="00226E65">
            <w:pPr>
              <w:rPr>
                <w:rFonts w:ascii="Arial" w:hAnsi="Arial" w:cs="Arial"/>
                <w:b w:val="0"/>
                <w:sz w:val="22"/>
                <w:szCs w:val="22"/>
              </w:rPr>
            </w:pPr>
          </w:p>
        </w:tc>
      </w:tr>
      <w:tr w:rsidR="000D3E92" w:rsidTr="00226E65">
        <w:trPr>
          <w:trHeight w:val="4111"/>
        </w:trPr>
        <w:tc>
          <w:tcPr>
            <w:cnfStyle w:val="001000000000" w:firstRow="0" w:lastRow="0" w:firstColumn="1" w:lastColumn="0" w:oddVBand="0" w:evenVBand="0" w:oddHBand="0" w:evenHBand="0" w:firstRowFirstColumn="0" w:firstRowLastColumn="0" w:lastRowFirstColumn="0" w:lastRowLastColumn="0"/>
            <w:tcW w:w="8856" w:type="dxa"/>
            <w:tcBorders>
              <w:top w:val="nil"/>
              <w:left w:val="nil"/>
              <w:bottom w:val="nil"/>
              <w:right w:val="nil"/>
            </w:tcBorders>
            <w:shd w:val="clear" w:color="auto" w:fill="auto"/>
          </w:tcPr>
          <w:p w:rsidR="00361F04" w:rsidRPr="00391581" w:rsidRDefault="00361F04" w:rsidP="00226E65">
            <w:pPr>
              <w:rPr>
                <w:rFonts w:ascii="Arial" w:hAnsi="Arial" w:cs="Arial"/>
                <w:b w:val="0"/>
                <w:sz w:val="22"/>
                <w:szCs w:val="22"/>
              </w:rPr>
            </w:pPr>
          </w:p>
          <w:p w:rsidR="000D3E92" w:rsidRPr="00391581" w:rsidRDefault="000D3E92" w:rsidP="00226E65">
            <w:pPr>
              <w:rPr>
                <w:rFonts w:ascii="Arial" w:hAnsi="Arial" w:cs="Arial"/>
                <w:b w:val="0"/>
                <w:sz w:val="22"/>
                <w:szCs w:val="22"/>
              </w:rPr>
            </w:pPr>
            <w:r w:rsidRPr="00391581">
              <w:rPr>
                <w:rFonts w:ascii="Arial" w:hAnsi="Arial" w:cs="Arial"/>
                <w:b w:val="0"/>
                <w:sz w:val="22"/>
                <w:szCs w:val="22"/>
              </w:rPr>
              <w:t>Discounted Free Cash Flow</w:t>
            </w:r>
          </w:p>
          <w:p w:rsidR="000D3E92" w:rsidRPr="00391581" w:rsidRDefault="000D3E92" w:rsidP="00226E65">
            <w:pPr>
              <w:rPr>
                <w:rFonts w:ascii="Arial" w:hAnsi="Arial" w:cs="Arial"/>
                <w:b w:val="0"/>
                <w:sz w:val="22"/>
                <w:szCs w:val="22"/>
              </w:rPr>
            </w:pPr>
          </w:p>
          <w:p w:rsidR="000D3E92" w:rsidRPr="00391581" w:rsidRDefault="00227DBB" w:rsidP="00226E65">
            <w:pPr>
              <w:rPr>
                <w:rFonts w:ascii="Arial" w:hAnsi="Arial" w:cs="Arial"/>
                <w:b w:val="0"/>
                <w:sz w:val="22"/>
                <w:szCs w:val="22"/>
              </w:rPr>
            </w:pPr>
            <w:r>
              <w:rPr>
                <w:noProof/>
              </w:rPr>
              <w:drawing>
                <wp:inline distT="0" distB="0" distL="0" distR="0" wp14:anchorId="55EB5F1B" wp14:editId="41AC7323">
                  <wp:extent cx="4824523"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971" t="16367" r="30383" b="70354"/>
                          <a:stretch/>
                        </pic:blipFill>
                        <pic:spPr bwMode="auto">
                          <a:xfrm>
                            <a:off x="0" y="0"/>
                            <a:ext cx="4824523" cy="1257300"/>
                          </a:xfrm>
                          <a:prstGeom prst="rect">
                            <a:avLst/>
                          </a:prstGeom>
                          <a:ln>
                            <a:noFill/>
                          </a:ln>
                          <a:extLst>
                            <a:ext uri="{53640926-AAD7-44D8-BBD7-CCE9431645EC}">
                              <a14:shadowObscured xmlns:a14="http://schemas.microsoft.com/office/drawing/2010/main"/>
                            </a:ext>
                          </a:extLst>
                        </pic:spPr>
                      </pic:pic>
                    </a:graphicData>
                  </a:graphic>
                </wp:inline>
              </w:drawing>
            </w:r>
          </w:p>
          <w:p w:rsidR="000D3E92" w:rsidRPr="00391581" w:rsidRDefault="00361F04" w:rsidP="00226E65">
            <w:pPr>
              <w:rPr>
                <w:rFonts w:ascii="Arial" w:hAnsi="Arial" w:cs="Arial"/>
                <w:b w:val="0"/>
                <w:sz w:val="22"/>
                <w:szCs w:val="22"/>
              </w:rPr>
            </w:pPr>
            <w:r>
              <w:rPr>
                <w:noProof/>
              </w:rPr>
              <w:drawing>
                <wp:inline distT="0" distB="0" distL="0" distR="0" wp14:anchorId="363639FA" wp14:editId="595B0343">
                  <wp:extent cx="3933825" cy="29873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625" t="15750" r="36285" b="53060"/>
                          <a:stretch/>
                        </pic:blipFill>
                        <pic:spPr bwMode="auto">
                          <a:xfrm>
                            <a:off x="0" y="0"/>
                            <a:ext cx="3936590" cy="2989441"/>
                          </a:xfrm>
                          <a:prstGeom prst="rect">
                            <a:avLst/>
                          </a:prstGeom>
                          <a:ln>
                            <a:noFill/>
                          </a:ln>
                          <a:extLst>
                            <a:ext uri="{53640926-AAD7-44D8-BBD7-CCE9431645EC}">
                              <a14:shadowObscured xmlns:a14="http://schemas.microsoft.com/office/drawing/2010/main"/>
                            </a:ext>
                          </a:extLst>
                        </pic:spPr>
                      </pic:pic>
                    </a:graphicData>
                  </a:graphic>
                </wp:inline>
              </w:drawing>
            </w:r>
          </w:p>
          <w:p w:rsidR="000D3E92" w:rsidRPr="00391581" w:rsidRDefault="000D3E92" w:rsidP="00226E65">
            <w:pPr>
              <w:rPr>
                <w:rFonts w:ascii="Arial" w:hAnsi="Arial" w:cs="Arial"/>
                <w:b w:val="0"/>
                <w:sz w:val="22"/>
                <w:szCs w:val="22"/>
              </w:rPr>
            </w:pPr>
            <w:r w:rsidRPr="00391581">
              <w:rPr>
                <w:rFonts w:ascii="Arial" w:hAnsi="Arial" w:cs="Arial"/>
                <w:b w:val="0"/>
                <w:sz w:val="22"/>
                <w:szCs w:val="22"/>
              </w:rPr>
              <w:softHyphen/>
            </w:r>
          </w:p>
        </w:tc>
      </w:tr>
    </w:tbl>
    <w:p w:rsidR="000037D7" w:rsidRPr="000037D7" w:rsidRDefault="000037D7" w:rsidP="00227DBB">
      <w:pPr>
        <w:rPr>
          <w:rFonts w:ascii="Times New Roman" w:hAnsi="Times New Roman" w:cs="Times New Roman"/>
          <w:sz w:val="24"/>
          <w:szCs w:val="24"/>
        </w:rPr>
      </w:pPr>
    </w:p>
    <w:sectPr w:rsidR="000037D7" w:rsidRPr="000037D7" w:rsidSect="00A07A6A">
      <w:pgSz w:w="12240" w:h="15840"/>
      <w:pgMar w:top="81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4A8" w:rsidRDefault="007C44A8" w:rsidP="007930CF">
      <w:pPr>
        <w:spacing w:after="0" w:line="240" w:lineRule="auto"/>
      </w:pPr>
      <w:r>
        <w:separator/>
      </w:r>
    </w:p>
  </w:endnote>
  <w:endnote w:type="continuationSeparator" w:id="0">
    <w:p w:rsidR="007C44A8" w:rsidRDefault="007C44A8" w:rsidP="0079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4A8" w:rsidRDefault="007C44A8" w:rsidP="007930CF">
      <w:pPr>
        <w:spacing w:after="0" w:line="240" w:lineRule="auto"/>
      </w:pPr>
      <w:r>
        <w:separator/>
      </w:r>
    </w:p>
  </w:footnote>
  <w:footnote w:type="continuationSeparator" w:id="0">
    <w:p w:rsidR="007C44A8" w:rsidRDefault="007C44A8" w:rsidP="00793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47E4D"/>
    <w:multiLevelType w:val="hybridMultilevel"/>
    <w:tmpl w:val="4A08A29A"/>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nsid w:val="2D2E78C3"/>
    <w:multiLevelType w:val="hybridMultilevel"/>
    <w:tmpl w:val="324C016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nsid w:val="41E7726A"/>
    <w:multiLevelType w:val="hybridMultilevel"/>
    <w:tmpl w:val="31F268E6"/>
    <w:lvl w:ilvl="0" w:tplc="3009000B">
      <w:start w:val="1"/>
      <w:numFmt w:val="bullet"/>
      <w:lvlText w:val=""/>
      <w:lvlJc w:val="left"/>
      <w:pPr>
        <w:ind w:left="1080" w:hanging="360"/>
      </w:pPr>
      <w:rPr>
        <w:rFonts w:ascii="Wingdings" w:hAnsi="Wingdings"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3">
    <w:nsid w:val="43514263"/>
    <w:multiLevelType w:val="hybridMultilevel"/>
    <w:tmpl w:val="4926BA0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48151490"/>
    <w:multiLevelType w:val="hybridMultilevel"/>
    <w:tmpl w:val="0804BA0C"/>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63D649BA"/>
    <w:multiLevelType w:val="hybridMultilevel"/>
    <w:tmpl w:val="6922D0A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9D"/>
    <w:rsid w:val="000037D7"/>
    <w:rsid w:val="00006680"/>
    <w:rsid w:val="000704B7"/>
    <w:rsid w:val="00083ECD"/>
    <w:rsid w:val="000D3E92"/>
    <w:rsid w:val="000D5E8F"/>
    <w:rsid w:val="001320EE"/>
    <w:rsid w:val="00227DBB"/>
    <w:rsid w:val="00285B64"/>
    <w:rsid w:val="00311871"/>
    <w:rsid w:val="00343DFA"/>
    <w:rsid w:val="00361F04"/>
    <w:rsid w:val="00392B88"/>
    <w:rsid w:val="00405319"/>
    <w:rsid w:val="00470D2B"/>
    <w:rsid w:val="004B6D61"/>
    <w:rsid w:val="005529DD"/>
    <w:rsid w:val="00572B43"/>
    <w:rsid w:val="005A1AE0"/>
    <w:rsid w:val="005D0F79"/>
    <w:rsid w:val="005D4553"/>
    <w:rsid w:val="00606BF2"/>
    <w:rsid w:val="006A0D77"/>
    <w:rsid w:val="0071473F"/>
    <w:rsid w:val="00787B86"/>
    <w:rsid w:val="0079276E"/>
    <w:rsid w:val="007930CF"/>
    <w:rsid w:val="007C44A8"/>
    <w:rsid w:val="007E2EC0"/>
    <w:rsid w:val="00812D17"/>
    <w:rsid w:val="0087516B"/>
    <w:rsid w:val="00942604"/>
    <w:rsid w:val="00A07A6A"/>
    <w:rsid w:val="00A83B9D"/>
    <w:rsid w:val="00AF2DF3"/>
    <w:rsid w:val="00B33345"/>
    <w:rsid w:val="00B81B23"/>
    <w:rsid w:val="00BC4E10"/>
    <w:rsid w:val="00BD4608"/>
    <w:rsid w:val="00C44A04"/>
    <w:rsid w:val="00C64E89"/>
    <w:rsid w:val="00C660F1"/>
    <w:rsid w:val="00D401DE"/>
    <w:rsid w:val="00F16B5B"/>
    <w:rsid w:val="00F2110A"/>
    <w:rsid w:val="00F22957"/>
    <w:rsid w:val="00FA02B0"/>
    <w:rsid w:val="00FC2E85"/>
    <w:rsid w:val="00FF3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3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0CF"/>
  </w:style>
  <w:style w:type="paragraph" w:styleId="Footer">
    <w:name w:val="footer"/>
    <w:basedOn w:val="Normal"/>
    <w:link w:val="FooterChar"/>
    <w:uiPriority w:val="99"/>
    <w:unhideWhenUsed/>
    <w:rsid w:val="0079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0CF"/>
  </w:style>
  <w:style w:type="paragraph" w:styleId="BalloonText">
    <w:name w:val="Balloon Text"/>
    <w:basedOn w:val="Normal"/>
    <w:link w:val="BalloonTextChar"/>
    <w:uiPriority w:val="99"/>
    <w:semiHidden/>
    <w:unhideWhenUsed/>
    <w:rsid w:val="005D4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553"/>
    <w:rPr>
      <w:rFonts w:ascii="Tahoma" w:hAnsi="Tahoma" w:cs="Tahoma"/>
      <w:sz w:val="16"/>
      <w:szCs w:val="16"/>
    </w:rPr>
  </w:style>
  <w:style w:type="character" w:customStyle="1" w:styleId="grtext1">
    <w:name w:val="gr_text1"/>
    <w:basedOn w:val="DefaultParagraphFont"/>
    <w:rsid w:val="005A1AE0"/>
  </w:style>
  <w:style w:type="paragraph" w:styleId="ListParagraph">
    <w:name w:val="List Paragraph"/>
    <w:basedOn w:val="Normal"/>
    <w:uiPriority w:val="34"/>
    <w:qFormat/>
    <w:rsid w:val="00FC2E85"/>
    <w:pPr>
      <w:ind w:left="720"/>
      <w:contextualSpacing/>
    </w:pPr>
  </w:style>
  <w:style w:type="table" w:styleId="TableClassic3">
    <w:name w:val="Table Classic 3"/>
    <w:basedOn w:val="TableNormal"/>
    <w:rsid w:val="000D3E92"/>
    <w:pPr>
      <w:spacing w:after="0" w:line="240" w:lineRule="auto"/>
    </w:pPr>
    <w:rPr>
      <w:rFonts w:ascii="Times New Roman" w:eastAsia="Times New Roman" w:hAnsi="Times New Roman" w:cs="Times New Roman"/>
      <w:color w:val="000080"/>
      <w:sz w:val="20"/>
      <w:szCs w:val="20"/>
      <w:lang w:val="en-ZW"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3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0CF"/>
  </w:style>
  <w:style w:type="paragraph" w:styleId="Footer">
    <w:name w:val="footer"/>
    <w:basedOn w:val="Normal"/>
    <w:link w:val="FooterChar"/>
    <w:uiPriority w:val="99"/>
    <w:unhideWhenUsed/>
    <w:rsid w:val="0079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0CF"/>
  </w:style>
  <w:style w:type="paragraph" w:styleId="BalloonText">
    <w:name w:val="Balloon Text"/>
    <w:basedOn w:val="Normal"/>
    <w:link w:val="BalloonTextChar"/>
    <w:uiPriority w:val="99"/>
    <w:semiHidden/>
    <w:unhideWhenUsed/>
    <w:rsid w:val="005D4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553"/>
    <w:rPr>
      <w:rFonts w:ascii="Tahoma" w:hAnsi="Tahoma" w:cs="Tahoma"/>
      <w:sz w:val="16"/>
      <w:szCs w:val="16"/>
    </w:rPr>
  </w:style>
  <w:style w:type="character" w:customStyle="1" w:styleId="grtext1">
    <w:name w:val="gr_text1"/>
    <w:basedOn w:val="DefaultParagraphFont"/>
    <w:rsid w:val="005A1AE0"/>
  </w:style>
  <w:style w:type="paragraph" w:styleId="ListParagraph">
    <w:name w:val="List Paragraph"/>
    <w:basedOn w:val="Normal"/>
    <w:uiPriority w:val="34"/>
    <w:qFormat/>
    <w:rsid w:val="00FC2E85"/>
    <w:pPr>
      <w:ind w:left="720"/>
      <w:contextualSpacing/>
    </w:pPr>
  </w:style>
  <w:style w:type="table" w:styleId="TableClassic3">
    <w:name w:val="Table Classic 3"/>
    <w:basedOn w:val="TableNormal"/>
    <w:rsid w:val="000D3E92"/>
    <w:pPr>
      <w:spacing w:after="0" w:line="240" w:lineRule="auto"/>
    </w:pPr>
    <w:rPr>
      <w:rFonts w:ascii="Times New Roman" w:eastAsia="Times New Roman" w:hAnsi="Times New Roman" w:cs="Times New Roman"/>
      <w:color w:val="000080"/>
      <w:sz w:val="20"/>
      <w:szCs w:val="20"/>
      <w:lang w:val="en-ZW"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310EC-EF72-45EC-887A-34D02948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Dominic</cp:lastModifiedBy>
  <cp:revision>6</cp:revision>
  <cp:lastPrinted>2012-11-19T21:42:00Z</cp:lastPrinted>
  <dcterms:created xsi:type="dcterms:W3CDTF">2012-11-19T22:15:00Z</dcterms:created>
  <dcterms:modified xsi:type="dcterms:W3CDTF">2012-11-19T22:36:00Z</dcterms:modified>
</cp:coreProperties>
</file>