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0" w:type="dxa"/>
        <w:tblLook w:val="04A0" w:firstRow="1" w:lastRow="0" w:firstColumn="1" w:lastColumn="0" w:noHBand="0" w:noVBand="1"/>
      </w:tblPr>
      <w:tblGrid>
        <w:gridCol w:w="3396"/>
        <w:gridCol w:w="3195"/>
        <w:gridCol w:w="1987"/>
        <w:gridCol w:w="742"/>
        <w:gridCol w:w="238"/>
        <w:gridCol w:w="2933"/>
        <w:gridCol w:w="2809"/>
      </w:tblGrid>
      <w:tr w:rsidR="007930CF" w:rsidRPr="00F22957" w:rsidTr="00A458B0">
        <w:trPr>
          <w:trHeight w:val="266"/>
        </w:trPr>
        <w:tc>
          <w:tcPr>
            <w:tcW w:w="3396" w:type="dxa"/>
            <w:vMerge w:val="restart"/>
          </w:tcPr>
          <w:p w:rsidR="007930CF" w:rsidRPr="00F22957" w:rsidRDefault="00D842ED">
            <w:pPr>
              <w:rPr>
                <w:rFonts w:ascii="Times New Roman" w:hAnsi="Times New Roman" w:cs="Times New Roman"/>
                <w:sz w:val="24"/>
                <w:szCs w:val="24"/>
                <w:highlight w:val="blue"/>
              </w:rPr>
            </w:pPr>
            <w:r>
              <w:rPr>
                <w:noProof/>
              </w:rPr>
              <w:drawing>
                <wp:inline distT="0" distB="0" distL="0" distR="0">
                  <wp:extent cx="1952625" cy="1562100"/>
                  <wp:effectExtent l="0" t="0" r="9525" b="0"/>
                  <wp:docPr id="1" name="Picture 1" descr="http://www.listphile.com/Fortune_500_Logos/Berkshire_Hathaway/image/012_berkshirehatha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stphile.com/Fortune_500_Logos/Berkshire_Hathaway/image/012_berkshirehathaw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562100"/>
                          </a:xfrm>
                          <a:prstGeom prst="rect">
                            <a:avLst/>
                          </a:prstGeom>
                          <a:noFill/>
                          <a:ln>
                            <a:noFill/>
                          </a:ln>
                        </pic:spPr>
                      </pic:pic>
                    </a:graphicData>
                  </a:graphic>
                </wp:inline>
              </w:drawing>
            </w:r>
          </w:p>
        </w:tc>
        <w:tc>
          <w:tcPr>
            <w:tcW w:w="11904" w:type="dxa"/>
            <w:gridSpan w:val="6"/>
            <w:shd w:val="clear" w:color="auto" w:fill="002060"/>
          </w:tcPr>
          <w:p w:rsidR="007930CF" w:rsidRPr="00F22957" w:rsidRDefault="007930CF" w:rsidP="007930CF">
            <w:pPr>
              <w:jc w:val="center"/>
              <w:rPr>
                <w:rFonts w:ascii="Times New Roman" w:hAnsi="Times New Roman" w:cs="Times New Roman"/>
                <w:b/>
                <w:sz w:val="24"/>
                <w:szCs w:val="24"/>
              </w:rPr>
            </w:pPr>
            <w:r w:rsidRPr="00F22957">
              <w:rPr>
                <w:rFonts w:ascii="Times New Roman" w:hAnsi="Times New Roman" w:cs="Times New Roman"/>
                <w:b/>
                <w:color w:val="FFFFFF" w:themeColor="background1"/>
                <w:sz w:val="24"/>
                <w:szCs w:val="24"/>
              </w:rPr>
              <w:t>Key Statistics</w:t>
            </w:r>
          </w:p>
        </w:tc>
      </w:tr>
      <w:tr w:rsidR="00F22957" w:rsidRPr="00F22957" w:rsidTr="00A458B0">
        <w:trPr>
          <w:trHeight w:val="1512"/>
        </w:trPr>
        <w:tc>
          <w:tcPr>
            <w:tcW w:w="3396" w:type="dxa"/>
            <w:vMerge/>
          </w:tcPr>
          <w:p w:rsidR="00F22957" w:rsidRPr="00F22957" w:rsidRDefault="00F22957">
            <w:pPr>
              <w:rPr>
                <w:rFonts w:ascii="Times New Roman" w:hAnsi="Times New Roman" w:cs="Times New Roman"/>
                <w:sz w:val="24"/>
                <w:szCs w:val="24"/>
                <w:highlight w:val="blue"/>
              </w:rPr>
            </w:pPr>
          </w:p>
        </w:tc>
        <w:tc>
          <w:tcPr>
            <w:tcW w:w="3195" w:type="dxa"/>
            <w:tcBorders>
              <w:right w:val="nil"/>
            </w:tcBorders>
            <w:shd w:val="clear" w:color="auto" w:fill="FFFFFF" w:themeFill="background1"/>
          </w:tcPr>
          <w:p w:rsidR="00CD595E" w:rsidRDefault="00F22957" w:rsidP="005D4553">
            <w:pPr>
              <w:rPr>
                <w:rFonts w:ascii="Times New Roman" w:hAnsi="Times New Roman" w:cs="Times New Roman"/>
                <w:b/>
                <w:color w:val="000000" w:themeColor="text1"/>
                <w:sz w:val="24"/>
                <w:szCs w:val="24"/>
              </w:rPr>
            </w:pPr>
            <w:r w:rsidRPr="00F22957">
              <w:rPr>
                <w:rFonts w:ascii="Times New Roman" w:hAnsi="Times New Roman" w:cs="Times New Roman"/>
                <w:b/>
                <w:color w:val="000000" w:themeColor="text1"/>
                <w:sz w:val="24"/>
                <w:szCs w:val="24"/>
              </w:rPr>
              <w:t>Recommendation: BUY</w:t>
            </w:r>
            <w:r w:rsidR="00CD595E">
              <w:rPr>
                <w:rFonts w:ascii="Times New Roman" w:hAnsi="Times New Roman" w:cs="Times New Roman"/>
                <w:b/>
                <w:color w:val="000000" w:themeColor="text1"/>
                <w:sz w:val="24"/>
                <w:szCs w:val="24"/>
              </w:rPr>
              <w:t xml:space="preserve">  </w:t>
            </w:r>
          </w:p>
          <w:p w:rsidR="00AD0066" w:rsidRDefault="00AD0066" w:rsidP="005D455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Analyst: Chris Procaccini</w:t>
            </w:r>
          </w:p>
          <w:p w:rsidR="00D842ED" w:rsidRDefault="00D842ED" w:rsidP="005D4553">
            <w:pPr>
              <w:rPr>
                <w:rFonts w:ascii="Times New Roman" w:hAnsi="Times New Roman" w:cs="Times New Roman"/>
                <w:b/>
                <w:color w:val="000000" w:themeColor="text1"/>
                <w:sz w:val="24"/>
                <w:szCs w:val="24"/>
              </w:rPr>
            </w:pPr>
          </w:p>
          <w:p w:rsidR="00D842ED" w:rsidRPr="00AD0066" w:rsidRDefault="00AD0066" w:rsidP="005D4553">
            <w:pPr>
              <w:rPr>
                <w:rFonts w:ascii="Times New Roman" w:hAnsi="Times New Roman" w:cs="Times New Roman"/>
                <w:b/>
                <w:color w:val="000000" w:themeColor="text1"/>
                <w:sz w:val="24"/>
                <w:szCs w:val="24"/>
              </w:rPr>
            </w:pPr>
            <w:bookmarkStart w:id="0" w:name="_GoBack"/>
            <w:r w:rsidRPr="00AD0066">
              <w:rPr>
                <w:rFonts w:ascii="Times New Roman" w:hAnsi="Times New Roman" w:cs="Times New Roman"/>
                <w:b/>
                <w:color w:val="000000" w:themeColor="text1"/>
                <w:sz w:val="24"/>
                <w:szCs w:val="24"/>
              </w:rPr>
              <w:t xml:space="preserve">Class </w:t>
            </w:r>
            <w:r w:rsidR="00D842ED" w:rsidRPr="00AD0066">
              <w:rPr>
                <w:rFonts w:ascii="Times New Roman" w:hAnsi="Times New Roman" w:cs="Times New Roman"/>
                <w:b/>
                <w:color w:val="000000" w:themeColor="text1"/>
                <w:sz w:val="24"/>
                <w:szCs w:val="24"/>
              </w:rPr>
              <w:t>B Shares</w:t>
            </w:r>
          </w:p>
          <w:bookmarkEnd w:id="0"/>
          <w:p w:rsidR="00F22957" w:rsidRPr="00F22957" w:rsidRDefault="00F22957" w:rsidP="005D4553">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Market Cap</w:t>
            </w:r>
            <w:r w:rsidR="001C297D">
              <w:rPr>
                <w:rFonts w:ascii="Times New Roman" w:hAnsi="Times New Roman" w:cs="Times New Roman"/>
                <w:color w:val="000000" w:themeColor="text1"/>
                <w:sz w:val="24"/>
                <w:szCs w:val="24"/>
              </w:rPr>
              <w:t xml:space="preserve">: </w:t>
            </w:r>
            <w:r w:rsidR="00F30073">
              <w:rPr>
                <w:rFonts w:ascii="Times New Roman" w:hAnsi="Times New Roman" w:cs="Times New Roman"/>
                <w:color w:val="000000" w:themeColor="text1"/>
                <w:sz w:val="24"/>
                <w:szCs w:val="24"/>
              </w:rPr>
              <w:t>20</w:t>
            </w:r>
            <w:r w:rsidR="00D842ED">
              <w:rPr>
                <w:rFonts w:ascii="Times New Roman" w:hAnsi="Times New Roman" w:cs="Times New Roman"/>
                <w:color w:val="000000" w:themeColor="text1"/>
                <w:sz w:val="24"/>
                <w:szCs w:val="24"/>
              </w:rPr>
              <w:t>5</w:t>
            </w:r>
            <w:r w:rsidR="00F30073">
              <w:rPr>
                <w:rFonts w:ascii="Times New Roman" w:hAnsi="Times New Roman" w:cs="Times New Roman"/>
                <w:color w:val="000000" w:themeColor="text1"/>
                <w:sz w:val="24"/>
                <w:szCs w:val="24"/>
              </w:rPr>
              <w:t>.6 bill</w:t>
            </w:r>
          </w:p>
          <w:p w:rsidR="00F30073" w:rsidRPr="00F22957" w:rsidRDefault="00F22957" w:rsidP="005D4553">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52 Week Range</w:t>
            </w:r>
            <w:r w:rsidR="008A69E6">
              <w:rPr>
                <w:rFonts w:ascii="Times New Roman" w:hAnsi="Times New Roman" w:cs="Times New Roman"/>
                <w:color w:val="000000" w:themeColor="text1"/>
                <w:sz w:val="24"/>
                <w:szCs w:val="24"/>
              </w:rPr>
              <w:t xml:space="preserve">: </w:t>
            </w:r>
            <w:r w:rsidR="00F30073">
              <w:rPr>
                <w:rFonts w:ascii="Times New Roman" w:hAnsi="Times New Roman" w:cs="Times New Roman"/>
                <w:color w:val="000000" w:themeColor="text1"/>
                <w:sz w:val="24"/>
                <w:szCs w:val="24"/>
              </w:rPr>
              <w:t>72.60-90.93</w:t>
            </w:r>
          </w:p>
          <w:p w:rsidR="00F22957" w:rsidRPr="00F22957" w:rsidRDefault="00F22957" w:rsidP="00F30073">
            <w:pPr>
              <w:rPr>
                <w:rFonts w:ascii="Times New Roman" w:hAnsi="Times New Roman" w:cs="Times New Roman"/>
                <w:color w:val="000000" w:themeColor="text1"/>
                <w:sz w:val="24"/>
                <w:szCs w:val="24"/>
              </w:rPr>
            </w:pPr>
          </w:p>
        </w:tc>
        <w:tc>
          <w:tcPr>
            <w:tcW w:w="2729" w:type="dxa"/>
            <w:gridSpan w:val="2"/>
            <w:tcBorders>
              <w:left w:val="nil"/>
              <w:right w:val="nil"/>
            </w:tcBorders>
            <w:shd w:val="clear" w:color="auto" w:fill="FFFFFF" w:themeFill="background1"/>
          </w:tcPr>
          <w:p w:rsidR="00F22957" w:rsidRPr="00F22957" w:rsidRDefault="00F22957" w:rsidP="00F22957">
            <w:pPr>
              <w:rPr>
                <w:rFonts w:ascii="Times New Roman" w:hAnsi="Times New Roman" w:cs="Times New Roman"/>
                <w:color w:val="000000" w:themeColor="text1"/>
                <w:sz w:val="24"/>
                <w:szCs w:val="24"/>
              </w:rPr>
            </w:pPr>
          </w:p>
          <w:p w:rsidR="00F22957" w:rsidRPr="00F22957" w:rsidRDefault="00F22957" w:rsidP="00F22957">
            <w:pPr>
              <w:rPr>
                <w:rFonts w:ascii="Times New Roman" w:hAnsi="Times New Roman" w:cs="Times New Roman"/>
                <w:color w:val="000000" w:themeColor="text1"/>
                <w:sz w:val="24"/>
                <w:szCs w:val="24"/>
              </w:rPr>
            </w:pPr>
          </w:p>
          <w:p w:rsidR="00AD0066" w:rsidRDefault="00AD0066" w:rsidP="00F22957">
            <w:pPr>
              <w:rPr>
                <w:rFonts w:ascii="Times New Roman" w:hAnsi="Times New Roman" w:cs="Times New Roman"/>
                <w:color w:val="000000" w:themeColor="text1"/>
                <w:sz w:val="24"/>
                <w:szCs w:val="24"/>
              </w:rPr>
            </w:pPr>
          </w:p>
          <w:p w:rsidR="00F22957" w:rsidRPr="00F22957" w:rsidRDefault="00F22957" w:rsidP="00F22957">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ROE</w:t>
            </w:r>
            <w:r w:rsidR="00A161D2">
              <w:rPr>
                <w:rFonts w:ascii="Times New Roman" w:hAnsi="Times New Roman" w:cs="Times New Roman"/>
                <w:color w:val="000000" w:themeColor="text1"/>
                <w:sz w:val="24"/>
                <w:szCs w:val="24"/>
              </w:rPr>
              <w:t xml:space="preserve">: </w:t>
            </w:r>
            <w:r w:rsidR="00F30073">
              <w:rPr>
                <w:rFonts w:ascii="Times New Roman" w:hAnsi="Times New Roman" w:cs="Times New Roman"/>
                <w:color w:val="000000" w:themeColor="text1"/>
                <w:sz w:val="24"/>
                <w:szCs w:val="24"/>
              </w:rPr>
              <w:t>7.73</w:t>
            </w:r>
            <w:r w:rsidR="00A161D2">
              <w:rPr>
                <w:rFonts w:ascii="Times New Roman" w:hAnsi="Times New Roman" w:cs="Times New Roman"/>
                <w:color w:val="000000" w:themeColor="text1"/>
                <w:sz w:val="24"/>
                <w:szCs w:val="24"/>
              </w:rPr>
              <w:t>%</w:t>
            </w:r>
          </w:p>
          <w:p w:rsidR="00F22957" w:rsidRPr="00F22957" w:rsidRDefault="00F22957" w:rsidP="00F22957">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ROIC</w:t>
            </w:r>
            <w:r w:rsidR="00A161D2">
              <w:rPr>
                <w:rFonts w:ascii="Times New Roman" w:hAnsi="Times New Roman" w:cs="Times New Roman"/>
                <w:color w:val="000000" w:themeColor="text1"/>
                <w:sz w:val="24"/>
                <w:szCs w:val="24"/>
              </w:rPr>
              <w:t xml:space="preserve">: </w:t>
            </w:r>
            <w:r w:rsidR="00F30073">
              <w:rPr>
                <w:rFonts w:ascii="Times New Roman" w:hAnsi="Times New Roman" w:cs="Times New Roman"/>
                <w:color w:val="000000" w:themeColor="text1"/>
                <w:sz w:val="24"/>
                <w:szCs w:val="24"/>
              </w:rPr>
              <w:t>5.70</w:t>
            </w:r>
            <w:r w:rsidR="00A161D2">
              <w:rPr>
                <w:rFonts w:ascii="Times New Roman" w:hAnsi="Times New Roman" w:cs="Times New Roman"/>
                <w:color w:val="000000" w:themeColor="text1"/>
                <w:sz w:val="24"/>
                <w:szCs w:val="24"/>
              </w:rPr>
              <w:t>%</w:t>
            </w:r>
          </w:p>
          <w:p w:rsidR="00F22957" w:rsidRPr="00F22957" w:rsidRDefault="00F22957" w:rsidP="00F30073">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Dividend Yield</w:t>
            </w:r>
            <w:r w:rsidR="00A161D2">
              <w:rPr>
                <w:rFonts w:ascii="Times New Roman" w:hAnsi="Times New Roman" w:cs="Times New Roman"/>
                <w:color w:val="000000" w:themeColor="text1"/>
                <w:sz w:val="24"/>
                <w:szCs w:val="24"/>
              </w:rPr>
              <w:t xml:space="preserve">: </w:t>
            </w:r>
            <w:r w:rsidR="00F30073">
              <w:rPr>
                <w:rFonts w:ascii="Times New Roman" w:hAnsi="Times New Roman" w:cs="Times New Roman"/>
                <w:color w:val="000000" w:themeColor="text1"/>
                <w:sz w:val="24"/>
                <w:szCs w:val="24"/>
              </w:rPr>
              <w:t>0</w:t>
            </w:r>
          </w:p>
        </w:tc>
        <w:tc>
          <w:tcPr>
            <w:tcW w:w="3171" w:type="dxa"/>
            <w:gridSpan w:val="2"/>
            <w:tcBorders>
              <w:left w:val="nil"/>
              <w:right w:val="nil"/>
            </w:tcBorders>
            <w:shd w:val="clear" w:color="auto" w:fill="FFFFFF" w:themeFill="background1"/>
          </w:tcPr>
          <w:p w:rsidR="00F22957" w:rsidRPr="00F22957" w:rsidRDefault="00F22957" w:rsidP="00F22957">
            <w:pPr>
              <w:rPr>
                <w:rFonts w:ascii="Times New Roman" w:hAnsi="Times New Roman" w:cs="Times New Roman"/>
                <w:color w:val="000000" w:themeColor="text1"/>
                <w:sz w:val="24"/>
                <w:szCs w:val="24"/>
              </w:rPr>
            </w:pPr>
          </w:p>
          <w:p w:rsidR="00F22957" w:rsidRPr="00F22957" w:rsidRDefault="00F22957" w:rsidP="00F22957">
            <w:pPr>
              <w:rPr>
                <w:rFonts w:ascii="Times New Roman" w:hAnsi="Times New Roman" w:cs="Times New Roman"/>
                <w:color w:val="000000" w:themeColor="text1"/>
                <w:sz w:val="24"/>
                <w:szCs w:val="24"/>
              </w:rPr>
            </w:pPr>
          </w:p>
          <w:p w:rsidR="00AD0066" w:rsidRDefault="00AD0066" w:rsidP="00F22957">
            <w:pPr>
              <w:rPr>
                <w:rFonts w:ascii="Times New Roman" w:hAnsi="Times New Roman" w:cs="Times New Roman"/>
                <w:color w:val="000000" w:themeColor="text1"/>
                <w:sz w:val="24"/>
                <w:szCs w:val="24"/>
              </w:rPr>
            </w:pPr>
          </w:p>
          <w:p w:rsidR="00F22957" w:rsidRPr="00F22957" w:rsidRDefault="00F22957" w:rsidP="00F22957">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Gross Profit Margin</w:t>
            </w:r>
            <w:r w:rsidR="00DA27C6">
              <w:rPr>
                <w:rFonts w:ascii="Times New Roman" w:hAnsi="Times New Roman" w:cs="Times New Roman"/>
                <w:color w:val="000000" w:themeColor="text1"/>
                <w:sz w:val="24"/>
                <w:szCs w:val="24"/>
              </w:rPr>
              <w:t>: 12.17%</w:t>
            </w:r>
          </w:p>
          <w:p w:rsidR="00F22957" w:rsidRPr="00F22957" w:rsidRDefault="00F22957" w:rsidP="00F22957">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Operating Profit Margin</w:t>
            </w:r>
            <w:r w:rsidR="00DA27C6">
              <w:rPr>
                <w:rFonts w:ascii="Times New Roman" w:hAnsi="Times New Roman" w:cs="Times New Roman"/>
                <w:color w:val="000000" w:themeColor="text1"/>
                <w:sz w:val="24"/>
                <w:szCs w:val="24"/>
              </w:rPr>
              <w:t>:</w:t>
            </w:r>
            <w:r w:rsidR="00890CF1">
              <w:rPr>
                <w:rFonts w:ascii="Times New Roman" w:hAnsi="Times New Roman" w:cs="Times New Roman"/>
                <w:color w:val="000000" w:themeColor="text1"/>
              </w:rPr>
              <w:t xml:space="preserve"> </w:t>
            </w:r>
            <w:r w:rsidR="00F30073" w:rsidRPr="00890CF1">
              <w:rPr>
                <w:rFonts w:ascii="Times New Roman" w:hAnsi="Times New Roman" w:cs="Times New Roman"/>
                <w:color w:val="000000" w:themeColor="text1"/>
                <w:sz w:val="18"/>
                <w:szCs w:val="18"/>
              </w:rPr>
              <w:t>10.7%</w:t>
            </w:r>
          </w:p>
          <w:p w:rsidR="00F22957" w:rsidRPr="00F22957" w:rsidRDefault="00F22957" w:rsidP="00F30073">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Debt/Equity Ratio</w:t>
            </w:r>
            <w:r w:rsidR="00DA27C6">
              <w:rPr>
                <w:rFonts w:ascii="Times New Roman" w:hAnsi="Times New Roman" w:cs="Times New Roman"/>
                <w:color w:val="000000" w:themeColor="text1"/>
                <w:sz w:val="24"/>
                <w:szCs w:val="24"/>
              </w:rPr>
              <w:t xml:space="preserve">: </w:t>
            </w:r>
            <w:r w:rsidR="00F30073">
              <w:rPr>
                <w:rFonts w:ascii="Times New Roman" w:hAnsi="Times New Roman" w:cs="Times New Roman"/>
                <w:color w:val="000000" w:themeColor="text1"/>
                <w:sz w:val="24"/>
                <w:szCs w:val="24"/>
              </w:rPr>
              <w:t>0.34</w:t>
            </w:r>
          </w:p>
        </w:tc>
        <w:tc>
          <w:tcPr>
            <w:tcW w:w="2809" w:type="dxa"/>
            <w:tcBorders>
              <w:left w:val="nil"/>
            </w:tcBorders>
            <w:shd w:val="clear" w:color="auto" w:fill="FFFFFF" w:themeFill="background1"/>
          </w:tcPr>
          <w:p w:rsidR="00F22957" w:rsidRPr="00F22957" w:rsidRDefault="00F22957" w:rsidP="00F22957">
            <w:pPr>
              <w:rPr>
                <w:rFonts w:ascii="Times New Roman" w:hAnsi="Times New Roman" w:cs="Times New Roman"/>
                <w:color w:val="000000" w:themeColor="text1"/>
                <w:sz w:val="24"/>
                <w:szCs w:val="24"/>
              </w:rPr>
            </w:pPr>
          </w:p>
          <w:p w:rsidR="00F22957" w:rsidRPr="00F22957" w:rsidRDefault="00F22957" w:rsidP="00F22957">
            <w:pPr>
              <w:rPr>
                <w:rFonts w:ascii="Times New Roman" w:hAnsi="Times New Roman" w:cs="Times New Roman"/>
                <w:color w:val="000000" w:themeColor="text1"/>
                <w:sz w:val="24"/>
                <w:szCs w:val="24"/>
              </w:rPr>
            </w:pPr>
          </w:p>
          <w:p w:rsidR="00AD0066" w:rsidRDefault="00AD0066" w:rsidP="00F22957">
            <w:pPr>
              <w:rPr>
                <w:rFonts w:ascii="Times New Roman" w:hAnsi="Times New Roman" w:cs="Times New Roman"/>
                <w:color w:val="000000" w:themeColor="text1"/>
                <w:sz w:val="24"/>
                <w:szCs w:val="24"/>
              </w:rPr>
            </w:pPr>
          </w:p>
          <w:p w:rsidR="00F22957" w:rsidRPr="00F22957" w:rsidRDefault="00F22957" w:rsidP="00F22957">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Price/Earnings</w:t>
            </w:r>
            <w:r w:rsidR="00DA27C6">
              <w:rPr>
                <w:rFonts w:ascii="Times New Roman" w:hAnsi="Times New Roman" w:cs="Times New Roman"/>
                <w:color w:val="000000" w:themeColor="text1"/>
                <w:sz w:val="24"/>
                <w:szCs w:val="24"/>
              </w:rPr>
              <w:t>:</w:t>
            </w:r>
            <w:r w:rsidR="00D842ED">
              <w:rPr>
                <w:rFonts w:ascii="Times New Roman" w:hAnsi="Times New Roman" w:cs="Times New Roman"/>
                <w:color w:val="000000" w:themeColor="text1"/>
                <w:sz w:val="24"/>
                <w:szCs w:val="24"/>
              </w:rPr>
              <w:t xml:space="preserve"> 15.48</w:t>
            </w:r>
          </w:p>
          <w:p w:rsidR="00F22957" w:rsidRPr="00F22957" w:rsidRDefault="00F22957" w:rsidP="00F22957">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Price/Book</w:t>
            </w:r>
            <w:r w:rsidR="00342C03">
              <w:rPr>
                <w:rFonts w:ascii="Times New Roman" w:hAnsi="Times New Roman" w:cs="Times New Roman"/>
                <w:color w:val="000000" w:themeColor="text1"/>
                <w:sz w:val="24"/>
                <w:szCs w:val="24"/>
              </w:rPr>
              <w:t xml:space="preserve">: </w:t>
            </w:r>
            <w:r w:rsidR="00D842ED">
              <w:rPr>
                <w:rFonts w:ascii="Times New Roman" w:hAnsi="Times New Roman" w:cs="Times New Roman"/>
                <w:color w:val="000000" w:themeColor="text1"/>
                <w:sz w:val="24"/>
                <w:szCs w:val="24"/>
              </w:rPr>
              <w:t>1.11</w:t>
            </w:r>
            <w:r w:rsidR="00342C03">
              <w:rPr>
                <w:rFonts w:ascii="Times New Roman" w:hAnsi="Times New Roman" w:cs="Times New Roman"/>
                <w:color w:val="000000" w:themeColor="text1"/>
                <w:sz w:val="24"/>
                <w:szCs w:val="24"/>
              </w:rPr>
              <w:t xml:space="preserve"> </w:t>
            </w:r>
          </w:p>
          <w:p w:rsidR="00F22957" w:rsidRPr="00F22957" w:rsidRDefault="00F22957" w:rsidP="008F2405">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FCF Yield</w:t>
            </w:r>
            <w:r w:rsidR="00342C03">
              <w:rPr>
                <w:rFonts w:ascii="Times New Roman" w:hAnsi="Times New Roman" w:cs="Times New Roman"/>
                <w:color w:val="000000" w:themeColor="text1"/>
                <w:sz w:val="24"/>
                <w:szCs w:val="24"/>
              </w:rPr>
              <w:t xml:space="preserve">: </w:t>
            </w:r>
            <w:r w:rsidR="00D842ED">
              <w:rPr>
                <w:rFonts w:ascii="Times New Roman" w:hAnsi="Times New Roman" w:cs="Times New Roman"/>
                <w:color w:val="000000" w:themeColor="text1"/>
                <w:sz w:val="24"/>
                <w:szCs w:val="24"/>
              </w:rPr>
              <w:t>0.0744</w:t>
            </w:r>
          </w:p>
        </w:tc>
      </w:tr>
      <w:tr w:rsidR="007930CF" w:rsidRPr="00F22957" w:rsidTr="007930CF">
        <w:trPr>
          <w:trHeight w:val="350"/>
        </w:trPr>
        <w:tc>
          <w:tcPr>
            <w:tcW w:w="15300" w:type="dxa"/>
            <w:gridSpan w:val="7"/>
            <w:tcBorders>
              <w:left w:val="nil"/>
              <w:right w:val="nil"/>
            </w:tcBorders>
          </w:tcPr>
          <w:p w:rsidR="007930CF" w:rsidRPr="00F22957" w:rsidRDefault="007930CF">
            <w:pPr>
              <w:rPr>
                <w:rFonts w:ascii="Times New Roman" w:hAnsi="Times New Roman" w:cs="Times New Roman"/>
                <w:sz w:val="24"/>
                <w:szCs w:val="24"/>
                <w:highlight w:val="blue"/>
              </w:rPr>
            </w:pPr>
          </w:p>
        </w:tc>
      </w:tr>
      <w:tr w:rsidR="007930CF" w:rsidRPr="00F22957" w:rsidTr="00A458B0">
        <w:trPr>
          <w:trHeight w:val="264"/>
        </w:trPr>
        <w:tc>
          <w:tcPr>
            <w:tcW w:w="9558" w:type="dxa"/>
            <w:gridSpan w:val="5"/>
            <w:shd w:val="clear" w:color="auto" w:fill="002060"/>
          </w:tcPr>
          <w:p w:rsidR="007930CF" w:rsidRPr="00F22957" w:rsidRDefault="00BC4E10" w:rsidP="00BC4E10">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Company Summary</w:t>
            </w:r>
          </w:p>
        </w:tc>
        <w:tc>
          <w:tcPr>
            <w:tcW w:w="5742" w:type="dxa"/>
            <w:gridSpan w:val="2"/>
            <w:shd w:val="clear" w:color="auto" w:fill="002060"/>
          </w:tcPr>
          <w:p w:rsidR="007930CF" w:rsidRPr="00F22957" w:rsidRDefault="00BC4E10" w:rsidP="00BC4E10">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Industry Highlights</w:t>
            </w:r>
          </w:p>
        </w:tc>
      </w:tr>
      <w:tr w:rsidR="007930CF" w:rsidRPr="00F22957" w:rsidTr="00920216">
        <w:trPr>
          <w:trHeight w:val="1772"/>
        </w:trPr>
        <w:tc>
          <w:tcPr>
            <w:tcW w:w="9558" w:type="dxa"/>
            <w:gridSpan w:val="5"/>
          </w:tcPr>
          <w:p w:rsidR="007930CF" w:rsidRDefault="00DB45AF">
            <w:pPr>
              <w:rPr>
                <w:rFonts w:ascii="Times New Roman" w:hAnsi="Times New Roman" w:cs="Times New Roman"/>
                <w:color w:val="000000"/>
                <w:sz w:val="24"/>
                <w:szCs w:val="24"/>
                <w:shd w:val="clear" w:color="auto" w:fill="FDFDFD"/>
              </w:rPr>
            </w:pPr>
            <w:r w:rsidRPr="008F2405">
              <w:rPr>
                <w:rFonts w:ascii="Times New Roman" w:hAnsi="Times New Roman" w:cs="Times New Roman"/>
                <w:color w:val="000000"/>
                <w:sz w:val="24"/>
                <w:szCs w:val="24"/>
                <w:shd w:val="clear" w:color="auto" w:fill="FDFDFD"/>
              </w:rPr>
              <w:t>Berkshire Hathaway is a holding company with a wide collection of subsidiaries engaged in a number of diverse business activities. The firm's core business is insurance, run primarily through GEICO (auto insurance), General Re (reinsurance), Berkshire Hathaway Reinsurance, and Berkshire Hathaway Primary Group. The company's other businesses are a collection of finance, manufacturing, and retailing operations, along with railroads, utilities, and energy distributors.</w:t>
            </w:r>
          </w:p>
          <w:p w:rsidR="008F2405" w:rsidRPr="008F2405" w:rsidRDefault="008F2405">
            <w:pPr>
              <w:rPr>
                <w:rFonts w:ascii="Times New Roman" w:hAnsi="Times New Roman" w:cs="Times New Roman"/>
                <w:sz w:val="24"/>
                <w:szCs w:val="24"/>
                <w:highlight w:val="blue"/>
              </w:rPr>
            </w:pPr>
          </w:p>
        </w:tc>
        <w:tc>
          <w:tcPr>
            <w:tcW w:w="5742" w:type="dxa"/>
            <w:gridSpan w:val="2"/>
          </w:tcPr>
          <w:p w:rsidR="007930CF" w:rsidRPr="00150BE3" w:rsidRDefault="00DB45AF">
            <w:pPr>
              <w:rPr>
                <w:rFonts w:ascii="Times New Roman" w:hAnsi="Times New Roman" w:cs="Times New Roman"/>
                <w:b/>
                <w:sz w:val="24"/>
                <w:szCs w:val="24"/>
              </w:rPr>
            </w:pPr>
            <w:r>
              <w:rPr>
                <w:rFonts w:ascii="Times New Roman" w:hAnsi="Times New Roman" w:cs="Times New Roman"/>
                <w:b/>
                <w:sz w:val="24"/>
                <w:szCs w:val="24"/>
              </w:rPr>
              <w:t>Financial Services sector / Insurance – Diversified industry</w:t>
            </w:r>
          </w:p>
          <w:p w:rsidR="00315D1A" w:rsidRDefault="00DB45AF">
            <w:pPr>
              <w:rPr>
                <w:rFonts w:ascii="Times New Roman" w:hAnsi="Times New Roman" w:cs="Times New Roman"/>
                <w:sz w:val="18"/>
                <w:szCs w:val="18"/>
              </w:rPr>
            </w:pPr>
            <w:r>
              <w:rPr>
                <w:rFonts w:ascii="Times New Roman" w:hAnsi="Times New Roman" w:cs="Times New Roman"/>
                <w:sz w:val="18"/>
                <w:szCs w:val="18"/>
              </w:rPr>
              <w:t>Berkshire Hathaway is a conglomerate and is in many different industries.</w:t>
            </w:r>
          </w:p>
          <w:p w:rsidR="00A458B0" w:rsidRPr="00A458B0" w:rsidRDefault="00A458B0">
            <w:pPr>
              <w:rPr>
                <w:rFonts w:ascii="Times New Roman" w:hAnsi="Times New Roman" w:cs="Times New Roman"/>
                <w:b/>
                <w:sz w:val="18"/>
                <w:szCs w:val="18"/>
              </w:rPr>
            </w:pPr>
            <w:r w:rsidRPr="00A458B0">
              <w:rPr>
                <w:rFonts w:ascii="Times New Roman" w:hAnsi="Times New Roman" w:cs="Times New Roman"/>
                <w:b/>
                <w:sz w:val="18"/>
                <w:szCs w:val="18"/>
              </w:rPr>
              <w:t xml:space="preserve">OWN:  </w:t>
            </w:r>
            <w:r w:rsidR="00920216">
              <w:rPr>
                <w:rFonts w:ascii="Times New Roman" w:hAnsi="Times New Roman" w:cs="Times New Roman"/>
                <w:b/>
                <w:sz w:val="18"/>
                <w:szCs w:val="18"/>
              </w:rPr>
              <w:t xml:space="preserve">                                       </w:t>
            </w:r>
            <w:r w:rsidR="00920216" w:rsidRPr="00A458B0">
              <w:rPr>
                <w:rFonts w:ascii="Times New Roman" w:hAnsi="Times New Roman" w:cs="Times New Roman"/>
                <w:b/>
                <w:sz w:val="18"/>
                <w:szCs w:val="18"/>
              </w:rPr>
              <w:t>SIGNFICANT:</w:t>
            </w:r>
          </w:p>
          <w:p w:rsidR="00A458B0" w:rsidRDefault="00A458B0" w:rsidP="00920216">
            <w:pPr>
              <w:rPr>
                <w:rFonts w:ascii="Times New Roman" w:hAnsi="Times New Roman" w:cs="Times New Roman"/>
                <w:sz w:val="18"/>
                <w:szCs w:val="18"/>
              </w:rPr>
            </w:pPr>
            <w:r>
              <w:rPr>
                <w:rFonts w:ascii="Times New Roman" w:hAnsi="Times New Roman" w:cs="Times New Roman"/>
                <w:sz w:val="18"/>
                <w:szCs w:val="18"/>
              </w:rPr>
              <w:t>GEICO</w:t>
            </w:r>
            <w:r w:rsidR="00920216">
              <w:rPr>
                <w:rFonts w:ascii="Times New Roman" w:hAnsi="Times New Roman" w:cs="Times New Roman"/>
                <w:sz w:val="18"/>
                <w:szCs w:val="18"/>
              </w:rPr>
              <w:tab/>
              <w:t xml:space="preserve">                                American Express (13.1%)</w:t>
            </w:r>
          </w:p>
          <w:p w:rsidR="00A458B0" w:rsidRDefault="00A458B0">
            <w:pPr>
              <w:rPr>
                <w:rFonts w:ascii="Times New Roman" w:hAnsi="Times New Roman" w:cs="Times New Roman"/>
                <w:sz w:val="18"/>
                <w:szCs w:val="18"/>
              </w:rPr>
            </w:pPr>
            <w:r>
              <w:rPr>
                <w:rFonts w:ascii="Times New Roman" w:hAnsi="Times New Roman" w:cs="Times New Roman"/>
                <w:sz w:val="18"/>
                <w:szCs w:val="18"/>
              </w:rPr>
              <w:t>Dairy Queen</w:t>
            </w:r>
            <w:r w:rsidR="00920216">
              <w:rPr>
                <w:rFonts w:ascii="Times New Roman" w:hAnsi="Times New Roman" w:cs="Times New Roman"/>
                <w:sz w:val="18"/>
                <w:szCs w:val="18"/>
              </w:rPr>
              <w:t xml:space="preserve">                             Anheuser-Busch (9.8%)</w:t>
            </w:r>
          </w:p>
          <w:p w:rsidR="00A458B0" w:rsidRDefault="00A458B0">
            <w:pPr>
              <w:rPr>
                <w:rFonts w:ascii="Times New Roman" w:hAnsi="Times New Roman" w:cs="Times New Roman"/>
                <w:sz w:val="18"/>
                <w:szCs w:val="18"/>
              </w:rPr>
            </w:pPr>
            <w:r>
              <w:rPr>
                <w:rFonts w:ascii="Times New Roman" w:hAnsi="Times New Roman" w:cs="Times New Roman"/>
                <w:sz w:val="18"/>
                <w:szCs w:val="18"/>
              </w:rPr>
              <w:t>Fruit of the Loom</w:t>
            </w:r>
            <w:r w:rsidR="00920216">
              <w:rPr>
                <w:rFonts w:ascii="Times New Roman" w:hAnsi="Times New Roman" w:cs="Times New Roman"/>
                <w:sz w:val="18"/>
                <w:szCs w:val="18"/>
              </w:rPr>
              <w:t xml:space="preserve">                  The Coca-Cola Company (8.64%)</w:t>
            </w:r>
          </w:p>
          <w:p w:rsidR="00920216" w:rsidRDefault="00A458B0" w:rsidP="00920216">
            <w:pPr>
              <w:rPr>
                <w:rFonts w:ascii="Times New Roman" w:hAnsi="Times New Roman" w:cs="Times New Roman"/>
                <w:sz w:val="18"/>
                <w:szCs w:val="18"/>
              </w:rPr>
            </w:pPr>
            <w:r>
              <w:rPr>
                <w:rFonts w:ascii="Times New Roman" w:hAnsi="Times New Roman" w:cs="Times New Roman"/>
                <w:sz w:val="18"/>
                <w:szCs w:val="18"/>
              </w:rPr>
              <w:t>Benjamin Moore &amp; Co.</w:t>
            </w:r>
            <w:r w:rsidR="00D842ED">
              <w:rPr>
                <w:rFonts w:ascii="Times New Roman" w:hAnsi="Times New Roman" w:cs="Times New Roman"/>
                <w:sz w:val="18"/>
                <w:szCs w:val="18"/>
              </w:rPr>
              <w:t xml:space="preserve">            </w:t>
            </w:r>
            <w:r w:rsidR="00920216">
              <w:rPr>
                <w:rFonts w:ascii="Times New Roman" w:hAnsi="Times New Roman" w:cs="Times New Roman"/>
                <w:sz w:val="18"/>
                <w:szCs w:val="18"/>
              </w:rPr>
              <w:t>Procter &amp; Gamble (4.0%)</w:t>
            </w:r>
          </w:p>
          <w:p w:rsidR="00A458B0" w:rsidRDefault="00A458B0">
            <w:pPr>
              <w:rPr>
                <w:rFonts w:ascii="Times New Roman" w:hAnsi="Times New Roman" w:cs="Times New Roman"/>
                <w:sz w:val="18"/>
                <w:szCs w:val="18"/>
              </w:rPr>
            </w:pPr>
          </w:p>
          <w:p w:rsidR="00A458B0" w:rsidRDefault="00A458B0">
            <w:pPr>
              <w:rPr>
                <w:rFonts w:ascii="Times New Roman" w:hAnsi="Times New Roman" w:cs="Times New Roman"/>
                <w:sz w:val="18"/>
                <w:szCs w:val="18"/>
              </w:rPr>
            </w:pPr>
          </w:p>
          <w:p w:rsidR="00A458B0" w:rsidRPr="00150BE3" w:rsidRDefault="00A458B0">
            <w:pPr>
              <w:rPr>
                <w:rFonts w:ascii="Times New Roman" w:hAnsi="Times New Roman" w:cs="Times New Roman"/>
                <w:sz w:val="18"/>
                <w:szCs w:val="18"/>
              </w:rPr>
            </w:pPr>
          </w:p>
        </w:tc>
      </w:tr>
      <w:tr w:rsidR="007930CF" w:rsidRPr="00F22957" w:rsidTr="005D4553">
        <w:trPr>
          <w:trHeight w:val="251"/>
        </w:trPr>
        <w:tc>
          <w:tcPr>
            <w:tcW w:w="15300" w:type="dxa"/>
            <w:gridSpan w:val="7"/>
            <w:tcBorders>
              <w:left w:val="nil"/>
              <w:right w:val="nil"/>
            </w:tcBorders>
          </w:tcPr>
          <w:p w:rsidR="007930CF" w:rsidRPr="00F22957" w:rsidRDefault="007930CF">
            <w:pPr>
              <w:rPr>
                <w:rFonts w:ascii="Times New Roman" w:hAnsi="Times New Roman" w:cs="Times New Roman"/>
                <w:sz w:val="24"/>
                <w:szCs w:val="24"/>
                <w:highlight w:val="blue"/>
              </w:rPr>
            </w:pPr>
          </w:p>
        </w:tc>
      </w:tr>
      <w:tr w:rsidR="007930CF" w:rsidRPr="00F22957" w:rsidTr="00A458B0">
        <w:trPr>
          <w:trHeight w:val="293"/>
        </w:trPr>
        <w:tc>
          <w:tcPr>
            <w:tcW w:w="9320" w:type="dxa"/>
            <w:gridSpan w:val="4"/>
            <w:shd w:val="clear" w:color="auto" w:fill="002060"/>
          </w:tcPr>
          <w:p w:rsidR="007930CF" w:rsidRPr="00F22957" w:rsidRDefault="00BC4E10" w:rsidP="00F16B5B">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 xml:space="preserve">10 Year Stock Price vs. </w:t>
            </w:r>
            <w:r w:rsidR="00F16B5B">
              <w:rPr>
                <w:rFonts w:ascii="Times New Roman" w:hAnsi="Times New Roman" w:cs="Times New Roman"/>
                <w:b/>
                <w:color w:val="FFFFFF" w:themeColor="background1"/>
                <w:sz w:val="24"/>
                <w:szCs w:val="24"/>
              </w:rPr>
              <w:t>company</w:t>
            </w:r>
            <w:r w:rsidRPr="00F22957">
              <w:rPr>
                <w:rFonts w:ascii="Times New Roman" w:hAnsi="Times New Roman" w:cs="Times New Roman"/>
                <w:b/>
                <w:color w:val="FFFFFF" w:themeColor="background1"/>
                <w:sz w:val="24"/>
                <w:szCs w:val="24"/>
              </w:rPr>
              <w:t xml:space="preserve"> and S&amp;P 500</w:t>
            </w:r>
          </w:p>
        </w:tc>
        <w:tc>
          <w:tcPr>
            <w:tcW w:w="5980" w:type="dxa"/>
            <w:gridSpan w:val="3"/>
            <w:shd w:val="clear" w:color="auto" w:fill="002060"/>
          </w:tcPr>
          <w:p w:rsidR="007930CF" w:rsidRPr="00F22957" w:rsidRDefault="00BC4E10" w:rsidP="00BC4E10">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External Risks</w:t>
            </w:r>
          </w:p>
        </w:tc>
      </w:tr>
      <w:tr w:rsidR="007930CF" w:rsidRPr="00F22957" w:rsidTr="00920216">
        <w:trPr>
          <w:trHeight w:val="1709"/>
        </w:trPr>
        <w:tc>
          <w:tcPr>
            <w:tcW w:w="9320" w:type="dxa"/>
            <w:gridSpan w:val="4"/>
          </w:tcPr>
          <w:p w:rsidR="007930CF" w:rsidRPr="00F22957" w:rsidRDefault="008F2405" w:rsidP="00D82E12">
            <w:pPr>
              <w:jc w:val="center"/>
              <w:rPr>
                <w:rFonts w:ascii="Times New Roman" w:hAnsi="Times New Roman" w:cs="Times New Roman"/>
                <w:sz w:val="24"/>
                <w:szCs w:val="24"/>
                <w:highlight w:val="blue"/>
              </w:rPr>
            </w:pPr>
            <w:r>
              <w:rPr>
                <w:noProof/>
              </w:rPr>
              <w:drawing>
                <wp:inline distT="0" distB="0" distL="0" distR="0" wp14:anchorId="372E5C2A" wp14:editId="08927BD2">
                  <wp:extent cx="3962400" cy="1017864"/>
                  <wp:effectExtent l="0" t="0" r="0" b="0"/>
                  <wp:docPr id="5" name="Picture 5" descr="http://globalquote.morningstar.com/globalcomponent/GenerateStockChart.ashx?chart=tenyears&amp;w=565&amp;h=266&amp;range=&amp;ticker=XNYS%3ABRK.A&amp;color=0|&amp;lan=en-US&amp;region=USA&amp;cfg=GF:7&amp;curry=USD&amp;extraParam=0|0&amp;isS=false&amp;isD=false&amp;hasF=false&amp;product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quote.morningstar.com/globalcomponent/GenerateStockChart.ashx?chart=tenyears&amp;w=565&amp;h=266&amp;range=&amp;ticker=XNYS%3ABRK.A&amp;color=0|&amp;lan=en-US&amp;region=USA&amp;cfg=GF:7&amp;curry=USD&amp;extraParam=0|0&amp;isS=false&amp;isD=false&amp;hasF=false&amp;product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7403" cy="1021718"/>
                          </a:xfrm>
                          <a:prstGeom prst="rect">
                            <a:avLst/>
                          </a:prstGeom>
                          <a:noFill/>
                          <a:ln>
                            <a:noFill/>
                          </a:ln>
                        </pic:spPr>
                      </pic:pic>
                    </a:graphicData>
                  </a:graphic>
                </wp:inline>
              </w:drawing>
            </w:r>
          </w:p>
        </w:tc>
        <w:tc>
          <w:tcPr>
            <w:tcW w:w="5980" w:type="dxa"/>
            <w:gridSpan w:val="3"/>
          </w:tcPr>
          <w:p w:rsidR="005C7AB5" w:rsidRDefault="00150BE3">
            <w:pPr>
              <w:rPr>
                <w:rFonts w:ascii="Times New Roman" w:hAnsi="Times New Roman" w:cs="Times New Roman"/>
                <w:sz w:val="24"/>
                <w:szCs w:val="24"/>
              </w:rPr>
            </w:pPr>
            <w:r>
              <w:rPr>
                <w:rFonts w:ascii="Times New Roman" w:hAnsi="Times New Roman" w:cs="Times New Roman"/>
                <w:sz w:val="24"/>
                <w:szCs w:val="24"/>
              </w:rPr>
              <w:t>-S</w:t>
            </w:r>
            <w:r w:rsidR="005C7AB5">
              <w:rPr>
                <w:rFonts w:ascii="Times New Roman" w:hAnsi="Times New Roman" w:cs="Times New Roman"/>
                <w:sz w:val="24"/>
                <w:szCs w:val="24"/>
              </w:rPr>
              <w:t>usceptible to regulation</w:t>
            </w:r>
            <w:r w:rsidR="00883E97">
              <w:rPr>
                <w:rFonts w:ascii="Times New Roman" w:hAnsi="Times New Roman" w:cs="Times New Roman"/>
                <w:sz w:val="24"/>
                <w:szCs w:val="24"/>
              </w:rPr>
              <w:t xml:space="preserve"> (e.g., utilities, railroads)</w:t>
            </w:r>
          </w:p>
          <w:p w:rsidR="00150BE3" w:rsidRDefault="00150BE3" w:rsidP="00883E97">
            <w:pPr>
              <w:rPr>
                <w:rFonts w:ascii="Times New Roman" w:hAnsi="Times New Roman" w:cs="Times New Roman"/>
                <w:sz w:val="24"/>
                <w:szCs w:val="24"/>
              </w:rPr>
            </w:pPr>
            <w:r>
              <w:rPr>
                <w:rFonts w:ascii="Times New Roman" w:hAnsi="Times New Roman" w:cs="Times New Roman"/>
                <w:sz w:val="24"/>
                <w:szCs w:val="24"/>
              </w:rPr>
              <w:t>-</w:t>
            </w:r>
            <w:r w:rsidR="00883E97">
              <w:rPr>
                <w:rFonts w:ascii="Times New Roman" w:hAnsi="Times New Roman" w:cs="Times New Roman"/>
                <w:sz w:val="24"/>
                <w:szCs w:val="24"/>
              </w:rPr>
              <w:t>Essentially investing with the market.  Assuming market performs poorly, BRK will get hit hard as well</w:t>
            </w:r>
          </w:p>
          <w:p w:rsidR="00883E97" w:rsidRPr="00F22957" w:rsidRDefault="00883E97" w:rsidP="00883E97">
            <w:pPr>
              <w:rPr>
                <w:rFonts w:ascii="Times New Roman" w:hAnsi="Times New Roman" w:cs="Times New Roman"/>
                <w:sz w:val="24"/>
                <w:szCs w:val="24"/>
              </w:rPr>
            </w:pPr>
            <w:r>
              <w:rPr>
                <w:rFonts w:ascii="Times New Roman" w:hAnsi="Times New Roman" w:cs="Times New Roman"/>
                <w:sz w:val="24"/>
                <w:szCs w:val="24"/>
              </w:rPr>
              <w:t xml:space="preserve">-Aggregation risk: diverse companies all under one roof can create </w:t>
            </w:r>
            <w:r w:rsidR="00DF5A0B">
              <w:rPr>
                <w:rFonts w:ascii="Times New Roman" w:hAnsi="Times New Roman" w:cs="Times New Roman"/>
                <w:sz w:val="24"/>
                <w:szCs w:val="24"/>
              </w:rPr>
              <w:t>unforeseen consequences</w:t>
            </w:r>
          </w:p>
        </w:tc>
      </w:tr>
      <w:tr w:rsidR="007930CF" w:rsidRPr="00F22957" w:rsidTr="007930CF">
        <w:trPr>
          <w:trHeight w:val="341"/>
        </w:trPr>
        <w:tc>
          <w:tcPr>
            <w:tcW w:w="15300" w:type="dxa"/>
            <w:gridSpan w:val="7"/>
            <w:tcBorders>
              <w:left w:val="nil"/>
              <w:right w:val="nil"/>
            </w:tcBorders>
          </w:tcPr>
          <w:p w:rsidR="007930CF" w:rsidRPr="00F22957" w:rsidRDefault="007930CF">
            <w:pPr>
              <w:rPr>
                <w:rFonts w:ascii="Times New Roman" w:hAnsi="Times New Roman" w:cs="Times New Roman"/>
                <w:sz w:val="24"/>
                <w:szCs w:val="24"/>
                <w:highlight w:val="blue"/>
              </w:rPr>
            </w:pPr>
          </w:p>
        </w:tc>
      </w:tr>
      <w:tr w:rsidR="007930CF" w:rsidRPr="00F22957" w:rsidTr="00A458B0">
        <w:trPr>
          <w:trHeight w:val="228"/>
        </w:trPr>
        <w:tc>
          <w:tcPr>
            <w:tcW w:w="8578" w:type="dxa"/>
            <w:gridSpan w:val="3"/>
            <w:shd w:val="clear" w:color="auto" w:fill="002060"/>
          </w:tcPr>
          <w:p w:rsidR="007930CF" w:rsidRPr="00F22957" w:rsidRDefault="00BC4E10" w:rsidP="00BC4E10">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Pros</w:t>
            </w:r>
          </w:p>
        </w:tc>
        <w:tc>
          <w:tcPr>
            <w:tcW w:w="6722" w:type="dxa"/>
            <w:gridSpan w:val="4"/>
            <w:shd w:val="clear" w:color="auto" w:fill="002060"/>
          </w:tcPr>
          <w:p w:rsidR="007930CF" w:rsidRPr="00F22957" w:rsidRDefault="00BC4E10" w:rsidP="00BC4E10">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Cons</w:t>
            </w:r>
          </w:p>
        </w:tc>
      </w:tr>
      <w:tr w:rsidR="007930CF" w:rsidRPr="00F22957" w:rsidTr="00A458B0">
        <w:trPr>
          <w:trHeight w:val="2519"/>
        </w:trPr>
        <w:tc>
          <w:tcPr>
            <w:tcW w:w="8578" w:type="dxa"/>
            <w:gridSpan w:val="3"/>
          </w:tcPr>
          <w:p w:rsidR="00920216" w:rsidRDefault="00920216" w:rsidP="00920216">
            <w:pPr>
              <w:pStyle w:val="NormalWeb"/>
              <w:shd w:val="clear" w:color="auto" w:fill="FFFFFF"/>
              <w:spacing w:before="0" w:beforeAutospacing="0" w:after="0" w:afterAutospacing="0"/>
              <w:contextualSpacing/>
              <w:textAlignment w:val="baseline"/>
              <w:rPr>
                <w:rStyle w:val="Strong"/>
                <w:color w:val="000000" w:themeColor="text1"/>
                <w:sz w:val="16"/>
                <w:szCs w:val="16"/>
                <w:bdr w:val="none" w:sz="0" w:space="0" w:color="auto" w:frame="1"/>
              </w:rPr>
            </w:pPr>
          </w:p>
          <w:p w:rsidR="00DF2302" w:rsidRDefault="005235B1"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rStyle w:val="Strong"/>
                <w:color w:val="000000" w:themeColor="text1"/>
                <w:sz w:val="16"/>
                <w:szCs w:val="16"/>
                <w:bdr w:val="none" w:sz="0" w:space="0" w:color="auto" w:frame="1"/>
              </w:rPr>
              <w:t>Cash Machine:</w:t>
            </w:r>
            <w:r w:rsidRPr="00920216">
              <w:rPr>
                <w:rStyle w:val="apple-converted-space"/>
                <w:color w:val="000000" w:themeColor="text1"/>
                <w:sz w:val="16"/>
                <w:szCs w:val="16"/>
              </w:rPr>
              <w:t> </w:t>
            </w:r>
            <w:r w:rsidR="00183F8B" w:rsidRPr="00920216">
              <w:rPr>
                <w:rStyle w:val="apple-converted-space"/>
                <w:color w:val="000000" w:themeColor="text1"/>
                <w:sz w:val="16"/>
                <w:szCs w:val="16"/>
              </w:rPr>
              <w:t>H</w:t>
            </w:r>
            <w:r w:rsidRPr="00920216">
              <w:rPr>
                <w:color w:val="000000" w:themeColor="text1"/>
                <w:sz w:val="16"/>
                <w:szCs w:val="16"/>
              </w:rPr>
              <w:t xml:space="preserve">ighly </w:t>
            </w:r>
            <w:r w:rsidR="00183F8B" w:rsidRPr="00920216">
              <w:rPr>
                <w:color w:val="000000" w:themeColor="text1"/>
                <w:sz w:val="16"/>
                <w:szCs w:val="16"/>
              </w:rPr>
              <w:t>profitable</w:t>
            </w:r>
            <w:r w:rsidRPr="00920216">
              <w:rPr>
                <w:color w:val="000000" w:themeColor="text1"/>
                <w:sz w:val="16"/>
                <w:szCs w:val="16"/>
              </w:rPr>
              <w:t xml:space="preserve"> insurance business, </w:t>
            </w:r>
            <w:r w:rsidR="00183F8B" w:rsidRPr="00920216">
              <w:rPr>
                <w:color w:val="000000" w:themeColor="text1"/>
                <w:sz w:val="16"/>
                <w:szCs w:val="16"/>
              </w:rPr>
              <w:t xml:space="preserve">including: </w:t>
            </w:r>
            <w:r w:rsidRPr="00920216">
              <w:rPr>
                <w:color w:val="000000" w:themeColor="text1"/>
                <w:sz w:val="16"/>
                <w:szCs w:val="16"/>
              </w:rPr>
              <w:t xml:space="preserve">the Berkshire Hathaway Reinsurance Group, Gen Re and GEICO. </w:t>
            </w:r>
            <w:r w:rsidR="00DF2302">
              <w:rPr>
                <w:color w:val="000000" w:themeColor="text1"/>
                <w:sz w:val="16"/>
                <w:szCs w:val="16"/>
              </w:rPr>
              <w:t>H</w:t>
            </w:r>
            <w:r w:rsidR="00183F8B" w:rsidRPr="00920216">
              <w:rPr>
                <w:color w:val="000000" w:themeColor="text1"/>
                <w:sz w:val="16"/>
                <w:szCs w:val="16"/>
              </w:rPr>
              <w:t xml:space="preserve">uge amounts of cash-flows generated because of the “float.” </w:t>
            </w:r>
            <w:r w:rsidRPr="00920216">
              <w:rPr>
                <w:color w:val="000000" w:themeColor="text1"/>
                <w:sz w:val="16"/>
                <w:szCs w:val="16"/>
              </w:rPr>
              <w:t>This means they collect premiums from policy holders and do not have to make payments until many years l</w:t>
            </w:r>
            <w:r w:rsidR="00DF2302">
              <w:rPr>
                <w:color w:val="000000" w:themeColor="text1"/>
                <w:sz w:val="16"/>
                <w:szCs w:val="16"/>
              </w:rPr>
              <w:t xml:space="preserve">ater.  </w:t>
            </w:r>
            <w:r w:rsidR="00183F8B" w:rsidRPr="00920216">
              <w:rPr>
                <w:color w:val="000000" w:themeColor="text1"/>
                <w:sz w:val="16"/>
                <w:szCs w:val="16"/>
              </w:rPr>
              <w:t>Berkshire currently has $4</w:t>
            </w:r>
            <w:r w:rsidRPr="00920216">
              <w:rPr>
                <w:color w:val="000000" w:themeColor="text1"/>
                <w:sz w:val="16"/>
                <w:szCs w:val="16"/>
              </w:rPr>
              <w:t>7</w:t>
            </w:r>
            <w:r w:rsidR="00183F8B" w:rsidRPr="00920216">
              <w:rPr>
                <w:color w:val="000000" w:themeColor="text1"/>
                <w:sz w:val="16"/>
                <w:szCs w:val="16"/>
              </w:rPr>
              <w:t xml:space="preserve"> billion in the bank.  </w:t>
            </w:r>
          </w:p>
          <w:p w:rsidR="00DF2302" w:rsidRPr="00920216" w:rsidRDefault="005235B1" w:rsidP="00920216">
            <w:pPr>
              <w:pStyle w:val="NormalWeb"/>
              <w:shd w:val="clear" w:color="auto" w:fill="FFFFFF"/>
              <w:spacing w:before="0" w:beforeAutospacing="0" w:after="0" w:afterAutospacing="0"/>
              <w:contextualSpacing/>
              <w:textAlignment w:val="baseline"/>
              <w:rPr>
                <w:b/>
                <w:color w:val="000000" w:themeColor="text1"/>
                <w:sz w:val="16"/>
                <w:szCs w:val="16"/>
              </w:rPr>
            </w:pPr>
            <w:r w:rsidRPr="00920216">
              <w:rPr>
                <w:rStyle w:val="Strong"/>
                <w:color w:val="000000" w:themeColor="text1"/>
                <w:sz w:val="16"/>
                <w:szCs w:val="16"/>
                <w:bdr w:val="none" w:sz="0" w:space="0" w:color="auto" w:frame="1"/>
              </w:rPr>
              <w:t>Strong Non-Insurance Operations</w:t>
            </w:r>
            <w:r w:rsidR="00883E97" w:rsidRPr="00920216">
              <w:rPr>
                <w:rStyle w:val="Strong"/>
                <w:color w:val="000000" w:themeColor="text1"/>
                <w:sz w:val="16"/>
                <w:szCs w:val="16"/>
                <w:bdr w:val="none" w:sz="0" w:space="0" w:color="auto" w:frame="1"/>
              </w:rPr>
              <w:t xml:space="preserve"> (Diverse)</w:t>
            </w:r>
            <w:r w:rsidRPr="00920216">
              <w:rPr>
                <w:rStyle w:val="Strong"/>
                <w:color w:val="000000" w:themeColor="text1"/>
                <w:sz w:val="16"/>
                <w:szCs w:val="16"/>
                <w:bdr w:val="none" w:sz="0" w:space="0" w:color="auto" w:frame="1"/>
              </w:rPr>
              <w:t>:</w:t>
            </w:r>
            <w:r w:rsidRPr="00920216">
              <w:rPr>
                <w:rStyle w:val="apple-converted-space"/>
                <w:color w:val="000000" w:themeColor="text1"/>
                <w:sz w:val="16"/>
                <w:szCs w:val="16"/>
              </w:rPr>
              <w:t> </w:t>
            </w:r>
            <w:r w:rsidR="00DF2302">
              <w:rPr>
                <w:color w:val="000000" w:themeColor="text1"/>
                <w:sz w:val="16"/>
                <w:szCs w:val="16"/>
              </w:rPr>
              <w:t xml:space="preserve">Great </w:t>
            </w:r>
            <w:r w:rsidRPr="00920216">
              <w:rPr>
                <w:color w:val="000000" w:themeColor="text1"/>
                <w:sz w:val="16"/>
                <w:szCs w:val="16"/>
              </w:rPr>
              <w:t>acquisitions th</w:t>
            </w:r>
            <w:r w:rsidR="00DF2302">
              <w:rPr>
                <w:color w:val="000000" w:themeColor="text1"/>
                <w:sz w:val="16"/>
                <w:szCs w:val="16"/>
              </w:rPr>
              <w:t>at have had attractive payoffs.  Top five</w:t>
            </w:r>
            <w:r w:rsidRPr="00920216">
              <w:rPr>
                <w:color w:val="000000" w:themeColor="text1"/>
                <w:sz w:val="16"/>
                <w:szCs w:val="16"/>
              </w:rPr>
              <w:t xml:space="preserve"> non-insurance holdings — which include Lubrizol, BNSF, </w:t>
            </w:r>
            <w:proofErr w:type="spellStart"/>
            <w:r w:rsidRPr="00920216">
              <w:rPr>
                <w:color w:val="000000" w:themeColor="text1"/>
                <w:sz w:val="16"/>
                <w:szCs w:val="16"/>
              </w:rPr>
              <w:t>Iscar</w:t>
            </w:r>
            <w:proofErr w:type="spellEnd"/>
            <w:r w:rsidRPr="00920216">
              <w:rPr>
                <w:color w:val="000000" w:themeColor="text1"/>
                <w:sz w:val="16"/>
                <w:szCs w:val="16"/>
              </w:rPr>
              <w:t>, Marmon Group and MidAmerican Energy — posted record operating income last year. Berkshire also has a high-quality portfolio of investments, which include</w:t>
            </w:r>
            <w:r w:rsidRPr="00920216">
              <w:rPr>
                <w:rStyle w:val="apple-converted-space"/>
                <w:color w:val="000000" w:themeColor="text1"/>
                <w:sz w:val="16"/>
                <w:szCs w:val="16"/>
              </w:rPr>
              <w:t> </w:t>
            </w:r>
            <w:r w:rsidRPr="00920216">
              <w:rPr>
                <w:rStyle w:val="Strong"/>
                <w:b w:val="0"/>
                <w:color w:val="000000" w:themeColor="text1"/>
                <w:sz w:val="16"/>
                <w:szCs w:val="16"/>
                <w:bdr w:val="none" w:sz="0" w:space="0" w:color="auto" w:frame="1"/>
              </w:rPr>
              <w:t>Coca-Cola</w:t>
            </w:r>
            <w:r w:rsidR="00183F8B" w:rsidRPr="00920216">
              <w:rPr>
                <w:rStyle w:val="apple-converted-space"/>
                <w:b/>
                <w:color w:val="000000" w:themeColor="text1"/>
                <w:sz w:val="16"/>
                <w:szCs w:val="16"/>
              </w:rPr>
              <w:t>,</w:t>
            </w:r>
            <w:r w:rsidRPr="00920216">
              <w:rPr>
                <w:rStyle w:val="apple-converted-space"/>
                <w:b/>
                <w:color w:val="000000" w:themeColor="text1"/>
                <w:sz w:val="16"/>
                <w:szCs w:val="16"/>
              </w:rPr>
              <w:t> </w:t>
            </w:r>
            <w:r w:rsidRPr="00920216">
              <w:rPr>
                <w:rStyle w:val="Strong"/>
                <w:b w:val="0"/>
                <w:color w:val="000000" w:themeColor="text1"/>
                <w:sz w:val="16"/>
                <w:szCs w:val="16"/>
                <w:bdr w:val="none" w:sz="0" w:space="0" w:color="auto" w:frame="1"/>
              </w:rPr>
              <w:t>Procter &amp; Gamble</w:t>
            </w:r>
            <w:r w:rsidRPr="00920216">
              <w:rPr>
                <w:rStyle w:val="apple-converted-space"/>
                <w:b/>
                <w:color w:val="000000" w:themeColor="text1"/>
                <w:sz w:val="16"/>
                <w:szCs w:val="16"/>
              </w:rPr>
              <w:t> </w:t>
            </w:r>
            <w:r w:rsidRPr="00DF2302">
              <w:rPr>
                <w:color w:val="000000" w:themeColor="text1"/>
                <w:sz w:val="16"/>
                <w:szCs w:val="16"/>
              </w:rPr>
              <w:t>and</w:t>
            </w:r>
            <w:r w:rsidRPr="00920216">
              <w:rPr>
                <w:rStyle w:val="apple-converted-space"/>
                <w:b/>
                <w:color w:val="000000" w:themeColor="text1"/>
                <w:sz w:val="16"/>
                <w:szCs w:val="16"/>
              </w:rPr>
              <w:t> </w:t>
            </w:r>
            <w:r w:rsidRPr="00920216">
              <w:rPr>
                <w:rStyle w:val="Strong"/>
                <w:b w:val="0"/>
                <w:color w:val="000000" w:themeColor="text1"/>
                <w:sz w:val="16"/>
                <w:szCs w:val="16"/>
                <w:bdr w:val="none" w:sz="0" w:space="0" w:color="auto" w:frame="1"/>
              </w:rPr>
              <w:t>IBM</w:t>
            </w:r>
            <w:r w:rsidR="00183F8B" w:rsidRPr="00920216">
              <w:rPr>
                <w:rStyle w:val="apple-converted-space"/>
                <w:b/>
                <w:color w:val="000000" w:themeColor="text1"/>
                <w:sz w:val="16"/>
                <w:szCs w:val="16"/>
              </w:rPr>
              <w:t>.</w:t>
            </w:r>
          </w:p>
          <w:p w:rsidR="005235B1" w:rsidRPr="00920216" w:rsidRDefault="005235B1"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rStyle w:val="Strong"/>
                <w:color w:val="000000" w:themeColor="text1"/>
                <w:sz w:val="16"/>
                <w:szCs w:val="16"/>
                <w:bdr w:val="none" w:sz="0" w:space="0" w:color="auto" w:frame="1"/>
              </w:rPr>
              <w:t>Valuation:</w:t>
            </w:r>
            <w:r w:rsidRPr="00920216">
              <w:rPr>
                <w:rStyle w:val="apple-converted-space"/>
                <w:color w:val="000000" w:themeColor="text1"/>
                <w:sz w:val="16"/>
                <w:szCs w:val="16"/>
              </w:rPr>
              <w:t> </w:t>
            </w:r>
            <w:r w:rsidRPr="00920216">
              <w:rPr>
                <w:color w:val="000000" w:themeColor="text1"/>
                <w:sz w:val="16"/>
                <w:szCs w:val="16"/>
              </w:rPr>
              <w:t>During the past two decades, Berkshire usually has traded at about 1.6 times book value, but it now trades at a multiple of just 1.1. Because of this, Buffett has been buying up some of the company’s shares.</w:t>
            </w:r>
          </w:p>
          <w:p w:rsidR="00883E97" w:rsidRPr="00920216" w:rsidRDefault="00883E97"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rStyle w:val="apple-converted-space"/>
                <w:b/>
                <w:color w:val="000000" w:themeColor="text1"/>
                <w:sz w:val="16"/>
                <w:szCs w:val="16"/>
                <w:shd w:val="clear" w:color="auto" w:fill="FFFFFF"/>
              </w:rPr>
              <w:t>E</w:t>
            </w:r>
            <w:r w:rsidRPr="00920216">
              <w:rPr>
                <w:b/>
                <w:color w:val="000000" w:themeColor="text1"/>
                <w:sz w:val="16"/>
                <w:szCs w:val="16"/>
                <w:shd w:val="clear" w:color="auto" w:fill="FFFFFF"/>
              </w:rPr>
              <w:t>ight subsidiaries</w:t>
            </w:r>
            <w:r w:rsidR="00183F8B" w:rsidRPr="00920216">
              <w:rPr>
                <w:color w:val="000000" w:themeColor="text1"/>
                <w:sz w:val="16"/>
                <w:szCs w:val="16"/>
                <w:shd w:val="clear" w:color="auto" w:fill="FFFFFF"/>
              </w:rPr>
              <w:t>:</w:t>
            </w:r>
            <w:r w:rsidRPr="00920216">
              <w:rPr>
                <w:color w:val="000000" w:themeColor="text1"/>
                <w:sz w:val="16"/>
                <w:szCs w:val="16"/>
                <w:shd w:val="clear" w:color="auto" w:fill="FFFFFF"/>
              </w:rPr>
              <w:t xml:space="preserve"> would be included in the Fortune 500 if they were independent operations.</w:t>
            </w:r>
          </w:p>
          <w:p w:rsidR="007559C5" w:rsidRPr="00F22957" w:rsidRDefault="007559C5" w:rsidP="00883E97">
            <w:pPr>
              <w:pStyle w:val="NormalWeb"/>
              <w:shd w:val="clear" w:color="auto" w:fill="FFFFFF"/>
              <w:spacing w:before="0" w:beforeAutospacing="0" w:after="0" w:afterAutospacing="0" w:line="330" w:lineRule="atLeast"/>
              <w:textAlignment w:val="baseline"/>
              <w:rPr>
                <w:highlight w:val="blue"/>
              </w:rPr>
            </w:pPr>
          </w:p>
        </w:tc>
        <w:tc>
          <w:tcPr>
            <w:tcW w:w="6722" w:type="dxa"/>
            <w:gridSpan w:val="4"/>
          </w:tcPr>
          <w:p w:rsidR="00920216" w:rsidRDefault="00920216" w:rsidP="00920216">
            <w:pPr>
              <w:pStyle w:val="NormalWeb"/>
              <w:shd w:val="clear" w:color="auto" w:fill="FFFFFF"/>
              <w:spacing w:before="0" w:beforeAutospacing="0" w:after="0" w:afterAutospacing="0"/>
              <w:contextualSpacing/>
              <w:textAlignment w:val="baseline"/>
              <w:rPr>
                <w:rStyle w:val="Strong"/>
                <w:color w:val="000000" w:themeColor="text1"/>
                <w:sz w:val="16"/>
                <w:szCs w:val="16"/>
                <w:bdr w:val="none" w:sz="0" w:space="0" w:color="auto" w:frame="1"/>
              </w:rPr>
            </w:pPr>
          </w:p>
          <w:p w:rsidR="005235B1" w:rsidRPr="00920216" w:rsidRDefault="005235B1"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rStyle w:val="Strong"/>
                <w:color w:val="000000" w:themeColor="text1"/>
                <w:sz w:val="16"/>
                <w:szCs w:val="16"/>
                <w:bdr w:val="none" w:sz="0" w:space="0" w:color="auto" w:frame="1"/>
              </w:rPr>
              <w:t>Succession:</w:t>
            </w:r>
            <w:r w:rsidRPr="00920216">
              <w:rPr>
                <w:rStyle w:val="apple-converted-space"/>
                <w:color w:val="000000" w:themeColor="text1"/>
                <w:sz w:val="16"/>
                <w:szCs w:val="16"/>
              </w:rPr>
              <w:t> </w:t>
            </w:r>
            <w:r w:rsidRPr="00920216">
              <w:rPr>
                <w:color w:val="000000" w:themeColor="text1"/>
                <w:sz w:val="16"/>
                <w:szCs w:val="16"/>
              </w:rPr>
              <w:t xml:space="preserve"> According to the annual report, Buffett has indicated that he has selected a successor — but no name was given. </w:t>
            </w:r>
            <w:r w:rsidR="00DF5A0B" w:rsidRPr="00920216">
              <w:rPr>
                <w:color w:val="000000" w:themeColor="text1"/>
                <w:sz w:val="16"/>
                <w:szCs w:val="16"/>
              </w:rPr>
              <w:t>But can Buffett just so easily be replaced?</w:t>
            </w:r>
          </w:p>
          <w:p w:rsidR="005235B1" w:rsidRPr="00920216" w:rsidRDefault="005235B1"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rStyle w:val="Strong"/>
                <w:color w:val="000000" w:themeColor="text1"/>
                <w:sz w:val="16"/>
                <w:szCs w:val="16"/>
                <w:bdr w:val="none" w:sz="0" w:space="0" w:color="auto" w:frame="1"/>
              </w:rPr>
              <w:t>Real Estate:</w:t>
            </w:r>
            <w:r w:rsidRPr="00920216">
              <w:rPr>
                <w:rStyle w:val="apple-converted-space"/>
                <w:color w:val="000000" w:themeColor="text1"/>
                <w:sz w:val="16"/>
                <w:szCs w:val="16"/>
              </w:rPr>
              <w:t> </w:t>
            </w:r>
            <w:r w:rsidR="00DF5A0B" w:rsidRPr="00920216">
              <w:rPr>
                <w:rStyle w:val="apple-converted-space"/>
                <w:color w:val="000000" w:themeColor="text1"/>
                <w:sz w:val="16"/>
                <w:szCs w:val="16"/>
              </w:rPr>
              <w:t>I</w:t>
            </w:r>
            <w:r w:rsidR="00DF5A0B" w:rsidRPr="00920216">
              <w:rPr>
                <w:color w:val="000000" w:themeColor="text1"/>
                <w:sz w:val="16"/>
                <w:szCs w:val="16"/>
              </w:rPr>
              <w:t>ncluding:</w:t>
            </w:r>
            <w:r w:rsidRPr="00920216">
              <w:rPr>
                <w:color w:val="000000" w:themeColor="text1"/>
                <w:sz w:val="16"/>
                <w:szCs w:val="16"/>
              </w:rPr>
              <w:t xml:space="preserve"> Clayton Homes, Acme Brick, Shaw and Johns Manville </w:t>
            </w:r>
            <w:proofErr w:type="gramStart"/>
            <w:r w:rsidR="00DF5A0B" w:rsidRPr="00920216">
              <w:rPr>
                <w:color w:val="000000" w:themeColor="text1"/>
                <w:sz w:val="16"/>
                <w:szCs w:val="16"/>
              </w:rPr>
              <w:t>is</w:t>
            </w:r>
            <w:proofErr w:type="gramEnd"/>
            <w:r w:rsidR="00DF5A0B" w:rsidRPr="00920216">
              <w:rPr>
                <w:color w:val="000000" w:themeColor="text1"/>
                <w:sz w:val="16"/>
                <w:szCs w:val="16"/>
              </w:rPr>
              <w:t xml:space="preserve"> a major hindrance to </w:t>
            </w:r>
            <w:r w:rsidRPr="00920216">
              <w:rPr>
                <w:color w:val="000000" w:themeColor="text1"/>
                <w:sz w:val="16"/>
                <w:szCs w:val="16"/>
              </w:rPr>
              <w:t>Berkshire. In the annual letter, Buffett admitted that he was wrong in his prediction that the market would see an upturn in 2011. While he still is bullish, Buffett thinks it still might take time for things to return to normal.</w:t>
            </w:r>
          </w:p>
          <w:p w:rsidR="00DF5A0B" w:rsidRPr="00920216" w:rsidRDefault="005235B1"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rStyle w:val="Strong"/>
                <w:color w:val="000000" w:themeColor="text1"/>
                <w:sz w:val="16"/>
                <w:szCs w:val="16"/>
                <w:bdr w:val="none" w:sz="0" w:space="0" w:color="auto" w:frame="1"/>
              </w:rPr>
              <w:t>Losses:</w:t>
            </w:r>
            <w:r w:rsidRPr="00920216">
              <w:rPr>
                <w:rStyle w:val="apple-converted-space"/>
                <w:color w:val="000000" w:themeColor="text1"/>
                <w:sz w:val="16"/>
                <w:szCs w:val="16"/>
              </w:rPr>
              <w:t> </w:t>
            </w:r>
            <w:r w:rsidRPr="00920216">
              <w:rPr>
                <w:color w:val="000000" w:themeColor="text1"/>
                <w:sz w:val="16"/>
                <w:szCs w:val="16"/>
              </w:rPr>
              <w:t>Berkshire insures for catastrophic losses, such as earthquakes and hurricanes. So long as the company still has strong risk management, the returns can be attractive. But Mother Nature can be brutal, as evidenced by the Japanese earthquake and tsunami.</w:t>
            </w:r>
          </w:p>
          <w:p w:rsidR="00883E97" w:rsidRPr="00920216" w:rsidRDefault="00883E97" w:rsidP="00920216">
            <w:pPr>
              <w:pStyle w:val="NormalWeb"/>
              <w:shd w:val="clear" w:color="auto" w:fill="FFFFFF"/>
              <w:spacing w:before="0" w:beforeAutospacing="0" w:after="0" w:afterAutospacing="0"/>
              <w:contextualSpacing/>
              <w:textAlignment w:val="baseline"/>
              <w:rPr>
                <w:color w:val="000000" w:themeColor="text1"/>
                <w:sz w:val="16"/>
                <w:szCs w:val="16"/>
              </w:rPr>
            </w:pPr>
            <w:r w:rsidRPr="00920216">
              <w:rPr>
                <w:b/>
                <w:color w:val="000000" w:themeColor="text1"/>
                <w:sz w:val="16"/>
                <w:szCs w:val="16"/>
              </w:rPr>
              <w:t>Big chunk</w:t>
            </w:r>
            <w:r w:rsidR="00DF5A0B" w:rsidRPr="00920216">
              <w:rPr>
                <w:b/>
                <w:color w:val="000000" w:themeColor="text1"/>
                <w:sz w:val="16"/>
                <w:szCs w:val="16"/>
              </w:rPr>
              <w:t>s:</w:t>
            </w:r>
            <w:r w:rsidR="00DF5A0B" w:rsidRPr="00920216">
              <w:rPr>
                <w:color w:val="000000" w:themeColor="text1"/>
                <w:sz w:val="16"/>
                <w:szCs w:val="16"/>
              </w:rPr>
              <w:t xml:space="preserve">  O</w:t>
            </w:r>
            <w:r w:rsidRPr="00920216">
              <w:rPr>
                <w:color w:val="000000" w:themeColor="text1"/>
                <w:sz w:val="16"/>
                <w:szCs w:val="16"/>
              </w:rPr>
              <w:t xml:space="preserve">f </w:t>
            </w:r>
            <w:r w:rsidR="00DF5A0B" w:rsidRPr="00920216">
              <w:rPr>
                <w:color w:val="000000" w:themeColor="text1"/>
                <w:sz w:val="16"/>
                <w:szCs w:val="16"/>
              </w:rPr>
              <w:t xml:space="preserve">Berkshire’s </w:t>
            </w:r>
            <w:r w:rsidRPr="00920216">
              <w:rPr>
                <w:color w:val="000000" w:themeColor="text1"/>
                <w:sz w:val="16"/>
                <w:szCs w:val="16"/>
              </w:rPr>
              <w:t xml:space="preserve">assets </w:t>
            </w:r>
            <w:r w:rsidR="00DF5A0B" w:rsidRPr="00920216">
              <w:rPr>
                <w:color w:val="000000" w:themeColor="text1"/>
                <w:sz w:val="16"/>
                <w:szCs w:val="16"/>
              </w:rPr>
              <w:t xml:space="preserve">are in </w:t>
            </w:r>
            <w:r w:rsidRPr="00920216">
              <w:rPr>
                <w:color w:val="000000" w:themeColor="text1"/>
                <w:sz w:val="16"/>
                <w:szCs w:val="16"/>
              </w:rPr>
              <w:t>regulated industries like utilities and railroads</w:t>
            </w:r>
          </w:p>
          <w:p w:rsidR="00315D1A" w:rsidRPr="00F22957" w:rsidRDefault="00315D1A" w:rsidP="00315D1A">
            <w:pPr>
              <w:rPr>
                <w:rFonts w:ascii="Times New Roman" w:hAnsi="Times New Roman" w:cs="Times New Roman"/>
                <w:sz w:val="24"/>
                <w:szCs w:val="24"/>
              </w:rPr>
            </w:pPr>
          </w:p>
        </w:tc>
      </w:tr>
    </w:tbl>
    <w:p w:rsidR="00280281" w:rsidRDefault="00280281" w:rsidP="009E46D0">
      <w:pPr>
        <w:rPr>
          <w:rFonts w:ascii="Times New Roman" w:hAnsi="Times New Roman" w:cs="Times New Roman"/>
          <w:sz w:val="24"/>
          <w:szCs w:val="24"/>
        </w:rPr>
      </w:pPr>
    </w:p>
    <w:p w:rsidR="00280281" w:rsidRDefault="00280281" w:rsidP="009E46D0">
      <w:pPr>
        <w:rPr>
          <w:rFonts w:ascii="Times New Roman" w:hAnsi="Times New Roman" w:cs="Times New Roman"/>
          <w:sz w:val="24"/>
          <w:szCs w:val="24"/>
        </w:rPr>
      </w:pPr>
    </w:p>
    <w:p w:rsidR="00280281" w:rsidRPr="007E78BD" w:rsidRDefault="00280281" w:rsidP="007E78BD">
      <w:pPr>
        <w:shd w:val="clear" w:color="auto" w:fill="002060"/>
        <w:jc w:val="center"/>
        <w:rPr>
          <w:rFonts w:ascii="Times New Roman" w:hAnsi="Times New Roman" w:cs="Times New Roman"/>
          <w:b/>
          <w:color w:val="FFFFFF" w:themeColor="background1"/>
          <w:sz w:val="32"/>
          <w:szCs w:val="32"/>
        </w:rPr>
      </w:pPr>
      <w:r w:rsidRPr="007E78BD">
        <w:rPr>
          <w:rFonts w:ascii="Times New Roman" w:hAnsi="Times New Roman" w:cs="Times New Roman"/>
          <w:b/>
          <w:color w:val="FFFFFF" w:themeColor="background1"/>
          <w:sz w:val="32"/>
          <w:szCs w:val="32"/>
        </w:rPr>
        <w:t>Company Overview</w:t>
      </w:r>
    </w:p>
    <w:p w:rsidR="00280281" w:rsidRDefault="00280281" w:rsidP="009E46D0">
      <w:pPr>
        <w:rPr>
          <w:rFonts w:ascii="Times New Roman" w:hAnsi="Times New Roman" w:cs="Times New Roman"/>
          <w:sz w:val="24"/>
          <w:szCs w:val="24"/>
        </w:rPr>
      </w:pPr>
    </w:p>
    <w:p w:rsidR="00280281" w:rsidRPr="007E78BD" w:rsidRDefault="00280281" w:rsidP="009E46D0">
      <w:pPr>
        <w:rPr>
          <w:rFonts w:ascii="Times New Roman" w:hAnsi="Times New Roman" w:cs="Times New Roman"/>
          <w:color w:val="000000"/>
          <w:sz w:val="24"/>
          <w:szCs w:val="24"/>
          <w:shd w:val="clear" w:color="auto" w:fill="FDFDFD"/>
        </w:rPr>
      </w:pPr>
      <w:r w:rsidRPr="008F2405">
        <w:rPr>
          <w:rFonts w:ascii="Times New Roman" w:hAnsi="Times New Roman" w:cs="Times New Roman"/>
          <w:color w:val="000000"/>
          <w:sz w:val="24"/>
          <w:szCs w:val="24"/>
          <w:shd w:val="clear" w:color="auto" w:fill="FDFDFD"/>
        </w:rPr>
        <w:t>Berkshire Hathaway</w:t>
      </w:r>
      <w:r>
        <w:rPr>
          <w:rFonts w:ascii="Times New Roman" w:hAnsi="Times New Roman" w:cs="Times New Roman"/>
          <w:color w:val="000000"/>
          <w:sz w:val="24"/>
          <w:szCs w:val="24"/>
          <w:shd w:val="clear" w:color="auto" w:fill="FDFDFD"/>
        </w:rPr>
        <w:t xml:space="preserve"> Inc.</w:t>
      </w:r>
      <w:r w:rsidRPr="008F2405">
        <w:rPr>
          <w:rFonts w:ascii="Times New Roman" w:hAnsi="Times New Roman" w:cs="Times New Roman"/>
          <w:color w:val="000000"/>
          <w:sz w:val="24"/>
          <w:szCs w:val="24"/>
          <w:shd w:val="clear" w:color="auto" w:fill="FDFDFD"/>
        </w:rPr>
        <w:t xml:space="preserve"> is a</w:t>
      </w:r>
      <w:r>
        <w:rPr>
          <w:rFonts w:ascii="Times New Roman" w:hAnsi="Times New Roman" w:cs="Times New Roman"/>
          <w:color w:val="000000"/>
          <w:sz w:val="24"/>
          <w:szCs w:val="24"/>
          <w:shd w:val="clear" w:color="auto" w:fill="FDFDFD"/>
        </w:rPr>
        <w:t>n American multinational conglomerate</w:t>
      </w:r>
      <w:r w:rsidRPr="008F2405">
        <w:rPr>
          <w:rFonts w:ascii="Times New Roman" w:hAnsi="Times New Roman" w:cs="Times New Roman"/>
          <w:color w:val="000000"/>
          <w:sz w:val="24"/>
          <w:szCs w:val="24"/>
          <w:shd w:val="clear" w:color="auto" w:fill="FDFDFD"/>
        </w:rPr>
        <w:t xml:space="preserve"> holding company</w:t>
      </w:r>
      <w:r>
        <w:rPr>
          <w:rFonts w:ascii="Times New Roman" w:hAnsi="Times New Roman" w:cs="Times New Roman"/>
          <w:color w:val="000000"/>
          <w:sz w:val="24"/>
          <w:szCs w:val="24"/>
          <w:shd w:val="clear" w:color="auto" w:fill="FDFDFD"/>
        </w:rPr>
        <w:t xml:space="preserve"> </w:t>
      </w:r>
      <w:r>
        <w:rPr>
          <w:rFonts w:ascii="Arial" w:hAnsi="Arial" w:cs="Arial"/>
          <w:color w:val="000000"/>
          <w:sz w:val="20"/>
          <w:szCs w:val="20"/>
          <w:shd w:val="clear" w:color="auto" w:fill="FFFFFF"/>
        </w:rPr>
        <w:t>headquartered in</w:t>
      </w:r>
      <w:r>
        <w:rPr>
          <w:rStyle w:val="apple-converted-space"/>
          <w:rFonts w:ascii="Arial" w:hAnsi="Arial" w:cs="Arial"/>
          <w:color w:val="000000"/>
          <w:sz w:val="20"/>
          <w:szCs w:val="20"/>
          <w:shd w:val="clear" w:color="auto" w:fill="FFFFFF"/>
        </w:rPr>
        <w:t> </w:t>
      </w:r>
      <w:r w:rsidRPr="00280281">
        <w:rPr>
          <w:rFonts w:ascii="Arial" w:hAnsi="Arial" w:cs="Arial"/>
          <w:sz w:val="20"/>
          <w:szCs w:val="20"/>
          <w:shd w:val="clear" w:color="auto" w:fill="FFFFFF"/>
        </w:rPr>
        <w:t>Omaha</w:t>
      </w:r>
      <w:r>
        <w:rPr>
          <w:rFonts w:ascii="Arial" w:hAnsi="Arial" w:cs="Arial"/>
          <w:color w:val="000000"/>
          <w:sz w:val="20"/>
          <w:szCs w:val="20"/>
          <w:shd w:val="clear" w:color="auto" w:fill="FFFFFF"/>
        </w:rPr>
        <w:t>, Nebraska, United States</w:t>
      </w:r>
      <w:r w:rsidRPr="008F2405">
        <w:rPr>
          <w:rFonts w:ascii="Times New Roman" w:hAnsi="Times New Roman" w:cs="Times New Roman"/>
          <w:color w:val="000000"/>
          <w:sz w:val="24"/>
          <w:szCs w:val="24"/>
          <w:shd w:val="clear" w:color="auto" w:fill="FDFDFD"/>
        </w:rPr>
        <w:t xml:space="preserve"> with a wide collection of subsidiaries engaged in a number of diverse business activities. The firm's core business is insurance, run primarily through GEICO (auto insurance), General Re (reinsurance), Berkshire Hathaway Reinsurance, and Berkshire Hathaway Primary Group</w:t>
      </w:r>
      <w:r>
        <w:rPr>
          <w:rFonts w:ascii="Times New Roman" w:hAnsi="Times New Roman" w:cs="Times New Roman"/>
          <w:color w:val="000000"/>
          <w:sz w:val="24"/>
          <w:szCs w:val="24"/>
          <w:shd w:val="clear" w:color="auto" w:fill="FDFDFD"/>
        </w:rPr>
        <w:t xml:space="preserve">.  </w:t>
      </w:r>
      <w:r w:rsidRPr="007E78BD">
        <w:rPr>
          <w:rFonts w:ascii="Times New Roman" w:hAnsi="Times New Roman" w:cs="Times New Roman"/>
          <w:color w:val="000000"/>
          <w:sz w:val="24"/>
          <w:szCs w:val="24"/>
          <w:shd w:val="clear" w:color="auto" w:fill="FDFDFD"/>
        </w:rPr>
        <w:t xml:space="preserve">Berkshire originally focused on long-term investments in publicly quoted stocks, but more recently has turned to buying whole companies. Berkshire now owns a diverse range of businesses including confectionery, retail, railroad, home furnishings, encyclopedias, </w:t>
      </w:r>
      <w:proofErr w:type="gramStart"/>
      <w:r w:rsidRPr="007E78BD">
        <w:rPr>
          <w:rFonts w:ascii="Times New Roman" w:hAnsi="Times New Roman" w:cs="Times New Roman"/>
          <w:color w:val="000000"/>
          <w:sz w:val="24"/>
          <w:szCs w:val="24"/>
          <w:shd w:val="clear" w:color="auto" w:fill="FDFDFD"/>
        </w:rPr>
        <w:t>manufacturers</w:t>
      </w:r>
      <w:proofErr w:type="gramEnd"/>
      <w:r w:rsidRPr="007E78BD">
        <w:rPr>
          <w:rFonts w:ascii="Times New Roman" w:hAnsi="Times New Roman" w:cs="Times New Roman"/>
          <w:color w:val="000000"/>
          <w:sz w:val="24"/>
          <w:szCs w:val="24"/>
          <w:shd w:val="clear" w:color="auto" w:fill="FDFDFD"/>
        </w:rPr>
        <w:t xml:space="preserve"> of vacuum cleaners, jewelry sales; newspaper publishing; manufacture and distribution of uniforms; as well as several regional electric and gas utilities.</w:t>
      </w:r>
    </w:p>
    <w:p w:rsidR="00280281" w:rsidRDefault="00280281" w:rsidP="009E46D0">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The company averaged an annual growth in book value of 20.3% to its shareholders for the last 44 years, while employing large amounts of capital, and minimal debt.  Berkshire Hathaway stock produced a total return of 76% from 2000–2010 versus a negative 11.3% return for the</w:t>
      </w:r>
      <w:r w:rsidRPr="007E78BD">
        <w:rPr>
          <w:rFonts w:ascii="Times New Roman" w:hAnsi="Times New Roman" w:cs="Times New Roman"/>
          <w:sz w:val="24"/>
          <w:szCs w:val="24"/>
          <w:shd w:val="clear" w:color="auto" w:fill="FDFDFD"/>
        </w:rPr>
        <w:t> </w:t>
      </w:r>
      <w:r w:rsidRPr="007E78BD">
        <w:rPr>
          <w:rFonts w:ascii="Times New Roman" w:hAnsi="Times New Roman" w:cs="Times New Roman"/>
          <w:color w:val="000000"/>
          <w:sz w:val="24"/>
          <w:szCs w:val="24"/>
          <w:shd w:val="clear" w:color="auto" w:fill="FDFDFD"/>
        </w:rPr>
        <w:t>S&amp;P 500.</w:t>
      </w:r>
    </w:p>
    <w:p w:rsidR="007E78BD" w:rsidRDefault="007E78BD" w:rsidP="009E46D0">
      <w:pPr>
        <w:rPr>
          <w:rFonts w:ascii="Times New Roman" w:hAnsi="Times New Roman" w:cs="Times New Roman"/>
          <w:color w:val="000000"/>
          <w:sz w:val="24"/>
          <w:szCs w:val="24"/>
          <w:shd w:val="clear" w:color="auto" w:fill="FDFDFD"/>
        </w:rPr>
      </w:pPr>
    </w:p>
    <w:p w:rsidR="00280281" w:rsidRPr="007E78BD" w:rsidRDefault="007E78BD" w:rsidP="007E78BD">
      <w:pPr>
        <w:shd w:val="clear" w:color="auto" w:fill="002060"/>
        <w:jc w:val="center"/>
        <w:rPr>
          <w:rFonts w:ascii="Times New Roman" w:hAnsi="Times New Roman" w:cs="Times New Roman"/>
          <w:b/>
          <w:color w:val="FFFFFF" w:themeColor="background1"/>
          <w:sz w:val="32"/>
          <w:szCs w:val="32"/>
        </w:rPr>
      </w:pPr>
      <w:r w:rsidRPr="007E78BD">
        <w:rPr>
          <w:rFonts w:ascii="Times New Roman" w:hAnsi="Times New Roman" w:cs="Times New Roman"/>
          <w:b/>
          <w:color w:val="FFFFFF" w:themeColor="background1"/>
          <w:sz w:val="32"/>
          <w:szCs w:val="32"/>
        </w:rPr>
        <w:t>History</w:t>
      </w:r>
    </w:p>
    <w:p w:rsidR="00280281" w:rsidRPr="007E78BD" w:rsidRDefault="00280281" w:rsidP="00280281">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 xml:space="preserve">Berkshire Hathaway traces its roots to a textile manufacturing company established by Oliver </w:t>
      </w:r>
      <w:proofErr w:type="spellStart"/>
      <w:r w:rsidRPr="007E78BD">
        <w:rPr>
          <w:rFonts w:ascii="Times New Roman" w:hAnsi="Times New Roman" w:cs="Times New Roman"/>
          <w:color w:val="000000"/>
          <w:sz w:val="24"/>
          <w:szCs w:val="24"/>
          <w:shd w:val="clear" w:color="auto" w:fill="FDFDFD"/>
        </w:rPr>
        <w:t>Chace</w:t>
      </w:r>
      <w:proofErr w:type="spellEnd"/>
      <w:r w:rsidRPr="007E78BD">
        <w:rPr>
          <w:rFonts w:ascii="Times New Roman" w:hAnsi="Times New Roman" w:cs="Times New Roman"/>
          <w:color w:val="000000"/>
          <w:sz w:val="24"/>
          <w:szCs w:val="24"/>
          <w:shd w:val="clear" w:color="auto" w:fill="FDFDFD"/>
        </w:rPr>
        <w:t xml:space="preserve"> in 1839 as the Valley Falls Company in Valley Falls, Rhode Island. In 1929 the Valley Falls Company merged with the Berkshire Cotton Manufacturing Company established in 1889, in Adams, Massachusetts. The combined company was known as Berkshire Fine Spinning Associates.</w:t>
      </w:r>
    </w:p>
    <w:p w:rsidR="00280281" w:rsidRPr="007E78BD" w:rsidRDefault="00280281" w:rsidP="00280281">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In 1955 Berkshire Fine Spinning Associates merged with the Hathaway Manufacturing Company which was founded in 1888 in New Bedford, Massachusetts by Horatio Hathaway. Hathaway was successful in its first decades, but it suffered during a general decline in the textile industry after World War I. After the merger Berkshire Hathaway had 15 plants employing over 12,000 workers with over $120 million in revenue. However, seven of those locations were closed by the end of the decade, accompanied by large layoffs.</w:t>
      </w:r>
    </w:p>
    <w:p w:rsidR="00280281" w:rsidRPr="007E78BD" w:rsidRDefault="00280281" w:rsidP="00280281">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In 1962, Warren Buffett began buying stock in Berkshire Hathaway after noticing a pattern in the price direction of its stock whenever the company closed a mill. Eventually, Buffett acknowledged that the textile business was waning and the company's financial situ</w:t>
      </w:r>
      <w:r w:rsidR="005A5F0E" w:rsidRPr="007E78BD">
        <w:rPr>
          <w:rFonts w:ascii="Times New Roman" w:hAnsi="Times New Roman" w:cs="Times New Roman"/>
          <w:color w:val="000000"/>
          <w:sz w:val="24"/>
          <w:szCs w:val="24"/>
          <w:shd w:val="clear" w:color="auto" w:fill="FDFDFD"/>
        </w:rPr>
        <w:t xml:space="preserve">ation was not going to improve.  However, </w:t>
      </w:r>
      <w:r w:rsidRPr="007E78BD">
        <w:rPr>
          <w:rFonts w:ascii="Times New Roman" w:hAnsi="Times New Roman" w:cs="Times New Roman"/>
          <w:color w:val="000000"/>
          <w:sz w:val="24"/>
          <w:szCs w:val="24"/>
          <w:shd w:val="clear" w:color="auto" w:fill="FDFDFD"/>
        </w:rPr>
        <w:t xml:space="preserve">Buffett decided to buy more of the stock to take control of the company </w:t>
      </w:r>
      <w:r w:rsidR="005A5F0E" w:rsidRPr="007E78BD">
        <w:rPr>
          <w:rFonts w:ascii="Times New Roman" w:hAnsi="Times New Roman" w:cs="Times New Roman"/>
          <w:color w:val="000000"/>
          <w:sz w:val="24"/>
          <w:szCs w:val="24"/>
          <w:shd w:val="clear" w:color="auto" w:fill="FDFDFD"/>
        </w:rPr>
        <w:t>and was</w:t>
      </w:r>
      <w:r w:rsidRPr="007E78BD">
        <w:rPr>
          <w:rFonts w:ascii="Times New Roman" w:hAnsi="Times New Roman" w:cs="Times New Roman"/>
          <w:color w:val="000000"/>
          <w:sz w:val="24"/>
          <w:szCs w:val="24"/>
          <w:shd w:val="clear" w:color="auto" w:fill="FDFDFD"/>
        </w:rPr>
        <w:t xml:space="preserve"> now majority owner of a textile business that was failing.</w:t>
      </w:r>
    </w:p>
    <w:p w:rsidR="00280281" w:rsidRPr="007E78BD" w:rsidRDefault="00280281" w:rsidP="00280281">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Buffett initially maintained Berkshire's core business of textiles, but by 1967, he was expanding into the insurance industry and other investments. Berkshire first ventured into the insurance business with the purchase of National Indemnity Company. In the late 1970s, Berkshire acquired an equity stake in the Government Employees Insurance Company (GEICO), which forms the core of its insurance operations today (and is a major source of capital for Berkshire Hathaway's other investments). In 1985, the last textile operations (Hathaway's historic core) were shut down.</w:t>
      </w:r>
    </w:p>
    <w:p w:rsidR="005A5F0E" w:rsidRDefault="005A5F0E" w:rsidP="00280281"/>
    <w:p w:rsidR="002863B3" w:rsidRDefault="002863B3" w:rsidP="00280281"/>
    <w:p w:rsidR="00B44B32" w:rsidRPr="007E78BD" w:rsidRDefault="007E78BD" w:rsidP="007E78BD">
      <w:pPr>
        <w:shd w:val="clear" w:color="auto" w:fill="002060"/>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Subsidiary</w:t>
      </w:r>
      <w:r w:rsidR="00B44B32" w:rsidRPr="007E78BD">
        <w:rPr>
          <w:rFonts w:ascii="Times New Roman" w:hAnsi="Times New Roman" w:cs="Times New Roman"/>
          <w:b/>
          <w:color w:val="FFFFFF" w:themeColor="background1"/>
          <w:sz w:val="32"/>
          <w:szCs w:val="32"/>
        </w:rPr>
        <w:t xml:space="preserve"> Breakdown</w:t>
      </w:r>
    </w:p>
    <w:tbl>
      <w:tblPr>
        <w:tblW w:w="11592" w:type="dxa"/>
        <w:tblInd w:w="93" w:type="dxa"/>
        <w:tblLook w:val="04A0" w:firstRow="1" w:lastRow="0" w:firstColumn="1" w:lastColumn="0" w:noHBand="0" w:noVBand="1"/>
      </w:tblPr>
      <w:tblGrid>
        <w:gridCol w:w="2800"/>
        <w:gridCol w:w="1772"/>
        <w:gridCol w:w="1020"/>
        <w:gridCol w:w="2960"/>
        <w:gridCol w:w="2040"/>
        <w:gridCol w:w="1000"/>
      </w:tblGrid>
      <w:tr w:rsidR="007154EA" w:rsidRPr="007154EA" w:rsidTr="007154EA">
        <w:trPr>
          <w:trHeight w:val="405"/>
        </w:trPr>
        <w:tc>
          <w:tcPr>
            <w:tcW w:w="2800" w:type="dxa"/>
            <w:tcBorders>
              <w:top w:val="nil"/>
              <w:left w:val="nil"/>
              <w:bottom w:val="single" w:sz="12" w:space="0" w:color="4F81BD"/>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b/>
                <w:bCs/>
                <w:color w:val="1F497D"/>
                <w:sz w:val="30"/>
                <w:szCs w:val="30"/>
              </w:rPr>
            </w:pPr>
            <w:r w:rsidRPr="007154EA">
              <w:rPr>
                <w:rFonts w:ascii="Calibri" w:eastAsia="Times New Roman" w:hAnsi="Calibri" w:cs="Calibri"/>
                <w:b/>
                <w:bCs/>
                <w:color w:val="1F497D"/>
                <w:sz w:val="30"/>
                <w:szCs w:val="30"/>
              </w:rPr>
              <w:t>Subsidiaries</w:t>
            </w:r>
          </w:p>
        </w:tc>
        <w:tc>
          <w:tcPr>
            <w:tcW w:w="1772"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color w:val="000000"/>
              </w:rPr>
            </w:pPr>
          </w:p>
        </w:tc>
        <w:tc>
          <w:tcPr>
            <w:tcW w:w="296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color w:val="000000"/>
              </w:rPr>
            </w:pPr>
          </w:p>
        </w:tc>
      </w:tr>
      <w:tr w:rsidR="007154EA" w:rsidRPr="007154EA" w:rsidTr="007154EA">
        <w:trPr>
          <w:trHeight w:val="645"/>
        </w:trPr>
        <w:tc>
          <w:tcPr>
            <w:tcW w:w="280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Company</w:t>
            </w:r>
          </w:p>
        </w:tc>
        <w:tc>
          <w:tcPr>
            <w:tcW w:w="1772"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Sector</w:t>
            </w:r>
          </w:p>
        </w:tc>
        <w:tc>
          <w:tcPr>
            <w:tcW w:w="1020" w:type="dxa"/>
            <w:tcBorders>
              <w:top w:val="single" w:sz="4" w:space="0" w:color="4F81BD"/>
              <w:left w:val="single" w:sz="4" w:space="0" w:color="4F81BD"/>
              <w:bottom w:val="single" w:sz="8" w:space="0" w:color="4F81BD"/>
              <w:right w:val="single" w:sz="4" w:space="0" w:color="4F81BD"/>
            </w:tcBorders>
            <w:shd w:val="clear" w:color="auto" w:fill="auto"/>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 xml:space="preserve">Acquisition </w:t>
            </w:r>
            <w:r w:rsidRPr="007154EA">
              <w:rPr>
                <w:rFonts w:ascii="Times New Roman" w:eastAsia="Times New Roman" w:hAnsi="Times New Roman" w:cs="Times New Roman"/>
                <w:b/>
                <w:bCs/>
                <w:color w:val="000000"/>
                <w:sz w:val="16"/>
                <w:szCs w:val="16"/>
              </w:rPr>
              <w:br/>
              <w:t>Date</w:t>
            </w:r>
          </w:p>
        </w:tc>
        <w:tc>
          <w:tcPr>
            <w:tcW w:w="2960" w:type="dxa"/>
            <w:tcBorders>
              <w:top w:val="single" w:sz="4" w:space="0" w:color="4F81BD"/>
              <w:left w:val="single" w:sz="4" w:space="0" w:color="auto"/>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Company</w:t>
            </w:r>
          </w:p>
        </w:tc>
        <w:tc>
          <w:tcPr>
            <w:tcW w:w="2040" w:type="dxa"/>
            <w:tcBorders>
              <w:top w:val="single" w:sz="4" w:space="0" w:color="4F81BD"/>
              <w:left w:val="nil"/>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Sector</w:t>
            </w:r>
          </w:p>
        </w:tc>
        <w:tc>
          <w:tcPr>
            <w:tcW w:w="1000" w:type="dxa"/>
            <w:tcBorders>
              <w:top w:val="single" w:sz="4" w:space="0" w:color="4F81BD"/>
              <w:left w:val="nil"/>
              <w:bottom w:val="single" w:sz="8" w:space="0" w:color="4F81BD"/>
              <w:right w:val="single" w:sz="4" w:space="0" w:color="4F81BD"/>
            </w:tcBorders>
            <w:shd w:val="clear" w:color="auto" w:fill="auto"/>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 xml:space="preserve">Acquisition </w:t>
            </w:r>
            <w:r w:rsidRPr="007154EA">
              <w:rPr>
                <w:rFonts w:ascii="Times New Roman" w:eastAsia="Times New Roman" w:hAnsi="Times New Roman" w:cs="Times New Roman"/>
                <w:b/>
                <w:bCs/>
                <w:color w:val="000000"/>
                <w:sz w:val="16"/>
                <w:szCs w:val="16"/>
              </w:rPr>
              <w:br/>
              <w:t>Date</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GEICO</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1996</w:t>
            </w:r>
          </w:p>
        </w:tc>
        <w:tc>
          <w:tcPr>
            <w:tcW w:w="2960" w:type="dxa"/>
            <w:tcBorders>
              <w:top w:val="single" w:sz="4" w:space="0" w:color="4F81BD"/>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Clayton Homes</w:t>
            </w:r>
          </w:p>
        </w:tc>
        <w:tc>
          <w:tcPr>
            <w:tcW w:w="2040" w:type="dxa"/>
            <w:tcBorders>
              <w:top w:val="single" w:sz="4" w:space="0" w:color="4F81BD"/>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single" w:sz="4" w:space="0" w:color="4F81BD"/>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2007</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Applied Underwriters</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2004</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ISCAR Metalworking</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2006</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General Re</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1995</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Johns Manville</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2001</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Kansas Bankers Surety Company</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1998</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MiTek</w:t>
            </w:r>
            <w:proofErr w:type="spellEnd"/>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2001</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National Indemnity Company</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1977</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Precision Steel Warehouse, Inc.</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1979</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United States Liability Insurance Group</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2000</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Shaw Industries</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2002</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Central States Indemnity Company</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1982</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The Buffalo News</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Media</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1977</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Wesco Financial Corporation</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1978</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Business Wire</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Media</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2006</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Dairy Queen</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Food and Beverage</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1997</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Omaha World-Herald</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Media</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2011</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The Pampered Chef</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Food and Beverage</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2002</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XTRA Corporation</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Logistics</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2001</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See's Candies</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Food and Beverage</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1972</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McLane Company</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Logistics</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2003</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Fechheimer</w:t>
            </w:r>
            <w:proofErr w:type="spellEnd"/>
            <w:r w:rsidRPr="007154EA">
              <w:rPr>
                <w:rFonts w:ascii="Times New Roman" w:eastAsia="Times New Roman" w:hAnsi="Times New Roman" w:cs="Times New Roman"/>
                <w:color w:val="000000"/>
                <w:sz w:val="16"/>
                <w:szCs w:val="16"/>
              </w:rPr>
              <w:t xml:space="preserve"> Brothers Company</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Clothing</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1986</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Ben Bridge Jewelers</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Luxury Items</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2000</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Fruit of the Loom</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Clothing</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2002</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Borsheim's</w:t>
            </w:r>
            <w:proofErr w:type="spellEnd"/>
            <w:r w:rsidRPr="007154EA">
              <w:rPr>
                <w:rFonts w:ascii="Times New Roman" w:eastAsia="Times New Roman" w:hAnsi="Times New Roman" w:cs="Times New Roman"/>
                <w:color w:val="000000"/>
                <w:sz w:val="16"/>
                <w:szCs w:val="16"/>
              </w:rPr>
              <w:t xml:space="preserve"> Fine Jewelry</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Luxury Items</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1989</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Garan</w:t>
            </w:r>
            <w:proofErr w:type="spellEnd"/>
            <w:r w:rsidRPr="007154EA">
              <w:rPr>
                <w:rFonts w:ascii="Times New Roman" w:eastAsia="Times New Roman" w:hAnsi="Times New Roman" w:cs="Times New Roman"/>
                <w:color w:val="000000"/>
                <w:sz w:val="16"/>
                <w:szCs w:val="16"/>
              </w:rPr>
              <w:t xml:space="preserve"> Children's Clothing</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Clothing</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2002</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Helzberg Diamonds</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Luxury Items</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1995</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H.H. Brown Shoe Group</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Clothing</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1991</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 xml:space="preserve">Scott </w:t>
            </w:r>
            <w:proofErr w:type="spellStart"/>
            <w:r w:rsidRPr="007154EA">
              <w:rPr>
                <w:rFonts w:ascii="Times New Roman" w:eastAsia="Times New Roman" w:hAnsi="Times New Roman" w:cs="Times New Roman"/>
                <w:color w:val="000000"/>
                <w:sz w:val="16"/>
                <w:szCs w:val="16"/>
              </w:rPr>
              <w:t>Fetzer</w:t>
            </w:r>
            <w:proofErr w:type="spellEnd"/>
            <w:r w:rsidRPr="007154EA">
              <w:rPr>
                <w:rFonts w:ascii="Times New Roman" w:eastAsia="Times New Roman" w:hAnsi="Times New Roman" w:cs="Times New Roman"/>
                <w:color w:val="000000"/>
                <w:sz w:val="16"/>
                <w:szCs w:val="16"/>
              </w:rPr>
              <w:t xml:space="preserve"> Companies</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Other</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1985</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Justin Brands</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Clothing</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2000</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MidAmerican Energy Holdings Company</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Utilities</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1999</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CORT Business Services</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Furniture Related</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2000</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NetJets</w:t>
            </w:r>
            <w:proofErr w:type="spellEnd"/>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Business Services</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1998</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Jordan's Furniture</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Furniture Related</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1999</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NetJets</w:t>
            </w:r>
            <w:proofErr w:type="spellEnd"/>
            <w:r w:rsidRPr="007154EA">
              <w:rPr>
                <w:rFonts w:ascii="Times New Roman" w:eastAsia="Times New Roman" w:hAnsi="Times New Roman" w:cs="Times New Roman"/>
                <w:color w:val="000000"/>
                <w:sz w:val="16"/>
                <w:szCs w:val="16"/>
              </w:rPr>
              <w:t xml:space="preserve"> Europe</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Business Services</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1998</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Larson-</w:t>
            </w:r>
            <w:proofErr w:type="spellStart"/>
            <w:r w:rsidRPr="007154EA">
              <w:rPr>
                <w:rFonts w:ascii="Times New Roman" w:eastAsia="Times New Roman" w:hAnsi="Times New Roman" w:cs="Times New Roman"/>
                <w:color w:val="000000"/>
                <w:sz w:val="16"/>
                <w:szCs w:val="16"/>
              </w:rPr>
              <w:t>Juhl</w:t>
            </w:r>
            <w:proofErr w:type="spellEnd"/>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Furniture Related</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2001</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roofErr w:type="spellStart"/>
            <w:r w:rsidRPr="007154EA">
              <w:rPr>
                <w:rFonts w:ascii="Times New Roman" w:eastAsia="Times New Roman" w:hAnsi="Times New Roman" w:cs="Times New Roman"/>
                <w:color w:val="000000"/>
                <w:sz w:val="16"/>
                <w:szCs w:val="16"/>
              </w:rPr>
              <w:t>FlightSafety</w:t>
            </w:r>
            <w:proofErr w:type="spellEnd"/>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Business Services</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1997</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Nebraska Furniture Mart</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Furniture Related</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1983</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CTB Inc.</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Capital Goods</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2002</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RC Willey Home Furnishings</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Furniture Related</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1995</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Burlington Northern Santa Fe Corp.</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Railroads and Logistics</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2010</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Star Furniture</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Furniture Related</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1997</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Blue Chip Stamps</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Other</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1983</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Acme Brick Company</w:t>
            </w:r>
          </w:p>
        </w:tc>
        <w:tc>
          <w:tcPr>
            <w:tcW w:w="1772"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20" w:type="dxa"/>
            <w:tcBorders>
              <w:top w:val="single" w:sz="4" w:space="0" w:color="4F81BD"/>
              <w:left w:val="single" w:sz="4" w:space="0" w:color="4F81BD"/>
              <w:bottom w:val="single" w:sz="4" w:space="0" w:color="4F81BD"/>
              <w:right w:val="single" w:sz="12" w:space="0" w:color="auto"/>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2000</w:t>
            </w:r>
          </w:p>
        </w:tc>
        <w:tc>
          <w:tcPr>
            <w:tcW w:w="296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SE Homes</w:t>
            </w:r>
          </w:p>
        </w:tc>
        <w:tc>
          <w:tcPr>
            <w:tcW w:w="204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2007</w:t>
            </w:r>
          </w:p>
        </w:tc>
      </w:tr>
      <w:tr w:rsidR="007154EA" w:rsidRPr="007154EA" w:rsidTr="007154EA">
        <w:trPr>
          <w:trHeight w:val="300"/>
        </w:trPr>
        <w:tc>
          <w:tcPr>
            <w:tcW w:w="28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Benjamin Moore &amp; Co.</w:t>
            </w:r>
          </w:p>
        </w:tc>
        <w:tc>
          <w:tcPr>
            <w:tcW w:w="1772"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20" w:type="dxa"/>
            <w:tcBorders>
              <w:top w:val="single" w:sz="4" w:space="0" w:color="4F81BD"/>
              <w:left w:val="single" w:sz="4" w:space="0" w:color="4F81BD"/>
              <w:bottom w:val="single" w:sz="4" w:space="0" w:color="4F81BD"/>
              <w:right w:val="single" w:sz="12" w:space="0" w:color="auto"/>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2001</w:t>
            </w:r>
          </w:p>
        </w:tc>
        <w:tc>
          <w:tcPr>
            <w:tcW w:w="296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Cavalier Homes</w:t>
            </w:r>
          </w:p>
        </w:tc>
        <w:tc>
          <w:tcPr>
            <w:tcW w:w="204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Materials and Construction</w:t>
            </w:r>
          </w:p>
        </w:tc>
        <w:tc>
          <w:tcPr>
            <w:tcW w:w="1000" w:type="dxa"/>
            <w:tcBorders>
              <w:top w:val="nil"/>
              <w:left w:val="nil"/>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2008</w:t>
            </w:r>
          </w:p>
        </w:tc>
      </w:tr>
    </w:tbl>
    <w:p w:rsidR="00B44B32" w:rsidRDefault="00B44B32" w:rsidP="00280281"/>
    <w:p w:rsidR="007154EA" w:rsidRDefault="007154EA" w:rsidP="00280281"/>
    <w:p w:rsidR="007154EA" w:rsidRDefault="007154EA" w:rsidP="00280281"/>
    <w:tbl>
      <w:tblPr>
        <w:tblW w:w="7720" w:type="dxa"/>
        <w:tblInd w:w="93" w:type="dxa"/>
        <w:tblLook w:val="04A0" w:firstRow="1" w:lastRow="0" w:firstColumn="1" w:lastColumn="0" w:noHBand="0" w:noVBand="1"/>
      </w:tblPr>
      <w:tblGrid>
        <w:gridCol w:w="2520"/>
        <w:gridCol w:w="1700"/>
        <w:gridCol w:w="2320"/>
        <w:gridCol w:w="1180"/>
      </w:tblGrid>
      <w:tr w:rsidR="007154EA" w:rsidRPr="007154EA" w:rsidTr="007154EA">
        <w:trPr>
          <w:trHeight w:val="405"/>
        </w:trPr>
        <w:tc>
          <w:tcPr>
            <w:tcW w:w="2520" w:type="dxa"/>
            <w:tcBorders>
              <w:top w:val="nil"/>
              <w:left w:val="nil"/>
              <w:bottom w:val="single" w:sz="12" w:space="0" w:color="4F81BD"/>
              <w:right w:val="nil"/>
            </w:tcBorders>
            <w:shd w:val="clear" w:color="auto" w:fill="auto"/>
            <w:noWrap/>
            <w:vAlign w:val="bottom"/>
            <w:hideMark/>
          </w:tcPr>
          <w:p w:rsidR="007154EA" w:rsidRPr="007154EA" w:rsidRDefault="007154EA" w:rsidP="007154EA">
            <w:pPr>
              <w:spacing w:after="0" w:line="240" w:lineRule="auto"/>
              <w:rPr>
                <w:rFonts w:ascii="Calibri" w:eastAsia="Times New Roman" w:hAnsi="Calibri" w:cs="Calibri"/>
                <w:b/>
                <w:bCs/>
                <w:color w:val="1F497D"/>
                <w:sz w:val="30"/>
                <w:szCs w:val="30"/>
              </w:rPr>
            </w:pPr>
            <w:r w:rsidRPr="007154EA">
              <w:rPr>
                <w:rFonts w:ascii="Calibri" w:eastAsia="Times New Roman" w:hAnsi="Calibri" w:cs="Calibri"/>
                <w:b/>
                <w:bCs/>
                <w:color w:val="1F497D"/>
                <w:sz w:val="30"/>
                <w:szCs w:val="30"/>
              </w:rPr>
              <w:lastRenderedPageBreak/>
              <w:t>Significant Minority Holdings</w:t>
            </w:r>
          </w:p>
        </w:tc>
        <w:tc>
          <w:tcPr>
            <w:tcW w:w="170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
        </w:tc>
        <w:tc>
          <w:tcPr>
            <w:tcW w:w="232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
        </w:tc>
      </w:tr>
      <w:tr w:rsidR="007154EA" w:rsidRPr="007154EA" w:rsidTr="007154EA">
        <w:trPr>
          <w:trHeight w:val="435"/>
        </w:trPr>
        <w:tc>
          <w:tcPr>
            <w:tcW w:w="252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Company</w:t>
            </w:r>
          </w:p>
        </w:tc>
        <w:tc>
          <w:tcPr>
            <w:tcW w:w="170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Sector</w:t>
            </w:r>
          </w:p>
        </w:tc>
        <w:tc>
          <w:tcPr>
            <w:tcW w:w="232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Ownership %</w:t>
            </w:r>
          </w:p>
        </w:tc>
        <w:tc>
          <w:tcPr>
            <w:tcW w:w="1180" w:type="dxa"/>
            <w:tcBorders>
              <w:top w:val="single" w:sz="4" w:space="0" w:color="4F81BD"/>
              <w:left w:val="single" w:sz="4" w:space="0" w:color="4F81BD"/>
              <w:bottom w:val="single" w:sz="8" w:space="0" w:color="4F81BD"/>
              <w:right w:val="single" w:sz="4" w:space="0" w:color="4F81BD"/>
            </w:tcBorders>
            <w:shd w:val="clear" w:color="auto" w:fill="auto"/>
            <w:vAlign w:val="center"/>
            <w:hideMark/>
          </w:tcPr>
          <w:p w:rsidR="007154EA" w:rsidRPr="007154EA" w:rsidRDefault="007154EA" w:rsidP="007154EA">
            <w:pPr>
              <w:spacing w:after="0" w:line="240" w:lineRule="auto"/>
              <w:jc w:val="center"/>
              <w:rPr>
                <w:rFonts w:ascii="Times New Roman" w:eastAsia="Times New Roman" w:hAnsi="Times New Roman" w:cs="Times New Roman"/>
                <w:b/>
                <w:bCs/>
                <w:color w:val="000000"/>
                <w:sz w:val="16"/>
                <w:szCs w:val="16"/>
              </w:rPr>
            </w:pPr>
            <w:r w:rsidRPr="007154EA">
              <w:rPr>
                <w:rFonts w:ascii="Times New Roman" w:eastAsia="Times New Roman" w:hAnsi="Times New Roman" w:cs="Times New Roman"/>
                <w:b/>
                <w:bCs/>
                <w:color w:val="000000"/>
                <w:sz w:val="16"/>
                <w:szCs w:val="16"/>
              </w:rPr>
              <w:t xml:space="preserve">Acquisition </w:t>
            </w:r>
            <w:r w:rsidRPr="007154EA">
              <w:rPr>
                <w:rFonts w:ascii="Times New Roman" w:eastAsia="Times New Roman" w:hAnsi="Times New Roman" w:cs="Times New Roman"/>
                <w:b/>
                <w:bCs/>
                <w:color w:val="000000"/>
                <w:sz w:val="16"/>
                <w:szCs w:val="16"/>
              </w:rPr>
              <w:br/>
              <w:t>Date</w:t>
            </w: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American Express</w:t>
            </w:r>
          </w:p>
        </w:tc>
        <w:tc>
          <w:tcPr>
            <w:tcW w:w="17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23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13.10%</w:t>
            </w:r>
          </w:p>
        </w:tc>
        <w:tc>
          <w:tcPr>
            <w:tcW w:w="11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2005</w:t>
            </w: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M&amp;T Bank</w:t>
            </w:r>
          </w:p>
        </w:tc>
        <w:tc>
          <w:tcPr>
            <w:tcW w:w="17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Insurance and Finance</w:t>
            </w:r>
          </w:p>
        </w:tc>
        <w:tc>
          <w:tcPr>
            <w:tcW w:w="2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15.9% of common stock</w:t>
            </w:r>
          </w:p>
        </w:tc>
        <w:tc>
          <w:tcPr>
            <w:tcW w:w="11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Anheuser-Busch</w:t>
            </w:r>
          </w:p>
        </w:tc>
        <w:tc>
          <w:tcPr>
            <w:tcW w:w="17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Food and Beverage</w:t>
            </w:r>
          </w:p>
        </w:tc>
        <w:tc>
          <w:tcPr>
            <w:tcW w:w="23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9.80%</w:t>
            </w:r>
          </w:p>
        </w:tc>
        <w:tc>
          <w:tcPr>
            <w:tcW w:w="11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2005</w:t>
            </w: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The Coca-Cola Company</w:t>
            </w:r>
          </w:p>
        </w:tc>
        <w:tc>
          <w:tcPr>
            <w:tcW w:w="17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Food and Beverage</w:t>
            </w:r>
          </w:p>
        </w:tc>
        <w:tc>
          <w:tcPr>
            <w:tcW w:w="2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8.64%</w:t>
            </w:r>
          </w:p>
        </w:tc>
        <w:tc>
          <w:tcPr>
            <w:tcW w:w="11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2009</w:t>
            </w: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The Washington Post Company</w:t>
            </w:r>
          </w:p>
        </w:tc>
        <w:tc>
          <w:tcPr>
            <w:tcW w:w="17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Media</w:t>
            </w:r>
          </w:p>
        </w:tc>
        <w:tc>
          <w:tcPr>
            <w:tcW w:w="23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18.10%</w:t>
            </w:r>
          </w:p>
        </w:tc>
        <w:tc>
          <w:tcPr>
            <w:tcW w:w="11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2004</w:t>
            </w: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Procter &amp; Gamble</w:t>
            </w:r>
          </w:p>
        </w:tc>
        <w:tc>
          <w:tcPr>
            <w:tcW w:w="170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Consumer Goods</w:t>
            </w:r>
          </w:p>
        </w:tc>
        <w:tc>
          <w:tcPr>
            <w:tcW w:w="23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4.00%</w:t>
            </w:r>
          </w:p>
        </w:tc>
        <w:tc>
          <w:tcPr>
            <w:tcW w:w="118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2005</w:t>
            </w:r>
          </w:p>
        </w:tc>
      </w:tr>
      <w:tr w:rsidR="007154EA" w:rsidRPr="007154EA" w:rsidTr="007154EA">
        <w:trPr>
          <w:trHeight w:val="300"/>
        </w:trPr>
        <w:tc>
          <w:tcPr>
            <w:tcW w:w="25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IBM</w:t>
            </w:r>
          </w:p>
        </w:tc>
        <w:tc>
          <w:tcPr>
            <w:tcW w:w="170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Technology</w:t>
            </w:r>
          </w:p>
        </w:tc>
        <w:tc>
          <w:tcPr>
            <w:tcW w:w="23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5.50%</w:t>
            </w:r>
          </w:p>
        </w:tc>
        <w:tc>
          <w:tcPr>
            <w:tcW w:w="11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7154EA" w:rsidRPr="007154EA" w:rsidRDefault="007154EA" w:rsidP="007154EA">
            <w:pPr>
              <w:spacing w:after="0" w:line="240" w:lineRule="auto"/>
              <w:jc w:val="right"/>
              <w:rPr>
                <w:rFonts w:ascii="Times New Roman" w:eastAsia="Times New Roman" w:hAnsi="Times New Roman" w:cs="Times New Roman"/>
                <w:color w:val="000000"/>
                <w:sz w:val="16"/>
                <w:szCs w:val="16"/>
              </w:rPr>
            </w:pPr>
            <w:r w:rsidRPr="007154EA">
              <w:rPr>
                <w:rFonts w:ascii="Times New Roman" w:eastAsia="Times New Roman" w:hAnsi="Times New Roman" w:cs="Times New Roman"/>
                <w:color w:val="000000"/>
                <w:sz w:val="16"/>
                <w:szCs w:val="16"/>
              </w:rPr>
              <w:t>2012</w:t>
            </w:r>
          </w:p>
        </w:tc>
      </w:tr>
    </w:tbl>
    <w:p w:rsidR="00B44B32" w:rsidRDefault="00B44B32" w:rsidP="00280281"/>
    <w:p w:rsidR="005A5F0E" w:rsidRPr="007E78BD" w:rsidRDefault="007E78BD" w:rsidP="007E78BD">
      <w:pPr>
        <w:shd w:val="clear" w:color="auto" w:fill="002060"/>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Business Risks</w:t>
      </w:r>
    </w:p>
    <w:p w:rsidR="007E78BD" w:rsidRDefault="007E78BD" w:rsidP="000714EB"/>
    <w:p w:rsidR="005A5F0E" w:rsidRPr="007E78BD" w:rsidRDefault="005A5F0E" w:rsidP="000714EB">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 xml:space="preserve">There are a few business risks surrounding Berkshire Hathaway that are worth noting.  For one, Berkshire Hathaway is susceptible to laws and regulations.  Meaning the subsidiaries it invests in- or owns outright- are exposed to any new law passed or regulation imposed on a specific industry, potentially impacting the industry negatively.  </w:t>
      </w:r>
      <w:r w:rsidR="000714EB" w:rsidRPr="007E78BD">
        <w:rPr>
          <w:rFonts w:ascii="Times New Roman" w:hAnsi="Times New Roman" w:cs="Times New Roman"/>
          <w:color w:val="000000"/>
          <w:sz w:val="24"/>
          <w:szCs w:val="24"/>
          <w:shd w:val="clear" w:color="auto" w:fill="FDFDFD"/>
        </w:rPr>
        <w:t>Companies like MidAmerican Energy Holdings Company (utilities) or Burlington Northern Santa Fe Corp (railroad), constitute a significant portion of Berkshire’s holdings and large amounts of capital are therefore invested in them.  For instance, a new law was recently passed and is to be put in effect within the next couple of year, forcing all trains to have air brakes for safety precautions.  This law means an increase in spending for railroad companies and lower margins.</w:t>
      </w:r>
    </w:p>
    <w:p w:rsidR="002758F8" w:rsidRPr="007E78BD" w:rsidRDefault="000714EB" w:rsidP="007E78BD">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The s</w:t>
      </w:r>
      <w:r w:rsidRPr="007E78BD">
        <w:rPr>
          <w:rFonts w:ascii="Times New Roman" w:hAnsi="Times New Roman" w:cs="Times New Roman"/>
          <w:bCs/>
          <w:color w:val="000000"/>
          <w:sz w:val="24"/>
          <w:szCs w:val="24"/>
          <w:shd w:val="clear" w:color="auto" w:fill="FDFDFD"/>
        </w:rPr>
        <w:t>uccession at Berkshire Hathaway is, of course, probably the most significant risk.</w:t>
      </w:r>
      <w:r w:rsidRPr="007E78BD">
        <w:rPr>
          <w:rFonts w:ascii="Times New Roman" w:hAnsi="Times New Roman" w:cs="Times New Roman"/>
          <w:color w:val="000000"/>
          <w:sz w:val="24"/>
          <w:szCs w:val="24"/>
          <w:shd w:val="clear" w:color="auto" w:fill="FDFDFD"/>
        </w:rPr>
        <w:t>  According to the annual report, Buffett has indicated that he has selected a successor — but no name was given.  The question is</w:t>
      </w:r>
      <w:proofErr w:type="gramStart"/>
      <w:r w:rsidRPr="007E78BD">
        <w:rPr>
          <w:rFonts w:ascii="Times New Roman" w:hAnsi="Times New Roman" w:cs="Times New Roman"/>
          <w:color w:val="000000"/>
          <w:sz w:val="24"/>
          <w:szCs w:val="24"/>
          <w:shd w:val="clear" w:color="auto" w:fill="FDFDFD"/>
        </w:rPr>
        <w:t>,</w:t>
      </w:r>
      <w:proofErr w:type="gramEnd"/>
      <w:r w:rsidRPr="007E78BD">
        <w:rPr>
          <w:rFonts w:ascii="Times New Roman" w:hAnsi="Times New Roman" w:cs="Times New Roman"/>
          <w:color w:val="000000"/>
          <w:sz w:val="24"/>
          <w:szCs w:val="24"/>
          <w:shd w:val="clear" w:color="auto" w:fill="FDFDFD"/>
        </w:rPr>
        <w:t xml:space="preserve"> can Buffett just so easily be replaced?  Many investors invest with Berkshire simply because they outright trust Buffett to do right by their money.  The methodology </w:t>
      </w:r>
      <w:r w:rsidR="002758F8" w:rsidRPr="007E78BD">
        <w:rPr>
          <w:rFonts w:ascii="Times New Roman" w:hAnsi="Times New Roman" w:cs="Times New Roman"/>
          <w:color w:val="000000"/>
          <w:sz w:val="24"/>
          <w:szCs w:val="24"/>
          <w:shd w:val="clear" w:color="auto" w:fill="FDFDFD"/>
        </w:rPr>
        <w:t xml:space="preserve">of valuation practiced by Buffett and Charlie </w:t>
      </w:r>
      <w:proofErr w:type="spellStart"/>
      <w:r w:rsidR="002758F8" w:rsidRPr="007E78BD">
        <w:rPr>
          <w:rFonts w:ascii="Times New Roman" w:hAnsi="Times New Roman" w:cs="Times New Roman"/>
          <w:color w:val="000000"/>
          <w:sz w:val="24"/>
          <w:szCs w:val="24"/>
          <w:shd w:val="clear" w:color="auto" w:fill="FDFDFD"/>
        </w:rPr>
        <w:t>Munger</w:t>
      </w:r>
      <w:proofErr w:type="spellEnd"/>
      <w:r w:rsidR="002758F8" w:rsidRPr="007E78BD">
        <w:rPr>
          <w:rFonts w:ascii="Times New Roman" w:hAnsi="Times New Roman" w:cs="Times New Roman"/>
          <w:color w:val="000000"/>
          <w:sz w:val="24"/>
          <w:szCs w:val="24"/>
          <w:shd w:val="clear" w:color="auto" w:fill="FDFDFD"/>
        </w:rPr>
        <w:t xml:space="preserve"> is instilled at Berkshire Hathaway, and while we should be wary of an initial drop-off in stock price, the long term investing practice should be here to stay.</w:t>
      </w:r>
    </w:p>
    <w:p w:rsidR="002758F8" w:rsidRPr="007E78BD" w:rsidRDefault="002758F8" w:rsidP="007E78BD">
      <w:pPr>
        <w:rPr>
          <w:rFonts w:ascii="Times New Roman" w:hAnsi="Times New Roman" w:cs="Times New Roman"/>
          <w:color w:val="000000"/>
          <w:sz w:val="24"/>
          <w:szCs w:val="24"/>
          <w:shd w:val="clear" w:color="auto" w:fill="FDFDFD"/>
        </w:rPr>
      </w:pPr>
      <w:r w:rsidRPr="007E78BD">
        <w:rPr>
          <w:rFonts w:ascii="Times New Roman" w:hAnsi="Times New Roman" w:cs="Times New Roman"/>
          <w:bCs/>
          <w:color w:val="000000"/>
          <w:sz w:val="24"/>
          <w:szCs w:val="24"/>
          <w:shd w:val="clear" w:color="auto" w:fill="FDFDFD"/>
        </w:rPr>
        <w:t xml:space="preserve">The </w:t>
      </w:r>
      <w:r w:rsidR="000714EB" w:rsidRPr="007E78BD">
        <w:rPr>
          <w:rFonts w:ascii="Times New Roman" w:hAnsi="Times New Roman" w:cs="Times New Roman"/>
          <w:bCs/>
          <w:color w:val="000000"/>
          <w:sz w:val="24"/>
          <w:szCs w:val="24"/>
          <w:shd w:val="clear" w:color="auto" w:fill="FDFDFD"/>
        </w:rPr>
        <w:t>Real Estate</w:t>
      </w:r>
      <w:r w:rsidRPr="007E78BD">
        <w:rPr>
          <w:rFonts w:ascii="Times New Roman" w:hAnsi="Times New Roman" w:cs="Times New Roman"/>
          <w:bCs/>
          <w:color w:val="000000"/>
          <w:sz w:val="24"/>
          <w:szCs w:val="24"/>
          <w:shd w:val="clear" w:color="auto" w:fill="FDFDFD"/>
        </w:rPr>
        <w:t xml:space="preserve"> investments at Berkshire have been a dark spot on an otherwise clean slate.  The investments include</w:t>
      </w:r>
      <w:r w:rsidR="000714EB" w:rsidRPr="007E78BD">
        <w:rPr>
          <w:rFonts w:ascii="Times New Roman" w:hAnsi="Times New Roman" w:cs="Times New Roman"/>
          <w:color w:val="000000"/>
          <w:sz w:val="24"/>
          <w:szCs w:val="24"/>
          <w:shd w:val="clear" w:color="auto" w:fill="FDFDFD"/>
        </w:rPr>
        <w:t>: Clayton Homes, Acme</w:t>
      </w:r>
      <w:r w:rsidRPr="007E78BD">
        <w:rPr>
          <w:rFonts w:ascii="Times New Roman" w:hAnsi="Times New Roman" w:cs="Times New Roman"/>
          <w:color w:val="000000"/>
          <w:sz w:val="24"/>
          <w:szCs w:val="24"/>
          <w:shd w:val="clear" w:color="auto" w:fill="FDFDFD"/>
        </w:rPr>
        <w:t xml:space="preserve"> Brick, Shaw and Johns Manville- all </w:t>
      </w:r>
      <w:r w:rsidR="000714EB" w:rsidRPr="007E78BD">
        <w:rPr>
          <w:rFonts w:ascii="Times New Roman" w:hAnsi="Times New Roman" w:cs="Times New Roman"/>
          <w:color w:val="000000"/>
          <w:sz w:val="24"/>
          <w:szCs w:val="24"/>
          <w:shd w:val="clear" w:color="auto" w:fill="FDFDFD"/>
        </w:rPr>
        <w:t>major hindrance</w:t>
      </w:r>
      <w:r w:rsidRPr="007E78BD">
        <w:rPr>
          <w:rFonts w:ascii="Times New Roman" w:hAnsi="Times New Roman" w:cs="Times New Roman"/>
          <w:color w:val="000000"/>
          <w:sz w:val="24"/>
          <w:szCs w:val="24"/>
          <w:shd w:val="clear" w:color="auto" w:fill="FDFDFD"/>
        </w:rPr>
        <w:t>s to Berkshire.  Again, i</w:t>
      </w:r>
      <w:r w:rsidR="000714EB" w:rsidRPr="007E78BD">
        <w:rPr>
          <w:rFonts w:ascii="Times New Roman" w:hAnsi="Times New Roman" w:cs="Times New Roman"/>
          <w:color w:val="000000"/>
          <w:sz w:val="24"/>
          <w:szCs w:val="24"/>
          <w:shd w:val="clear" w:color="auto" w:fill="FDFDFD"/>
        </w:rPr>
        <w:t>n the annual letter, Buffett admitted that he was wrong in his prediction that the market would see an upturn in 2011. While he still is bullish, Buffett thinks it still might take time for things to return to normal.</w:t>
      </w:r>
      <w:r w:rsidRPr="007E78BD">
        <w:rPr>
          <w:rFonts w:ascii="Times New Roman" w:hAnsi="Times New Roman" w:cs="Times New Roman"/>
          <w:color w:val="000000"/>
          <w:sz w:val="24"/>
          <w:szCs w:val="24"/>
          <w:shd w:val="clear" w:color="auto" w:fill="FDFDFD"/>
        </w:rPr>
        <w:t xml:space="preserve">  As with anything, investments can be bad as well.  While they have yet to pay-off today, Buffett is optimistic about Real Estate in the future.</w:t>
      </w:r>
    </w:p>
    <w:p w:rsidR="002758F8" w:rsidRPr="007E78BD" w:rsidRDefault="002758F8" w:rsidP="007E78BD">
      <w:pPr>
        <w:rPr>
          <w:rFonts w:ascii="Times New Roman" w:hAnsi="Times New Roman" w:cs="Times New Roman"/>
          <w:color w:val="000000"/>
          <w:sz w:val="24"/>
          <w:szCs w:val="24"/>
          <w:shd w:val="clear" w:color="auto" w:fill="FDFDFD"/>
        </w:rPr>
      </w:pPr>
      <w:r w:rsidRPr="007E78BD">
        <w:rPr>
          <w:rFonts w:ascii="Times New Roman" w:hAnsi="Times New Roman" w:cs="Times New Roman"/>
          <w:bCs/>
          <w:color w:val="000000"/>
          <w:sz w:val="24"/>
          <w:szCs w:val="24"/>
          <w:shd w:val="clear" w:color="auto" w:fill="FDFDFD"/>
        </w:rPr>
        <w:t xml:space="preserve">Berkshire’s cash machine, the money it uses to finance its investments, comes from its insurance part of the business.  Just as with any insurance company, and particularly with Berkshire due to it being mainly invested in catastrophic losses, whenever there is a catastrophe (earthquake, hurricane, tsunami, </w:t>
      </w:r>
      <w:proofErr w:type="spellStart"/>
      <w:r w:rsidRPr="007E78BD">
        <w:rPr>
          <w:rFonts w:ascii="Times New Roman" w:hAnsi="Times New Roman" w:cs="Times New Roman"/>
          <w:bCs/>
          <w:color w:val="000000"/>
          <w:sz w:val="24"/>
          <w:szCs w:val="24"/>
          <w:shd w:val="clear" w:color="auto" w:fill="FDFDFD"/>
        </w:rPr>
        <w:t>etc</w:t>
      </w:r>
      <w:proofErr w:type="spellEnd"/>
      <w:r w:rsidRPr="007E78BD">
        <w:rPr>
          <w:rFonts w:ascii="Times New Roman" w:hAnsi="Times New Roman" w:cs="Times New Roman"/>
          <w:bCs/>
          <w:color w:val="000000"/>
          <w:sz w:val="24"/>
          <w:szCs w:val="24"/>
          <w:shd w:val="clear" w:color="auto" w:fill="FDFDFD"/>
        </w:rPr>
        <w:t xml:space="preserve">), there will be losses.  </w:t>
      </w:r>
      <w:r w:rsidR="000714EB" w:rsidRPr="007E78BD">
        <w:rPr>
          <w:rFonts w:ascii="Times New Roman" w:hAnsi="Times New Roman" w:cs="Times New Roman"/>
          <w:color w:val="000000"/>
          <w:sz w:val="24"/>
          <w:szCs w:val="24"/>
          <w:shd w:val="clear" w:color="auto" w:fill="FDFDFD"/>
        </w:rPr>
        <w:t xml:space="preserve">So long as the company still has strong risk management, the returns can be attractive. But Mother Nature can be brutal, as evidenced </w:t>
      </w:r>
      <w:r w:rsidR="000714EB" w:rsidRPr="007E78BD">
        <w:rPr>
          <w:rFonts w:ascii="Times New Roman" w:hAnsi="Times New Roman" w:cs="Times New Roman"/>
          <w:color w:val="000000"/>
          <w:sz w:val="24"/>
          <w:szCs w:val="24"/>
          <w:shd w:val="clear" w:color="auto" w:fill="FDFDFD"/>
        </w:rPr>
        <w:lastRenderedPageBreak/>
        <w:t>by the Japanese earthquake and tsunami.</w:t>
      </w:r>
      <w:r w:rsidRPr="007E78BD">
        <w:rPr>
          <w:rFonts w:ascii="Times New Roman" w:hAnsi="Times New Roman" w:cs="Times New Roman"/>
          <w:color w:val="000000"/>
          <w:sz w:val="24"/>
          <w:szCs w:val="24"/>
          <w:shd w:val="clear" w:color="auto" w:fill="FDFDFD"/>
        </w:rPr>
        <w:t xml:space="preserve">  These events are for the most part unpredictable.  If there are floods, we hope the company stays above water, however.</w:t>
      </w:r>
    </w:p>
    <w:p w:rsidR="005A5F0E" w:rsidRDefault="000714EB" w:rsidP="005A5F0E">
      <w:pPr>
        <w:rPr>
          <w:rFonts w:ascii="Times New Roman" w:hAnsi="Times New Roman" w:cs="Times New Roman"/>
          <w:color w:val="000000"/>
          <w:sz w:val="24"/>
          <w:szCs w:val="24"/>
          <w:shd w:val="clear" w:color="auto" w:fill="FDFDFD"/>
        </w:rPr>
      </w:pPr>
      <w:r w:rsidRPr="007E78BD">
        <w:rPr>
          <w:rFonts w:ascii="Times New Roman" w:hAnsi="Times New Roman" w:cs="Times New Roman"/>
          <w:color w:val="000000"/>
          <w:sz w:val="24"/>
          <w:szCs w:val="24"/>
          <w:shd w:val="clear" w:color="auto" w:fill="FDFDFD"/>
        </w:rPr>
        <w:t>Lastly, the idea of aggregation risk exists as well.  These are</w:t>
      </w:r>
      <w:r w:rsidR="005A5F0E" w:rsidRPr="007E78BD">
        <w:rPr>
          <w:rFonts w:ascii="Times New Roman" w:hAnsi="Times New Roman" w:cs="Times New Roman"/>
          <w:color w:val="000000"/>
          <w:sz w:val="24"/>
          <w:szCs w:val="24"/>
          <w:shd w:val="clear" w:color="auto" w:fill="FDFDFD"/>
        </w:rPr>
        <w:t xml:space="preserve"> diverse companies all under one roof </w:t>
      </w:r>
      <w:r w:rsidRPr="007E78BD">
        <w:rPr>
          <w:rFonts w:ascii="Times New Roman" w:hAnsi="Times New Roman" w:cs="Times New Roman"/>
          <w:color w:val="000000"/>
          <w:sz w:val="24"/>
          <w:szCs w:val="24"/>
          <w:shd w:val="clear" w:color="auto" w:fill="FDFDFD"/>
        </w:rPr>
        <w:t xml:space="preserve">and this </w:t>
      </w:r>
      <w:r w:rsidR="005A5F0E" w:rsidRPr="007E78BD">
        <w:rPr>
          <w:rFonts w:ascii="Times New Roman" w:hAnsi="Times New Roman" w:cs="Times New Roman"/>
          <w:color w:val="000000"/>
          <w:sz w:val="24"/>
          <w:szCs w:val="24"/>
          <w:shd w:val="clear" w:color="auto" w:fill="FDFDFD"/>
        </w:rPr>
        <w:t>can create unforeseen consequences</w:t>
      </w:r>
      <w:r w:rsidRPr="007E78BD">
        <w:rPr>
          <w:rFonts w:ascii="Times New Roman" w:hAnsi="Times New Roman" w:cs="Times New Roman"/>
          <w:color w:val="000000"/>
          <w:sz w:val="24"/>
          <w:szCs w:val="24"/>
          <w:shd w:val="clear" w:color="auto" w:fill="FDFDFD"/>
        </w:rPr>
        <w:t>.  It would be rare that all these companies preform exceptionally well each day and how they rely on one another and move with the market is of course always something to keep an eye on.</w:t>
      </w:r>
    </w:p>
    <w:p w:rsidR="007E78BD" w:rsidRPr="007E78BD" w:rsidRDefault="007E78BD" w:rsidP="005A5F0E">
      <w:pPr>
        <w:rPr>
          <w:rFonts w:ascii="Times New Roman" w:hAnsi="Times New Roman" w:cs="Times New Roman"/>
          <w:color w:val="000000"/>
          <w:sz w:val="24"/>
          <w:szCs w:val="24"/>
          <w:shd w:val="clear" w:color="auto" w:fill="FDFDFD"/>
        </w:rPr>
      </w:pPr>
    </w:p>
    <w:p w:rsidR="00B44B32" w:rsidRPr="007E78BD" w:rsidRDefault="007E78BD" w:rsidP="007E78BD">
      <w:pPr>
        <w:shd w:val="clear" w:color="auto" w:fill="002060"/>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Selected Financial Data</w:t>
      </w:r>
    </w:p>
    <w:tbl>
      <w:tblPr>
        <w:tblW w:w="12849" w:type="dxa"/>
        <w:tblInd w:w="93" w:type="dxa"/>
        <w:tblLook w:val="04A0" w:firstRow="1" w:lastRow="0" w:firstColumn="1" w:lastColumn="0" w:noHBand="0" w:noVBand="1"/>
      </w:tblPr>
      <w:tblGrid>
        <w:gridCol w:w="3160"/>
        <w:gridCol w:w="275"/>
        <w:gridCol w:w="960"/>
        <w:gridCol w:w="960"/>
        <w:gridCol w:w="960"/>
        <w:gridCol w:w="960"/>
        <w:gridCol w:w="960"/>
        <w:gridCol w:w="960"/>
        <w:gridCol w:w="960"/>
        <w:gridCol w:w="960"/>
        <w:gridCol w:w="960"/>
        <w:gridCol w:w="960"/>
      </w:tblGrid>
      <w:tr w:rsidR="00B44B32" w:rsidRPr="00B44B32" w:rsidTr="00B44B32">
        <w:trPr>
          <w:trHeight w:val="360"/>
        </w:trPr>
        <w:tc>
          <w:tcPr>
            <w:tcW w:w="31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Year over Year Growth (%)</w:t>
            </w:r>
          </w:p>
        </w:tc>
        <w:tc>
          <w:tcPr>
            <w:tcW w:w="89"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r>
      <w:tr w:rsidR="00B44B32" w:rsidRPr="00B44B32" w:rsidTr="00B44B32">
        <w:trPr>
          <w:trHeight w:val="315"/>
        </w:trPr>
        <w:tc>
          <w:tcPr>
            <w:tcW w:w="3160" w:type="dxa"/>
            <w:tcBorders>
              <w:top w:val="nil"/>
              <w:left w:val="single" w:sz="4" w:space="0" w:color="auto"/>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89"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2003</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2004</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2005</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2006</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2007</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2008</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2009</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2010</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2011</w:t>
            </w:r>
          </w:p>
        </w:tc>
        <w:tc>
          <w:tcPr>
            <w:tcW w:w="960" w:type="dxa"/>
            <w:tcBorders>
              <w:top w:val="nil"/>
              <w:left w:val="nil"/>
              <w:bottom w:val="single" w:sz="4" w:space="0" w:color="auto"/>
              <w:right w:val="single" w:sz="4" w:space="0" w:color="auto"/>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2012</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Revenue</w:t>
            </w:r>
          </w:p>
        </w:tc>
        <w:tc>
          <w:tcPr>
            <w:tcW w:w="89"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50.78%</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16.48%</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9.79%</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20.67%</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20.00%</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-8.85%</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4.37%</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21.06%</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5.51%</w:t>
            </w:r>
          </w:p>
        </w:tc>
        <w:tc>
          <w:tcPr>
            <w:tcW w:w="960" w:type="dxa"/>
            <w:tcBorders>
              <w:top w:val="nil"/>
              <w:left w:val="nil"/>
              <w:bottom w:val="nil"/>
              <w:right w:val="single" w:sz="4" w:space="0" w:color="auto"/>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8.36%</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Income before Income Taxes</w:t>
            </w:r>
          </w:p>
        </w:tc>
        <w:tc>
          <w:tcPr>
            <w:tcW w:w="89"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86.79%</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-9.02%</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12.18%</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36.76%</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20.16%</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-62.43%</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52.52%</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64.92%</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-19.62%</w:t>
            </w:r>
          </w:p>
        </w:tc>
        <w:tc>
          <w:tcPr>
            <w:tcW w:w="960" w:type="dxa"/>
            <w:tcBorders>
              <w:top w:val="nil"/>
              <w:left w:val="nil"/>
              <w:bottom w:val="nil"/>
              <w:right w:val="single" w:sz="4" w:space="0" w:color="auto"/>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30.17%</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Net Income</w:t>
            </w:r>
          </w:p>
        </w:tc>
        <w:tc>
          <w:tcPr>
            <w:tcW w:w="89"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90.18%</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-10.34%</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16.69%</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29.16%</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19.95%</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-62.20%</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61.29%</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60.98%</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-20.92%</w:t>
            </w:r>
          </w:p>
        </w:tc>
        <w:tc>
          <w:tcPr>
            <w:tcW w:w="960" w:type="dxa"/>
            <w:tcBorders>
              <w:top w:val="nil"/>
              <w:left w:val="nil"/>
              <w:bottom w:val="nil"/>
              <w:right w:val="single" w:sz="4" w:space="0" w:color="auto"/>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29.91%</w:t>
            </w:r>
          </w:p>
        </w:tc>
      </w:tr>
      <w:tr w:rsidR="00B44B32" w:rsidRPr="00B44B32" w:rsidTr="00B44B32">
        <w:trPr>
          <w:trHeight w:val="300"/>
        </w:trPr>
        <w:tc>
          <w:tcPr>
            <w:tcW w:w="3160" w:type="dxa"/>
            <w:tcBorders>
              <w:top w:val="nil"/>
              <w:left w:val="single" w:sz="4" w:space="0" w:color="auto"/>
              <w:bottom w:val="single" w:sz="4" w:space="0" w:color="auto"/>
              <w:right w:val="single" w:sz="4" w:space="0" w:color="auto"/>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EPS</w:t>
            </w:r>
          </w:p>
        </w:tc>
        <w:tc>
          <w:tcPr>
            <w:tcW w:w="89"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89.80%</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-10.48%</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16.52%</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28.87%</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19.60%</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-62.21%</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61.06%</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52.47%</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-21.62%</w:t>
            </w:r>
          </w:p>
        </w:tc>
        <w:tc>
          <w:tcPr>
            <w:tcW w:w="960" w:type="dxa"/>
            <w:tcBorders>
              <w:top w:val="nil"/>
              <w:left w:val="nil"/>
              <w:bottom w:val="single" w:sz="4" w:space="0" w:color="auto"/>
              <w:right w:val="single" w:sz="4" w:space="0" w:color="auto"/>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29.89%</w:t>
            </w:r>
          </w:p>
        </w:tc>
      </w:tr>
      <w:tr w:rsidR="00B44B32" w:rsidRPr="00B44B32" w:rsidTr="00B44B32">
        <w:trPr>
          <w:trHeight w:val="300"/>
        </w:trPr>
        <w:tc>
          <w:tcPr>
            <w:tcW w:w="31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89"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r>
      <w:tr w:rsidR="00B44B32" w:rsidRPr="00B44B32" w:rsidTr="00B44B32">
        <w:trPr>
          <w:trHeight w:val="300"/>
        </w:trPr>
        <w:tc>
          <w:tcPr>
            <w:tcW w:w="31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89"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r>
      <w:tr w:rsidR="00B44B32" w:rsidRPr="00B44B32" w:rsidTr="00B44B32">
        <w:trPr>
          <w:trHeight w:val="300"/>
        </w:trPr>
        <w:tc>
          <w:tcPr>
            <w:tcW w:w="31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89"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color w:val="000000"/>
              </w:rPr>
            </w:pPr>
          </w:p>
        </w:tc>
      </w:tr>
      <w:tr w:rsidR="00B44B32" w:rsidRPr="00B44B32" w:rsidTr="00B44B32">
        <w:trPr>
          <w:trHeight w:val="360"/>
        </w:trPr>
        <w:tc>
          <w:tcPr>
            <w:tcW w:w="31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Profitability Ratios</w:t>
            </w:r>
          </w:p>
        </w:tc>
        <w:tc>
          <w:tcPr>
            <w:tcW w:w="89"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c>
          <w:tcPr>
            <w:tcW w:w="960" w:type="dxa"/>
            <w:tcBorders>
              <w:top w:val="nil"/>
              <w:left w:val="nil"/>
              <w:bottom w:val="single" w:sz="12" w:space="0" w:color="A7BFDE"/>
              <w:right w:val="nil"/>
            </w:tcBorders>
            <w:shd w:val="clear" w:color="auto" w:fill="auto"/>
            <w:noWrap/>
            <w:vAlign w:val="bottom"/>
            <w:hideMark/>
          </w:tcPr>
          <w:p w:rsidR="00B44B32" w:rsidRPr="00B44B32" w:rsidRDefault="00B44B32" w:rsidP="00B44B32">
            <w:pPr>
              <w:spacing w:after="0" w:line="240" w:lineRule="auto"/>
              <w:rPr>
                <w:rFonts w:ascii="Calibri" w:eastAsia="Times New Roman" w:hAnsi="Calibri" w:cs="Calibri"/>
                <w:b/>
                <w:bCs/>
                <w:color w:val="1F497D"/>
                <w:sz w:val="26"/>
                <w:szCs w:val="26"/>
              </w:rPr>
            </w:pPr>
            <w:r w:rsidRPr="00B44B32">
              <w:rPr>
                <w:rFonts w:ascii="Calibri" w:eastAsia="Times New Roman" w:hAnsi="Calibri" w:cs="Calibri"/>
                <w:b/>
                <w:bCs/>
                <w:color w:val="1F497D"/>
                <w:sz w:val="26"/>
                <w:szCs w:val="26"/>
              </w:rPr>
              <w:t> </w:t>
            </w:r>
          </w:p>
        </w:tc>
      </w:tr>
      <w:tr w:rsidR="00B44B32" w:rsidRPr="00B44B32" w:rsidTr="00B44B32">
        <w:trPr>
          <w:trHeight w:val="315"/>
        </w:trPr>
        <w:tc>
          <w:tcPr>
            <w:tcW w:w="3160" w:type="dxa"/>
            <w:tcBorders>
              <w:top w:val="nil"/>
              <w:left w:val="single" w:sz="4" w:space="0" w:color="auto"/>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89"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2003</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2004</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2005</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2006</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2007</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2008</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2009</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2010</w:t>
            </w:r>
          </w:p>
        </w:tc>
        <w:tc>
          <w:tcPr>
            <w:tcW w:w="960" w:type="dxa"/>
            <w:tcBorders>
              <w:top w:val="nil"/>
              <w:left w:val="nil"/>
              <w:bottom w:val="single" w:sz="4" w:space="0" w:color="auto"/>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2011</w:t>
            </w:r>
          </w:p>
        </w:tc>
        <w:tc>
          <w:tcPr>
            <w:tcW w:w="960" w:type="dxa"/>
            <w:tcBorders>
              <w:top w:val="nil"/>
              <w:left w:val="nil"/>
              <w:bottom w:val="single" w:sz="4" w:space="0" w:color="auto"/>
              <w:right w:val="single" w:sz="4" w:space="0" w:color="auto"/>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2012</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Net Margin (%)</w:t>
            </w:r>
          </w:p>
        </w:tc>
        <w:tc>
          <w:tcPr>
            <w:tcW w:w="89"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12.76%</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9.83%</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10.44%</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11.18%</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11.17%</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4.63%</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7.16%</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9.52%</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7.14%</w:t>
            </w:r>
          </w:p>
        </w:tc>
        <w:tc>
          <w:tcPr>
            <w:tcW w:w="960" w:type="dxa"/>
            <w:tcBorders>
              <w:top w:val="nil"/>
              <w:left w:val="nil"/>
              <w:bottom w:val="nil"/>
              <w:right w:val="single" w:sz="4" w:space="0" w:color="auto"/>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8.56%</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Asset Turnover (Average)</w:t>
            </w:r>
          </w:p>
        </w:tc>
        <w:tc>
          <w:tcPr>
            <w:tcW w:w="89"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0.36</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0.40</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0.42</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0.44</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0.45</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0.40</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0.40</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0.41</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0.38</w:t>
            </w:r>
          </w:p>
        </w:tc>
        <w:tc>
          <w:tcPr>
            <w:tcW w:w="960" w:type="dxa"/>
            <w:tcBorders>
              <w:top w:val="nil"/>
              <w:left w:val="nil"/>
              <w:bottom w:val="nil"/>
              <w:right w:val="single" w:sz="4" w:space="0" w:color="auto"/>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0.38</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Return on Asset (%)</w:t>
            </w:r>
          </w:p>
        </w:tc>
        <w:tc>
          <w:tcPr>
            <w:tcW w:w="89"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4.66%</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3.96%</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4.41%</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4.93%</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5.07%</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1.85%</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2.85%</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3.87%</w:t>
            </w:r>
          </w:p>
        </w:tc>
        <w:tc>
          <w:tcPr>
            <w:tcW w:w="960" w:type="dxa"/>
            <w:tcBorders>
              <w:top w:val="nil"/>
              <w:left w:val="nil"/>
              <w:bottom w:val="nil"/>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2.68%</w:t>
            </w:r>
          </w:p>
        </w:tc>
        <w:tc>
          <w:tcPr>
            <w:tcW w:w="960" w:type="dxa"/>
            <w:tcBorders>
              <w:top w:val="nil"/>
              <w:left w:val="nil"/>
              <w:bottom w:val="nil"/>
              <w:right w:val="single" w:sz="4" w:space="0" w:color="auto"/>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3.29%</w:t>
            </w:r>
          </w:p>
        </w:tc>
      </w:tr>
      <w:tr w:rsidR="00B44B32" w:rsidRPr="00B44B32" w:rsidTr="00B44B32">
        <w:trPr>
          <w:trHeight w:val="300"/>
        </w:trPr>
        <w:tc>
          <w:tcPr>
            <w:tcW w:w="3160" w:type="dxa"/>
            <w:tcBorders>
              <w:top w:val="nil"/>
              <w:left w:val="single" w:sz="4" w:space="0" w:color="auto"/>
              <w:bottom w:val="nil"/>
              <w:right w:val="single" w:sz="4" w:space="0" w:color="auto"/>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Return on Equity (%)</w:t>
            </w:r>
          </w:p>
        </w:tc>
        <w:tc>
          <w:tcPr>
            <w:tcW w:w="89"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11.51%</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8.94%</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9.62%</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11.02%</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11.53%</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4.34%</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6.70%</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8.99%</w:t>
            </w:r>
          </w:p>
        </w:tc>
        <w:tc>
          <w:tcPr>
            <w:tcW w:w="960" w:type="dxa"/>
            <w:tcBorders>
              <w:top w:val="nil"/>
              <w:left w:val="nil"/>
              <w:bottom w:val="nil"/>
              <w:right w:val="nil"/>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6.37%</w:t>
            </w:r>
          </w:p>
        </w:tc>
        <w:tc>
          <w:tcPr>
            <w:tcW w:w="960" w:type="dxa"/>
            <w:tcBorders>
              <w:top w:val="nil"/>
              <w:left w:val="nil"/>
              <w:bottom w:val="nil"/>
              <w:right w:val="single" w:sz="4" w:space="0" w:color="auto"/>
            </w:tcBorders>
            <w:shd w:val="clear" w:color="000000" w:fill="B8CCE4"/>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7.73%</w:t>
            </w:r>
          </w:p>
        </w:tc>
      </w:tr>
      <w:tr w:rsidR="00B44B32" w:rsidRPr="00B44B32" w:rsidTr="00B44B32">
        <w:trPr>
          <w:trHeight w:val="300"/>
        </w:trPr>
        <w:tc>
          <w:tcPr>
            <w:tcW w:w="3160" w:type="dxa"/>
            <w:tcBorders>
              <w:top w:val="nil"/>
              <w:left w:val="single" w:sz="4" w:space="0" w:color="auto"/>
              <w:bottom w:val="single" w:sz="4" w:space="0" w:color="auto"/>
              <w:right w:val="single" w:sz="4" w:space="0" w:color="auto"/>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Return on Invested Capital (%)</w:t>
            </w:r>
          </w:p>
        </w:tc>
        <w:tc>
          <w:tcPr>
            <w:tcW w:w="89"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rPr>
                <w:rFonts w:ascii="Calibri" w:eastAsia="Times New Roman" w:hAnsi="Calibri" w:cs="Calibri"/>
                <w:color w:val="000000"/>
              </w:rPr>
            </w:pPr>
            <w:r w:rsidRPr="00B44B32">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10.19%</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8.06%</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8.50%</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8.92%</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8.94%</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3.32%</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5.11%</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6.74%</w:t>
            </w:r>
          </w:p>
        </w:tc>
        <w:tc>
          <w:tcPr>
            <w:tcW w:w="960" w:type="dxa"/>
            <w:tcBorders>
              <w:top w:val="nil"/>
              <w:left w:val="nil"/>
              <w:bottom w:val="single" w:sz="4" w:space="0" w:color="auto"/>
              <w:right w:val="nil"/>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4.65%</w:t>
            </w:r>
          </w:p>
        </w:tc>
        <w:tc>
          <w:tcPr>
            <w:tcW w:w="960" w:type="dxa"/>
            <w:tcBorders>
              <w:top w:val="nil"/>
              <w:left w:val="nil"/>
              <w:bottom w:val="single" w:sz="4" w:space="0" w:color="auto"/>
              <w:right w:val="single" w:sz="4" w:space="0" w:color="auto"/>
            </w:tcBorders>
            <w:shd w:val="clear" w:color="000000" w:fill="FFFFFF"/>
            <w:noWrap/>
            <w:vAlign w:val="bottom"/>
            <w:hideMark/>
          </w:tcPr>
          <w:p w:rsidR="00B44B32" w:rsidRPr="00B44B32" w:rsidRDefault="00B44B32" w:rsidP="00B44B32">
            <w:pPr>
              <w:spacing w:after="0" w:line="240" w:lineRule="auto"/>
              <w:jc w:val="right"/>
              <w:rPr>
                <w:rFonts w:ascii="Calibri" w:eastAsia="Times New Roman" w:hAnsi="Calibri" w:cs="Calibri"/>
                <w:color w:val="000000"/>
              </w:rPr>
            </w:pPr>
            <w:r w:rsidRPr="00B44B32">
              <w:rPr>
                <w:rFonts w:ascii="Calibri" w:eastAsia="Times New Roman" w:hAnsi="Calibri" w:cs="Calibri"/>
                <w:color w:val="000000"/>
              </w:rPr>
              <w:t>5.70%</w:t>
            </w:r>
          </w:p>
        </w:tc>
      </w:tr>
    </w:tbl>
    <w:p w:rsidR="00B44B32" w:rsidRDefault="00B44B32" w:rsidP="005A5F0E"/>
    <w:p w:rsidR="002863B3" w:rsidRDefault="002863B3" w:rsidP="005A5F0E"/>
    <w:p w:rsidR="002863B3" w:rsidRDefault="002863B3" w:rsidP="005A5F0E"/>
    <w:p w:rsidR="002863B3" w:rsidRDefault="002863B3" w:rsidP="005A5F0E"/>
    <w:p w:rsidR="002863B3" w:rsidRDefault="002863B3" w:rsidP="005A5F0E"/>
    <w:p w:rsidR="005A5F0E" w:rsidRDefault="005A5F0E" w:rsidP="005A5F0E"/>
    <w:p w:rsidR="005A5F0E" w:rsidRPr="007E78BD" w:rsidRDefault="002758F8" w:rsidP="007E78BD">
      <w:pPr>
        <w:shd w:val="clear" w:color="auto" w:fill="002060"/>
        <w:jc w:val="center"/>
        <w:rPr>
          <w:rFonts w:ascii="Times New Roman" w:hAnsi="Times New Roman" w:cs="Times New Roman"/>
          <w:b/>
          <w:color w:val="FFFFFF" w:themeColor="background1"/>
          <w:sz w:val="32"/>
          <w:szCs w:val="32"/>
        </w:rPr>
      </w:pPr>
      <w:r w:rsidRPr="007E78BD">
        <w:rPr>
          <w:rFonts w:ascii="Times New Roman" w:hAnsi="Times New Roman" w:cs="Times New Roman"/>
          <w:b/>
          <w:color w:val="FFFFFF" w:themeColor="background1"/>
          <w:sz w:val="32"/>
          <w:szCs w:val="32"/>
        </w:rPr>
        <w:lastRenderedPageBreak/>
        <w:t>Valuation and Investment Thesis</w:t>
      </w:r>
    </w:p>
    <w:p w:rsidR="002758F8" w:rsidRDefault="002758F8" w:rsidP="005A5F0E"/>
    <w:p w:rsidR="002758F8" w:rsidRDefault="002758F8" w:rsidP="005A5F0E">
      <w:r>
        <w:t xml:space="preserve">Berkshire Hathaway Common Stock Class B shares currently (11/21/12) trade at 87.58 with a book value of 78.55.  That is </w:t>
      </w:r>
      <w:proofErr w:type="gramStart"/>
      <w:r w:rsidR="00680F5D">
        <w:t>1.1x book value</w:t>
      </w:r>
      <w:proofErr w:type="gramEnd"/>
      <w:r w:rsidR="00680F5D">
        <w:t>.  Historically Berkshire has always traded at 1.6x book value.  When a stock trades at essentially 1x book value</w:t>
      </w:r>
      <w:r w:rsidR="003C36A9">
        <w:t>, which it currently is</w:t>
      </w:r>
      <w:r w:rsidR="00680F5D">
        <w:t xml:space="preserve">, what that essentially says is Berkshire is earning just the cost of capital and the market is giving it no benefit for future growth.  Said another way, the market has placed no value in Berkshire and the companies it owns (like General Re and Dairy Queen) and its portfolio (containing the like </w:t>
      </w:r>
      <w:r w:rsidR="003C36A9">
        <w:t>of Coke and IBM) have</w:t>
      </w:r>
      <w:r w:rsidR="00680F5D">
        <w:t xml:space="preserve"> 0% growth for the future</w:t>
      </w:r>
      <w:r w:rsidR="003C36A9">
        <w:t>.</w:t>
      </w:r>
      <w:r w:rsidR="00680F5D">
        <w:t xml:space="preserve"> </w:t>
      </w:r>
      <w:r w:rsidR="00543F53">
        <w:t xml:space="preserve">Buffett in his last letter to the shareholders stated he thought the stock was undervalued and subsequently purchased $67 million worth in a stock buyback.  </w:t>
      </w:r>
    </w:p>
    <w:p w:rsidR="00680F5D" w:rsidRDefault="00543F53" w:rsidP="005A5F0E">
      <w:r>
        <w:t>What further prompted this investment is that t</w:t>
      </w:r>
      <w:r w:rsidR="00680F5D">
        <w:t>he fiscal cliff is approaching and what Buffett has done is stockpiled nearly $50 billion in cash.  He is ready to pounce on stocks as investors begin to sell them off in an attempt to avoid capital gains tax hikes after the end of this year.  There will be undervalued stocks and companies in the market and Berkshire has enough cash on hand to buy anything it so desires.</w:t>
      </w:r>
    </w:p>
    <w:p w:rsidR="002863B3" w:rsidRDefault="002863B3" w:rsidP="005A5F0E">
      <w:r>
        <w:t>Berkshire continues to expand while taking on little to no debt, in large part due to the fact that it is able to finance its own acquisitions through the cash fl</w:t>
      </w:r>
      <w:r w:rsidR="00CD321E">
        <w:t>ows of its insurance companies.</w:t>
      </w:r>
    </w:p>
    <w:tbl>
      <w:tblPr>
        <w:tblW w:w="8250" w:type="dxa"/>
        <w:tblCellSpacing w:w="0" w:type="dxa"/>
        <w:shd w:val="clear" w:color="auto" w:fill="FFFFFF"/>
        <w:tblCellMar>
          <w:left w:w="0" w:type="dxa"/>
          <w:right w:w="0" w:type="dxa"/>
        </w:tblCellMar>
        <w:tblLook w:val="04A0" w:firstRow="1" w:lastRow="0" w:firstColumn="1" w:lastColumn="0" w:noHBand="0" w:noVBand="1"/>
      </w:tblPr>
      <w:tblGrid>
        <w:gridCol w:w="1072"/>
        <w:gridCol w:w="1072"/>
        <w:gridCol w:w="1072"/>
        <w:gridCol w:w="1072"/>
        <w:gridCol w:w="1073"/>
        <w:gridCol w:w="1073"/>
        <w:gridCol w:w="1073"/>
        <w:gridCol w:w="743"/>
      </w:tblGrid>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Year</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1250" w:type="pct"/>
            <w:gridSpan w:val="2"/>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Book Value</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Price</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1250" w:type="pct"/>
            <w:gridSpan w:val="2"/>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P/Book Value</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2010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95,453</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119,100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1.25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84,487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99,200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1.17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70,530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96,600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1.37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78,008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141,600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1.82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70,281</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109,990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1.57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59,377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88,620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1.49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55,824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87,900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1.57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2003</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50,498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84,250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1.67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41,727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72,690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1.74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2001</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37,920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75,600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40,442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71,000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1.76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37,987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56,100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1.48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37,801</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70,000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1.85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25,488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46,000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19,011</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34,100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1.79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14,426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32,100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2.23</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10,083</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20,400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1993</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8,854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16,325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1.84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7,745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11,750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1.52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1991</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6,437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9,050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1.41</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1990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4,612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6,675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1.45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1989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4,296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8,675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2.02</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1988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2,975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4,700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1.58</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1987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2,477</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2,950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1.19</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1986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2,073</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2,870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1.36</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1985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1,644</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2,470</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1.5</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8"/>
                <w:szCs w:val="18"/>
              </w:rPr>
            </w:pPr>
            <w:r w:rsidRPr="002863B3">
              <w:rPr>
                <w:rFonts w:ascii="Georgia" w:eastAsia="Times New Roman" w:hAnsi="Georgia" w:cs="Times New Roman"/>
                <w:color w:val="1D1C1B"/>
                <w:sz w:val="18"/>
                <w:szCs w:val="18"/>
              </w:rPr>
              <w:t> </w:t>
            </w:r>
          </w:p>
        </w:tc>
      </w:tr>
      <w:tr w:rsidR="002863B3" w:rsidRPr="002863B3" w:rsidTr="002863B3">
        <w:trPr>
          <w:tblCellSpacing w:w="0" w:type="dxa"/>
        </w:trPr>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650" w:type="pct"/>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 </w:t>
            </w:r>
          </w:p>
        </w:tc>
        <w:tc>
          <w:tcPr>
            <w:tcW w:w="1250" w:type="pct"/>
            <w:gridSpan w:val="2"/>
            <w:shd w:val="clear" w:color="auto" w:fill="FFFFFF"/>
            <w:vAlign w:val="center"/>
            <w:hideMark/>
          </w:tcPr>
          <w:p w:rsidR="002863B3" w:rsidRPr="002863B3" w:rsidRDefault="002863B3" w:rsidP="002863B3">
            <w:pPr>
              <w:spacing w:after="0" w:line="240" w:lineRule="auto"/>
              <w:rPr>
                <w:rFonts w:ascii="Georgia" w:eastAsia="Times New Roman" w:hAnsi="Georgia" w:cs="Times New Roman"/>
                <w:color w:val="1D1C1B"/>
                <w:sz w:val="14"/>
                <w:szCs w:val="14"/>
              </w:rPr>
            </w:pPr>
            <w:r w:rsidRPr="002863B3">
              <w:rPr>
                <w:rFonts w:ascii="Georgia" w:eastAsia="Times New Roman" w:hAnsi="Georgia" w:cs="Times New Roman"/>
                <w:color w:val="1D1C1B"/>
                <w:sz w:val="14"/>
                <w:szCs w:val="14"/>
              </w:rPr>
              <w:t>Avg. = 1.63</w:t>
            </w:r>
          </w:p>
        </w:tc>
      </w:tr>
    </w:tbl>
    <w:p w:rsidR="007E78BD" w:rsidRDefault="002863B3" w:rsidP="005A5F0E">
      <w:r>
        <w:t xml:space="preserve"> </w:t>
      </w:r>
    </w:p>
    <w:sectPr w:rsidR="007E78BD" w:rsidSect="00A83B9D">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D2" w:rsidRDefault="00377ED2" w:rsidP="007930CF">
      <w:pPr>
        <w:spacing w:after="0" w:line="240" w:lineRule="auto"/>
      </w:pPr>
      <w:r>
        <w:separator/>
      </w:r>
    </w:p>
  </w:endnote>
  <w:endnote w:type="continuationSeparator" w:id="0">
    <w:p w:rsidR="00377ED2" w:rsidRDefault="00377ED2" w:rsidP="0079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D2" w:rsidRDefault="00377ED2" w:rsidP="007930CF">
      <w:pPr>
        <w:spacing w:after="0" w:line="240" w:lineRule="auto"/>
      </w:pPr>
      <w:r>
        <w:separator/>
      </w:r>
    </w:p>
  </w:footnote>
  <w:footnote w:type="continuationSeparator" w:id="0">
    <w:p w:rsidR="00377ED2" w:rsidRDefault="00377ED2" w:rsidP="00793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9D"/>
    <w:rsid w:val="000714EB"/>
    <w:rsid w:val="000B17CC"/>
    <w:rsid w:val="001320EE"/>
    <w:rsid w:val="00150BE3"/>
    <w:rsid w:val="00183F8B"/>
    <w:rsid w:val="001C297D"/>
    <w:rsid w:val="002758F8"/>
    <w:rsid w:val="00280281"/>
    <w:rsid w:val="002863B3"/>
    <w:rsid w:val="00315D1A"/>
    <w:rsid w:val="00342C03"/>
    <w:rsid w:val="00377ED2"/>
    <w:rsid w:val="003C36A9"/>
    <w:rsid w:val="00486799"/>
    <w:rsid w:val="005235B1"/>
    <w:rsid w:val="005275CA"/>
    <w:rsid w:val="005376D6"/>
    <w:rsid w:val="00543F53"/>
    <w:rsid w:val="005529DD"/>
    <w:rsid w:val="00572B43"/>
    <w:rsid w:val="005A5F0E"/>
    <w:rsid w:val="005B47B2"/>
    <w:rsid w:val="005C7AB5"/>
    <w:rsid w:val="005D4553"/>
    <w:rsid w:val="005E52E5"/>
    <w:rsid w:val="00680F5D"/>
    <w:rsid w:val="006B435D"/>
    <w:rsid w:val="007154EA"/>
    <w:rsid w:val="00720D25"/>
    <w:rsid w:val="00726D64"/>
    <w:rsid w:val="007304A1"/>
    <w:rsid w:val="007559C5"/>
    <w:rsid w:val="00787B86"/>
    <w:rsid w:val="007930CF"/>
    <w:rsid w:val="007A30A2"/>
    <w:rsid w:val="007C5305"/>
    <w:rsid w:val="007E78BD"/>
    <w:rsid w:val="00883E97"/>
    <w:rsid w:val="00890CF1"/>
    <w:rsid w:val="008A69E6"/>
    <w:rsid w:val="008D1C66"/>
    <w:rsid w:val="008F2405"/>
    <w:rsid w:val="00920216"/>
    <w:rsid w:val="009E46D0"/>
    <w:rsid w:val="00A161D2"/>
    <w:rsid w:val="00A458B0"/>
    <w:rsid w:val="00A83B9D"/>
    <w:rsid w:val="00AD0066"/>
    <w:rsid w:val="00B44B32"/>
    <w:rsid w:val="00BC4E10"/>
    <w:rsid w:val="00CD321E"/>
    <w:rsid w:val="00CD595E"/>
    <w:rsid w:val="00D46B49"/>
    <w:rsid w:val="00D82E12"/>
    <w:rsid w:val="00D842ED"/>
    <w:rsid w:val="00DA27C6"/>
    <w:rsid w:val="00DB45AF"/>
    <w:rsid w:val="00DF2062"/>
    <w:rsid w:val="00DF2302"/>
    <w:rsid w:val="00DF5A0B"/>
    <w:rsid w:val="00E32B48"/>
    <w:rsid w:val="00E66B15"/>
    <w:rsid w:val="00F16B5B"/>
    <w:rsid w:val="00F22957"/>
    <w:rsid w:val="00F3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CF"/>
  </w:style>
  <w:style w:type="paragraph" w:styleId="Footer">
    <w:name w:val="footer"/>
    <w:basedOn w:val="Normal"/>
    <w:link w:val="FooterChar"/>
    <w:uiPriority w:val="99"/>
    <w:unhideWhenUsed/>
    <w:rsid w:val="0079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CF"/>
  </w:style>
  <w:style w:type="paragraph" w:styleId="BalloonText">
    <w:name w:val="Balloon Text"/>
    <w:basedOn w:val="Normal"/>
    <w:link w:val="BalloonTextChar"/>
    <w:uiPriority w:val="99"/>
    <w:semiHidden/>
    <w:unhideWhenUsed/>
    <w:rsid w:val="005D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53"/>
    <w:rPr>
      <w:rFonts w:ascii="Tahoma" w:hAnsi="Tahoma" w:cs="Tahoma"/>
      <w:sz w:val="16"/>
      <w:szCs w:val="16"/>
    </w:rPr>
  </w:style>
  <w:style w:type="character" w:customStyle="1" w:styleId="apple-converted-space">
    <w:name w:val="apple-converted-space"/>
    <w:basedOn w:val="DefaultParagraphFont"/>
    <w:rsid w:val="008A69E6"/>
  </w:style>
  <w:style w:type="paragraph" w:styleId="NormalWeb">
    <w:name w:val="Normal (Web)"/>
    <w:basedOn w:val="Normal"/>
    <w:uiPriority w:val="99"/>
    <w:unhideWhenUsed/>
    <w:rsid w:val="00523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5B1"/>
    <w:rPr>
      <w:b/>
      <w:bCs/>
    </w:rPr>
  </w:style>
  <w:style w:type="character" w:styleId="Hyperlink">
    <w:name w:val="Hyperlink"/>
    <w:basedOn w:val="DefaultParagraphFont"/>
    <w:uiPriority w:val="99"/>
    <w:semiHidden/>
    <w:unhideWhenUsed/>
    <w:rsid w:val="00523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CF"/>
  </w:style>
  <w:style w:type="paragraph" w:styleId="Footer">
    <w:name w:val="footer"/>
    <w:basedOn w:val="Normal"/>
    <w:link w:val="FooterChar"/>
    <w:uiPriority w:val="99"/>
    <w:unhideWhenUsed/>
    <w:rsid w:val="0079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CF"/>
  </w:style>
  <w:style w:type="paragraph" w:styleId="BalloonText">
    <w:name w:val="Balloon Text"/>
    <w:basedOn w:val="Normal"/>
    <w:link w:val="BalloonTextChar"/>
    <w:uiPriority w:val="99"/>
    <w:semiHidden/>
    <w:unhideWhenUsed/>
    <w:rsid w:val="005D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53"/>
    <w:rPr>
      <w:rFonts w:ascii="Tahoma" w:hAnsi="Tahoma" w:cs="Tahoma"/>
      <w:sz w:val="16"/>
      <w:szCs w:val="16"/>
    </w:rPr>
  </w:style>
  <w:style w:type="character" w:customStyle="1" w:styleId="apple-converted-space">
    <w:name w:val="apple-converted-space"/>
    <w:basedOn w:val="DefaultParagraphFont"/>
    <w:rsid w:val="008A69E6"/>
  </w:style>
  <w:style w:type="paragraph" w:styleId="NormalWeb">
    <w:name w:val="Normal (Web)"/>
    <w:basedOn w:val="Normal"/>
    <w:uiPriority w:val="99"/>
    <w:unhideWhenUsed/>
    <w:rsid w:val="00523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35B1"/>
    <w:rPr>
      <w:b/>
      <w:bCs/>
    </w:rPr>
  </w:style>
  <w:style w:type="character" w:styleId="Hyperlink">
    <w:name w:val="Hyperlink"/>
    <w:basedOn w:val="DefaultParagraphFont"/>
    <w:uiPriority w:val="99"/>
    <w:semiHidden/>
    <w:unhideWhenUsed/>
    <w:rsid w:val="00523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2085">
      <w:bodyDiv w:val="1"/>
      <w:marLeft w:val="0"/>
      <w:marRight w:val="0"/>
      <w:marTop w:val="0"/>
      <w:marBottom w:val="0"/>
      <w:divBdr>
        <w:top w:val="none" w:sz="0" w:space="0" w:color="auto"/>
        <w:left w:val="none" w:sz="0" w:space="0" w:color="auto"/>
        <w:bottom w:val="none" w:sz="0" w:space="0" w:color="auto"/>
        <w:right w:val="none" w:sz="0" w:space="0" w:color="auto"/>
      </w:divBdr>
    </w:div>
    <w:div w:id="624579972">
      <w:bodyDiv w:val="1"/>
      <w:marLeft w:val="0"/>
      <w:marRight w:val="0"/>
      <w:marTop w:val="0"/>
      <w:marBottom w:val="0"/>
      <w:divBdr>
        <w:top w:val="none" w:sz="0" w:space="0" w:color="auto"/>
        <w:left w:val="none" w:sz="0" w:space="0" w:color="auto"/>
        <w:bottom w:val="none" w:sz="0" w:space="0" w:color="auto"/>
        <w:right w:val="none" w:sz="0" w:space="0" w:color="auto"/>
      </w:divBdr>
    </w:div>
    <w:div w:id="765150654">
      <w:bodyDiv w:val="1"/>
      <w:marLeft w:val="0"/>
      <w:marRight w:val="0"/>
      <w:marTop w:val="0"/>
      <w:marBottom w:val="0"/>
      <w:divBdr>
        <w:top w:val="none" w:sz="0" w:space="0" w:color="auto"/>
        <w:left w:val="none" w:sz="0" w:space="0" w:color="auto"/>
        <w:bottom w:val="none" w:sz="0" w:space="0" w:color="auto"/>
        <w:right w:val="none" w:sz="0" w:space="0" w:color="auto"/>
      </w:divBdr>
    </w:div>
    <w:div w:id="828594009">
      <w:bodyDiv w:val="1"/>
      <w:marLeft w:val="0"/>
      <w:marRight w:val="0"/>
      <w:marTop w:val="0"/>
      <w:marBottom w:val="0"/>
      <w:divBdr>
        <w:top w:val="none" w:sz="0" w:space="0" w:color="auto"/>
        <w:left w:val="none" w:sz="0" w:space="0" w:color="auto"/>
        <w:bottom w:val="none" w:sz="0" w:space="0" w:color="auto"/>
        <w:right w:val="none" w:sz="0" w:space="0" w:color="auto"/>
      </w:divBdr>
    </w:div>
    <w:div w:id="939148162">
      <w:bodyDiv w:val="1"/>
      <w:marLeft w:val="0"/>
      <w:marRight w:val="0"/>
      <w:marTop w:val="0"/>
      <w:marBottom w:val="0"/>
      <w:divBdr>
        <w:top w:val="none" w:sz="0" w:space="0" w:color="auto"/>
        <w:left w:val="none" w:sz="0" w:space="0" w:color="auto"/>
        <w:bottom w:val="none" w:sz="0" w:space="0" w:color="auto"/>
        <w:right w:val="none" w:sz="0" w:space="0" w:color="auto"/>
      </w:divBdr>
    </w:div>
    <w:div w:id="1033504191">
      <w:bodyDiv w:val="1"/>
      <w:marLeft w:val="0"/>
      <w:marRight w:val="0"/>
      <w:marTop w:val="0"/>
      <w:marBottom w:val="0"/>
      <w:divBdr>
        <w:top w:val="none" w:sz="0" w:space="0" w:color="auto"/>
        <w:left w:val="none" w:sz="0" w:space="0" w:color="auto"/>
        <w:bottom w:val="none" w:sz="0" w:space="0" w:color="auto"/>
        <w:right w:val="none" w:sz="0" w:space="0" w:color="auto"/>
      </w:divBdr>
    </w:div>
    <w:div w:id="1096093933">
      <w:bodyDiv w:val="1"/>
      <w:marLeft w:val="0"/>
      <w:marRight w:val="0"/>
      <w:marTop w:val="0"/>
      <w:marBottom w:val="0"/>
      <w:divBdr>
        <w:top w:val="none" w:sz="0" w:space="0" w:color="auto"/>
        <w:left w:val="none" w:sz="0" w:space="0" w:color="auto"/>
        <w:bottom w:val="none" w:sz="0" w:space="0" w:color="auto"/>
        <w:right w:val="none" w:sz="0" w:space="0" w:color="auto"/>
      </w:divBdr>
    </w:div>
    <w:div w:id="1126239328">
      <w:bodyDiv w:val="1"/>
      <w:marLeft w:val="0"/>
      <w:marRight w:val="0"/>
      <w:marTop w:val="0"/>
      <w:marBottom w:val="0"/>
      <w:divBdr>
        <w:top w:val="none" w:sz="0" w:space="0" w:color="auto"/>
        <w:left w:val="none" w:sz="0" w:space="0" w:color="auto"/>
        <w:bottom w:val="none" w:sz="0" w:space="0" w:color="auto"/>
        <w:right w:val="none" w:sz="0" w:space="0" w:color="auto"/>
      </w:divBdr>
    </w:div>
    <w:div w:id="1246764183">
      <w:bodyDiv w:val="1"/>
      <w:marLeft w:val="0"/>
      <w:marRight w:val="0"/>
      <w:marTop w:val="0"/>
      <w:marBottom w:val="0"/>
      <w:divBdr>
        <w:top w:val="none" w:sz="0" w:space="0" w:color="auto"/>
        <w:left w:val="none" w:sz="0" w:space="0" w:color="auto"/>
        <w:bottom w:val="none" w:sz="0" w:space="0" w:color="auto"/>
        <w:right w:val="none" w:sz="0" w:space="0" w:color="auto"/>
      </w:divBdr>
    </w:div>
    <w:div w:id="1274171261">
      <w:bodyDiv w:val="1"/>
      <w:marLeft w:val="0"/>
      <w:marRight w:val="0"/>
      <w:marTop w:val="0"/>
      <w:marBottom w:val="0"/>
      <w:divBdr>
        <w:top w:val="none" w:sz="0" w:space="0" w:color="auto"/>
        <w:left w:val="none" w:sz="0" w:space="0" w:color="auto"/>
        <w:bottom w:val="none" w:sz="0" w:space="0" w:color="auto"/>
        <w:right w:val="none" w:sz="0" w:space="0" w:color="auto"/>
      </w:divBdr>
    </w:div>
    <w:div w:id="1671641757">
      <w:bodyDiv w:val="1"/>
      <w:marLeft w:val="0"/>
      <w:marRight w:val="0"/>
      <w:marTop w:val="0"/>
      <w:marBottom w:val="0"/>
      <w:divBdr>
        <w:top w:val="none" w:sz="0" w:space="0" w:color="auto"/>
        <w:left w:val="none" w:sz="0" w:space="0" w:color="auto"/>
        <w:bottom w:val="none" w:sz="0" w:space="0" w:color="auto"/>
        <w:right w:val="none" w:sz="0" w:space="0" w:color="auto"/>
      </w:divBdr>
    </w:div>
    <w:div w:id="1678927318">
      <w:bodyDiv w:val="1"/>
      <w:marLeft w:val="0"/>
      <w:marRight w:val="0"/>
      <w:marTop w:val="0"/>
      <w:marBottom w:val="0"/>
      <w:divBdr>
        <w:top w:val="none" w:sz="0" w:space="0" w:color="auto"/>
        <w:left w:val="none" w:sz="0" w:space="0" w:color="auto"/>
        <w:bottom w:val="none" w:sz="0" w:space="0" w:color="auto"/>
        <w:right w:val="none" w:sz="0" w:space="0" w:color="auto"/>
      </w:divBdr>
    </w:div>
    <w:div w:id="1991859307">
      <w:bodyDiv w:val="1"/>
      <w:marLeft w:val="0"/>
      <w:marRight w:val="0"/>
      <w:marTop w:val="0"/>
      <w:marBottom w:val="0"/>
      <w:divBdr>
        <w:top w:val="none" w:sz="0" w:space="0" w:color="auto"/>
        <w:left w:val="none" w:sz="0" w:space="0" w:color="auto"/>
        <w:bottom w:val="none" w:sz="0" w:space="0" w:color="auto"/>
        <w:right w:val="none" w:sz="0" w:space="0" w:color="auto"/>
      </w:divBdr>
    </w:div>
    <w:div w:id="2010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8939-2C19-4D75-8AD7-559E6EE7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Chris</cp:lastModifiedBy>
  <cp:revision>9</cp:revision>
  <dcterms:created xsi:type="dcterms:W3CDTF">2012-11-21T19:41:00Z</dcterms:created>
  <dcterms:modified xsi:type="dcterms:W3CDTF">2012-11-21T23:09:00Z</dcterms:modified>
</cp:coreProperties>
</file>